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SCHEDULE 14A</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14A INFORMATION</w:t>
      </w:r>
    </w:p>
    <w:p>
      <w:pPr>
        <w:sectPr>
          <w:pgSz w:w="11900" w:h="16838" w:orient="portrait"/>
          <w:cols w:equalWidth="0" w:num="1">
            <w:col w:w="11100"/>
          </w:cols>
          <w:pgMar w:left="320" w:top="472" w:right="479" w:bottom="1440" w:gutter="0" w:footer="0" w:header="0"/>
        </w:sectPr>
      </w:pPr>
    </w:p>
    <w:p>
      <w:pPr>
        <w:spacing w:after="0" w:line="225" w:lineRule="exact"/>
        <w:rPr>
          <w:sz w:val="24"/>
          <w:szCs w:val="24"/>
          <w:color w:val="auto"/>
        </w:rPr>
      </w:pPr>
    </w:p>
    <w:p>
      <w:pPr>
        <w:ind w:left="3380" w:firstLine="509"/>
        <w:spacing w:after="0" w:line="347" w:lineRule="auto"/>
        <w:rPr>
          <w:sz w:val="20"/>
          <w:szCs w:val="20"/>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96" w:lineRule="exact"/>
        <w:rPr>
          <w:sz w:val="24"/>
          <w:szCs w:val="24"/>
          <w:color w:val="auto"/>
        </w:rPr>
      </w:pPr>
    </w:p>
    <w:p>
      <w:pPr>
        <w:sectPr>
          <w:pgSz w:w="11900" w:h="16838" w:orient="portrait"/>
          <w:cols w:equalWidth="0" w:num="2">
            <w:col w:w="7500" w:space="300"/>
            <w:col w:w="3300"/>
          </w:cols>
          <w:pgMar w:left="320" w:top="472" w:right="4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60" w:space="720"/>
            <w:col w:w="5420"/>
          </w:cols>
          <w:pgMar w:left="320" w:top="472" w:right="479" w:bottom="1440" w:gutter="0" w:footer="0" w:header="0"/>
          <w:type w:val="continuous"/>
        </w:sectPr>
      </w:pP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 w:lineRule="exact"/>
        <w:rPr>
          <w:sz w:val="24"/>
          <w:szCs w:val="24"/>
          <w:color w:val="auto"/>
        </w:rPr>
      </w:pPr>
    </w:p>
    <w:p>
      <w:pPr>
        <w:ind w:left="1260" w:hanging="1252"/>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1260" w:hanging="1252"/>
        <w:spacing w:after="0"/>
        <w:tabs>
          <w:tab w:leader="none" w:pos="1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color w:val="auto"/>
        </w:rPr>
        <w:t>ExlService Holdings, Inc.</w:t>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1260" w:hanging="1252"/>
        <w:spacing w:after="0"/>
        <w:tabs>
          <w:tab w:leader="none" w:pos="1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5" w:lineRule="exact"/>
        <w:rPr>
          <w:rFonts w:ascii="MS PGothic" w:cs="MS PGothic" w:eastAsia="MS PGothic" w:hAnsi="MS PGothic"/>
          <w:sz w:val="18"/>
          <w:szCs w:val="18"/>
          <w:color w:val="auto"/>
        </w:rPr>
      </w:pPr>
    </w:p>
    <w:p>
      <w:pPr>
        <w:ind w:left="1260" w:hanging="1207"/>
        <w:spacing w:after="0"/>
        <w:tabs>
          <w:tab w:leader="none" w:pos="126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rPr>
      </w:pPr>
    </w:p>
    <w:p>
      <w:pPr>
        <w:ind w:left="1920" w:hanging="657"/>
        <w:spacing w:after="0"/>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920" w:hanging="657"/>
        <w:spacing w:after="0"/>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920" w:right="120" w:hanging="657"/>
        <w:spacing w:after="0" w:line="277" w:lineRule="auto"/>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920" w:hanging="657"/>
        <w:spacing w:after="0"/>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920" w:hanging="657"/>
        <w:spacing w:after="0"/>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-130175</wp:posOffset>
            </wp:positionV>
            <wp:extent cx="5915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-413385</wp:posOffset>
            </wp:positionV>
            <wp:extent cx="5915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-833120</wp:posOffset>
            </wp:positionV>
            <wp:extent cx="5915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-1116330</wp:posOffset>
            </wp:positionV>
            <wp:extent cx="5915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3" w:lineRule="exact"/>
        <w:rPr>
          <w:sz w:val="24"/>
          <w:szCs w:val="24"/>
          <w:color w:val="auto"/>
        </w:rPr>
      </w:pPr>
    </w:p>
    <w:p>
      <w:pPr>
        <w:ind w:left="1260" w:hanging="1252"/>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4" w:lineRule="exact"/>
        <w:rPr>
          <w:rFonts w:ascii="Arial" w:cs="Arial" w:eastAsia="Arial" w:hAnsi="Arial"/>
          <w:sz w:val="18"/>
          <w:szCs w:val="18"/>
          <w:color w:val="auto"/>
        </w:rPr>
      </w:pPr>
    </w:p>
    <w:p>
      <w:pPr>
        <w:ind w:left="1260" w:hanging="1252"/>
        <w:spacing w:after="0" w:line="291"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920" w:hanging="657"/>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1" w:lineRule="exact"/>
        <w:rPr>
          <w:rFonts w:ascii="Arial" w:cs="Arial" w:eastAsia="Arial" w:hAnsi="Arial"/>
          <w:sz w:val="18"/>
          <w:szCs w:val="18"/>
          <w:color w:val="auto"/>
        </w:rPr>
      </w:pPr>
    </w:p>
    <w:p>
      <w:pPr>
        <w:ind w:left="1920" w:hanging="657"/>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920" w:hanging="657"/>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920" w:hanging="657"/>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151765</wp:posOffset>
            </wp:positionV>
            <wp:extent cx="5915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-130175</wp:posOffset>
            </wp:positionV>
            <wp:extent cx="5915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-455930</wp:posOffset>
            </wp:positionV>
            <wp:extent cx="5915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-781685</wp:posOffset>
            </wp:positionV>
            <wp:extent cx="5915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-1381760</wp:posOffset>
            </wp:positionV>
            <wp:extent cx="63347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472" w:right="47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058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058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508635</wp:posOffset>
            </wp:positionV>
            <wp:extent cx="1388745" cy="1002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320 Park Avenue, 29</w:t>
      </w:r>
      <w:r>
        <w:rPr>
          <w:rFonts w:ascii="Arial" w:cs="Arial" w:eastAsia="Arial" w:hAnsi="Arial"/>
          <w:sz w:val="32"/>
          <w:szCs w:val="32"/>
          <w:b w:val="1"/>
          <w:bCs w:val="1"/>
          <w:color w:val="auto"/>
          <w:vertAlign w:val="superscript"/>
        </w:rPr>
        <w:t>th</w:t>
      </w:r>
      <w:r>
        <w:rPr>
          <w:rFonts w:ascii="Arial" w:cs="Arial" w:eastAsia="Arial" w:hAnsi="Arial"/>
          <w:sz w:val="20"/>
          <w:szCs w:val="20"/>
          <w:b w:val="1"/>
          <w:bCs w:val="1"/>
          <w:color w:val="auto"/>
        </w:rPr>
        <w:t xml:space="preserve"> Floor</w:t>
      </w:r>
    </w:p>
    <w:p>
      <w:pPr>
        <w:jc w:val="center"/>
        <w:ind w:right="-99"/>
        <w:spacing w:after="0" w:line="225" w:lineRule="auto"/>
        <w:rPr>
          <w:sz w:val="20"/>
          <w:szCs w:val="20"/>
          <w:color w:val="auto"/>
        </w:rPr>
      </w:pPr>
      <w:r>
        <w:rPr>
          <w:rFonts w:ascii="Arial" w:cs="Arial" w:eastAsia="Arial" w:hAnsi="Arial"/>
          <w:sz w:val="20"/>
          <w:szCs w:val="20"/>
          <w:b w:val="1"/>
          <w:bCs w:val="1"/>
          <w:color w:val="auto"/>
        </w:rPr>
        <w:t>New York, NY 10022</w:t>
      </w:r>
    </w:p>
    <w:p>
      <w:pPr>
        <w:jc w:val="center"/>
        <w:ind w:right="-99"/>
        <w:spacing w:after="0"/>
        <w:rPr>
          <w:sz w:val="20"/>
          <w:szCs w:val="20"/>
          <w:color w:val="auto"/>
        </w:rPr>
      </w:pPr>
      <w:r>
        <w:rPr>
          <w:rFonts w:ascii="Arial" w:cs="Arial" w:eastAsia="Arial" w:hAnsi="Arial"/>
          <w:sz w:val="20"/>
          <w:szCs w:val="20"/>
          <w:b w:val="1"/>
          <w:bCs w:val="1"/>
          <w:color w:val="auto"/>
        </w:rPr>
        <w:t>(212) 277-7100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262626"/>
        </w:rPr>
        <w:t>April 24,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62626"/>
        </w:rPr>
        <w:t>Dear Stockholder: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62626"/>
        </w:rPr>
        <w:t>As we all confront the unprecedented challenges stemming from the COVID-19 pandemic, it can be difficult to keep focused on the path ahead. EXL is bringing to bear the full strength of our people around the globe to do just that. Our first priority is to ensure the health and safety of our employees, their families and the communities in which they work. We are also taking every action practical to help our clients with their needs and to assist with their business continuity during this time, including through remote working and enabling virtual work environments. We intend to provide critical support in resolving the challenges faced by our clients during the COVID-19 pandemic.</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62626"/>
        </w:rPr>
        <w:t>As we look back on 2019, we thank you for your continued support. We have a strong sense of pride and achievement. We crossed the $1 billion revenue mark on an annualized basis in 2019 – with revenue growth of over 12%. Not only have we reached this landmark revenue run rate in only 20 years of our existence, but we are well positioned to keep up our growth momentum in the future. Our strategy of continuously adding value for our clients – the world’s leading companies – by incorporating advanced digital technologies, machine learning and analytics capabilities in all of our offerings – positions each of our business lines for market leadership and ongoing strong growth. We are now participating in new markets, new verticals and in larger, more complex deals.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62626"/>
        </w:rPr>
        <w:t>Our focus on looking deeper and adapting to technology changes has enabled us to deliver superior returns and create tremendous value for our stockholders since our IPO in 2006. Today, we are a trusted Strategic Digital Transformation partner for our clients. We employ our industry domain expertise and technology to help our clients generate value by enabling them to apply digital technologies and analytics to transform their business models, better understand and use their data assets, and efficiently run their operations. Our emphasis on analytics has been key to our growth in the last four years, comprising 36% of revenue, up from 19% in 2015.</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262626"/>
        </w:rPr>
        <w:t>As a global company, we have always felt that it is our obligation to our stockholders, employees and the communities in which we operate to emphasize corporate social responsibility in our business. We are committed to maintaining a diverse group of directors with a strong mix of qualifications to best enable our board to guide our business, manage our risks and oversee our growth and development as a Company.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262626"/>
        </w:rPr>
        <w:t>Our people are our primary assets. Our achievements over the past 20 years are, and going forward will continue to be, a result of the imagination, dedication and effort that each of our employees bring every day to EXL. One of EXL’s defining characteristics is our active learning culture, which is realized through our capability learning academies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 w:name="page4"/>
    <w:bookmarkEnd w:id="3"/>
    <w:p>
      <w:pPr>
        <w:jc w:val="both"/>
        <w:ind w:right="80"/>
        <w:spacing w:after="0" w:line="237" w:lineRule="auto"/>
        <w:rPr>
          <w:sz w:val="20"/>
          <w:szCs w:val="20"/>
          <w:color w:val="auto"/>
        </w:rPr>
      </w:pPr>
      <w:r>
        <w:rPr>
          <w:rFonts w:ascii="Arial" w:cs="Arial" w:eastAsia="Arial" w:hAnsi="Arial"/>
          <w:sz w:val="18"/>
          <w:szCs w:val="18"/>
          <w:color w:val="262626"/>
        </w:rPr>
        <w:t>enhance our employees’ domain expertise and digital skills. In 2019, 99+% of our employees were trained in “Digital Intelligence” and EXL’s proprietary “Digital EXLerator” framework for delivering digital transformation to our clients. We emphasize the importance of talent and leadership development within our ranks by training our future team leaders. We believe that embracing diversity of thought best allows us to deliver exceptional results for our clients and aim to foster, both through policies and practice, an inclusive work environment. We are committed to hiring a diverse workforce and to improving diversity in our senior leadership, and include diversity and inclusion among the guiding principles in our talent acquisition, training and retention practices.</w:t>
      </w:r>
    </w:p>
    <w:p>
      <w:pPr>
        <w:spacing w:after="0" w:line="191"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262626"/>
        </w:rPr>
        <w:t>We and our employees are also committed to volunteerism, giving and social change – in 2019 we took part in a number of initiatives focused on education and assisting our community members in market-relevant skill development. And we have doubled down on our commitment to sustainability and workplace safety, undertaking a Company-wide review of emissions and water and paper usage so that we can make sure that we meet key reduction objectives, continuing to provide trainings to all of employees on health and safety, and to receive industry certifications and other recognitions for these efforts. In order to increase our transparency to our stockholders on our efforts relating to sustainability, human capital management and corporate social responsibility, this year’s Proxy Statement includes dedicated sections to these topics, and we plan to improve our disclosure on these efforts on our website throughout the year.</w:t>
      </w:r>
    </w:p>
    <w:p>
      <w:pPr>
        <w:spacing w:after="0" w:line="189"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262626"/>
        </w:rPr>
        <w:t>As we look toward the future, we plan to continue responding to the market’s increased focus on digital and data by increasing our investments in those areas to create next generation revenue and profit streams.</w:t>
      </w:r>
    </w:p>
    <w:p>
      <w:pPr>
        <w:spacing w:after="0" w:line="183"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262626"/>
        </w:rPr>
        <w:t>On behalf of the board of directors of ExlService Holdings, Inc., we are pleased to invite you to the 2020 Annual Meeting of Stockholders, which will be held on June 15, 2020. We look forward to sharing more about our Company at the Annual Meeting. Due to concerns regarding the current public health crisis related to the COVID-19 pandemic and the health and wellbeing of our stockholders, employees and directors, we will hold our Annual Meeting in virtual format only via live audio webcast instead of holding the meeting in New York or at any physical location. We encourage you to read carefully the attached 2020 Annual Meeting of Stockholders and Proxy Statement, which contain important information about the matters to be voted upon and instructions on how you can vote your shares.</w:t>
      </w:r>
    </w:p>
    <w:p>
      <w:pPr>
        <w:spacing w:after="0" w:line="169" w:lineRule="exact"/>
        <w:rPr>
          <w:sz w:val="20"/>
          <w:szCs w:val="20"/>
          <w:color w:val="auto"/>
        </w:rPr>
      </w:pPr>
    </w:p>
    <w:p>
      <w:pPr>
        <w:ind w:right="760"/>
        <w:spacing w:after="0" w:line="570" w:lineRule="auto"/>
        <w:rPr>
          <w:sz w:val="20"/>
          <w:szCs w:val="20"/>
          <w:color w:val="auto"/>
        </w:rPr>
      </w:pPr>
      <w:r>
        <w:rPr>
          <w:rFonts w:ascii="Arial" w:cs="Arial" w:eastAsia="Arial" w:hAnsi="Arial"/>
          <w:sz w:val="18"/>
          <w:szCs w:val="18"/>
          <w:b w:val="1"/>
          <w:bCs w:val="1"/>
          <w:color w:val="262626"/>
        </w:rPr>
        <w:t xml:space="preserve">Your vote is important to us. Please vote as soon as possible whether or not you plan to participate in the Annual Meeting. </w:t>
      </w:r>
      <w:r>
        <w:rPr>
          <w:rFonts w:ascii="Arial" w:cs="Arial" w:eastAsia="Arial" w:hAnsi="Arial"/>
          <w:sz w:val="18"/>
          <w:szCs w:val="18"/>
          <w:color w:val="262626"/>
        </w:rPr>
        <w:t>The board of directors and management look forward to seeing you at the Annual Meeting.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08405"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53975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161925</wp:posOffset>
            </wp:positionV>
            <wp:extent cx="105410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color w:val="auto"/>
              </w:rPr>
              <w:t>Garen K. Staglin</w:t>
            </w:r>
          </w:p>
        </w:tc>
        <w:tc>
          <w:tcPr>
            <w:tcW w:w="8320" w:type="dxa"/>
            <w:vAlign w:val="bottom"/>
          </w:tcPr>
          <w:p>
            <w:pPr>
              <w:ind w:left="1580"/>
              <w:spacing w:after="0"/>
              <w:rPr>
                <w:sz w:val="20"/>
                <w:szCs w:val="20"/>
                <w:color w:val="auto"/>
              </w:rPr>
            </w:pPr>
            <w:r>
              <w:rPr>
                <w:rFonts w:ascii="Arial" w:cs="Arial" w:eastAsia="Arial" w:hAnsi="Arial"/>
                <w:sz w:val="18"/>
                <w:szCs w:val="18"/>
                <w:color w:val="auto"/>
              </w:rPr>
              <w:t>Rohit Kapoor</w:t>
            </w:r>
          </w:p>
        </w:tc>
      </w:tr>
      <w:tr>
        <w:trPr>
          <w:trHeight w:val="217"/>
        </w:trPr>
        <w:tc>
          <w:tcPr>
            <w:tcW w:w="2920" w:type="dxa"/>
            <w:vAlign w:val="bottom"/>
          </w:tcPr>
          <w:p>
            <w:pPr>
              <w:spacing w:after="0"/>
              <w:rPr>
                <w:sz w:val="20"/>
                <w:szCs w:val="20"/>
                <w:color w:val="auto"/>
              </w:rPr>
            </w:pPr>
            <w:r>
              <w:rPr>
                <w:rFonts w:ascii="Arial" w:cs="Arial" w:eastAsia="Arial" w:hAnsi="Arial"/>
                <w:sz w:val="18"/>
                <w:szCs w:val="18"/>
                <w:color w:val="auto"/>
              </w:rPr>
              <w:t>Chairman</w:t>
            </w:r>
          </w:p>
        </w:tc>
        <w:tc>
          <w:tcPr>
            <w:tcW w:w="8320" w:type="dxa"/>
            <w:vAlign w:val="bottom"/>
          </w:tcPr>
          <w:p>
            <w:pPr>
              <w:ind w:left="1580"/>
              <w:spacing w:after="0"/>
              <w:rPr>
                <w:sz w:val="20"/>
                <w:szCs w:val="20"/>
                <w:color w:val="auto"/>
              </w:rPr>
            </w:pPr>
            <w:r>
              <w:rPr>
                <w:rFonts w:ascii="Arial" w:cs="Arial" w:eastAsia="Arial" w:hAnsi="Arial"/>
                <w:sz w:val="18"/>
                <w:szCs w:val="18"/>
                <w:color w:val="auto"/>
              </w:rPr>
              <w:t>Vice Chairman and CEO</w:t>
            </w:r>
          </w:p>
        </w:tc>
      </w:tr>
      <w:tr>
        <w:trPr>
          <w:trHeight w:val="540"/>
        </w:trPr>
        <w:tc>
          <w:tcPr>
            <w:tcW w:w="29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509270</wp:posOffset>
            </wp:positionV>
            <wp:extent cx="1388745" cy="1002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887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NOTICE OF 2020 ANNUAL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62626"/>
        </w:rPr>
        <w:t>Dear Stockholder:</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262626"/>
        </w:rPr>
        <w:t xml:space="preserve">You are cordially invited to the 2020 Annual Meeting of Stockholders of ExlService Holdings, Inc., a Delaware corporation (the “Company”). The Annual Meeting will be held in virtual format only via live audio webcast at the website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0563C1"/>
        </w:rPr>
        <w:t xml:space="preserve"> </w:t>
      </w:r>
      <w:r>
        <w:rPr>
          <w:rFonts w:ascii="Arial" w:cs="Arial" w:eastAsia="Arial" w:hAnsi="Arial"/>
          <w:sz w:val="18"/>
          <w:szCs w:val="18"/>
          <w:color w:val="262626"/>
        </w:rPr>
        <w:t>(rather than at any physical location) on June 15, 2020 at 8:30 AM, Eastern Time, for the</w:t>
      </w:r>
      <w:r>
        <w:rPr>
          <w:rFonts w:ascii="Arial" w:cs="Arial" w:eastAsia="Arial" w:hAnsi="Arial"/>
          <w:sz w:val="18"/>
          <w:szCs w:val="18"/>
          <w:color w:val="0563C1"/>
        </w:rPr>
        <w:t xml:space="preserve"> </w:t>
      </w:r>
      <w:r>
        <w:rPr>
          <w:rFonts w:ascii="Arial" w:cs="Arial" w:eastAsia="Arial" w:hAnsi="Arial"/>
          <w:sz w:val="18"/>
          <w:szCs w:val="18"/>
          <w:color w:val="262626"/>
        </w:rPr>
        <w:t>purposes of voting on the following matters:</w:t>
      </w:r>
    </w:p>
    <w:p>
      <w:pPr>
        <w:spacing w:after="0" w:line="392"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262626"/>
        </w:rPr>
      </w:pPr>
      <w:r>
        <w:rPr>
          <w:rFonts w:ascii="Arial" w:cs="Arial" w:eastAsia="Arial" w:hAnsi="Arial"/>
          <w:sz w:val="18"/>
          <w:szCs w:val="18"/>
          <w:color w:val="262626"/>
        </w:rPr>
        <w:t>the election of six members of the board of directors of the Company;</w:t>
      </w:r>
    </w:p>
    <w:p>
      <w:pPr>
        <w:spacing w:after="0" w:line="198" w:lineRule="exact"/>
        <w:rPr>
          <w:rFonts w:ascii="Arial" w:cs="Arial" w:eastAsia="Arial" w:hAnsi="Arial"/>
          <w:sz w:val="18"/>
          <w:szCs w:val="18"/>
          <w:color w:val="262626"/>
        </w:rPr>
      </w:pPr>
    </w:p>
    <w:p>
      <w:pPr>
        <w:ind w:firstLine="8"/>
        <w:spacing w:after="0" w:line="246" w:lineRule="auto"/>
        <w:tabs>
          <w:tab w:leader="none" w:pos="221" w:val="left"/>
        </w:tabs>
        <w:numPr>
          <w:ilvl w:val="0"/>
          <w:numId w:val="6"/>
        </w:numPr>
        <w:rPr>
          <w:rFonts w:ascii="Arial" w:cs="Arial" w:eastAsia="Arial" w:hAnsi="Arial"/>
          <w:sz w:val="18"/>
          <w:szCs w:val="18"/>
          <w:color w:val="262626"/>
        </w:rPr>
      </w:pPr>
      <w:r>
        <w:rPr>
          <w:rFonts w:ascii="Arial" w:cs="Arial" w:eastAsia="Arial" w:hAnsi="Arial"/>
          <w:sz w:val="18"/>
          <w:szCs w:val="18"/>
          <w:color w:val="262626"/>
        </w:rPr>
        <w:t>the ratification of the appointment of Deloitte &amp; Touche LLP as the independent registered public accounting firm of the Company for fiscal year 2020;</w:t>
      </w:r>
    </w:p>
    <w:p>
      <w:pPr>
        <w:spacing w:after="0" w:line="183" w:lineRule="exact"/>
        <w:rPr>
          <w:rFonts w:ascii="Arial" w:cs="Arial" w:eastAsia="Arial" w:hAnsi="Arial"/>
          <w:sz w:val="18"/>
          <w:szCs w:val="18"/>
          <w:color w:val="262626"/>
        </w:rPr>
      </w:pPr>
    </w:p>
    <w:p>
      <w:pPr>
        <w:ind w:left="200" w:hanging="192"/>
        <w:spacing w:after="0"/>
        <w:tabs>
          <w:tab w:leader="none" w:pos="200" w:val="left"/>
        </w:tabs>
        <w:numPr>
          <w:ilvl w:val="0"/>
          <w:numId w:val="6"/>
        </w:numPr>
        <w:rPr>
          <w:rFonts w:ascii="Arial" w:cs="Arial" w:eastAsia="Arial" w:hAnsi="Arial"/>
          <w:sz w:val="18"/>
          <w:szCs w:val="18"/>
          <w:color w:val="262626"/>
        </w:rPr>
      </w:pPr>
      <w:r>
        <w:rPr>
          <w:rFonts w:ascii="Arial" w:cs="Arial" w:eastAsia="Arial" w:hAnsi="Arial"/>
          <w:sz w:val="18"/>
          <w:szCs w:val="18"/>
          <w:color w:val="262626"/>
        </w:rPr>
        <w:t>the approval, on a non-binding advisory basis, of the compensation of the named executive officers of the Company; and</w:t>
      </w:r>
    </w:p>
    <w:p>
      <w:pPr>
        <w:spacing w:after="0" w:line="198" w:lineRule="exact"/>
        <w:rPr>
          <w:rFonts w:ascii="Arial" w:cs="Arial" w:eastAsia="Arial" w:hAnsi="Arial"/>
          <w:sz w:val="18"/>
          <w:szCs w:val="18"/>
          <w:color w:val="262626"/>
        </w:rPr>
      </w:pPr>
    </w:p>
    <w:p>
      <w:pPr>
        <w:ind w:left="200" w:hanging="192"/>
        <w:spacing w:after="0"/>
        <w:tabs>
          <w:tab w:leader="none" w:pos="200" w:val="left"/>
        </w:tabs>
        <w:numPr>
          <w:ilvl w:val="0"/>
          <w:numId w:val="6"/>
        </w:numPr>
        <w:rPr>
          <w:rFonts w:ascii="Arial" w:cs="Arial" w:eastAsia="Arial" w:hAnsi="Arial"/>
          <w:sz w:val="18"/>
          <w:szCs w:val="18"/>
          <w:color w:val="262626"/>
        </w:rPr>
      </w:pPr>
      <w:r>
        <w:rPr>
          <w:rFonts w:ascii="Arial" w:cs="Arial" w:eastAsia="Arial" w:hAnsi="Arial"/>
          <w:sz w:val="18"/>
          <w:szCs w:val="18"/>
          <w:color w:val="262626"/>
        </w:rPr>
        <w:t>the transaction of such other business as may properly come before the Annual Meeting or any adjournment or postponement thereof.</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62626"/>
        </w:rPr>
        <w:t xml:space="preserve">Due to concerns regarding the current public health crisis related to the novel coronavirus, or COVID-19, and the health and wellbeing of our stockholders, employees and directors, we will hold our Annual Meeting in virtual format only via live audio webcast (the “Virtual Annual Meeting”) instead of holding the meeting in New York or at any physical location. You or your proxyholder may participate, vote, and examine our stockholder list at the Virtual Annual Meeting by visiting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262626"/>
        </w:rPr>
        <w:t xml:space="preserve"> and using your 16-digit control number.</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62626"/>
        </w:rPr>
        <w:t>If you are a stockholder of record at the close of business on April 17, 2020, the record date for the Annual Meeting, you are entitled to vote at the Annual Meeting. A list of stockholders as of the record date will be available for examination for any purpose germane to the Annual</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262626"/>
        </w:rPr>
        <w:t>Meeting, during ordinary business hours, at the Company’s executive offices at 320 Park Avenue, 29</w:t>
      </w:r>
      <w:r>
        <w:rPr>
          <w:rFonts w:ascii="Arial" w:cs="Arial" w:eastAsia="Arial" w:hAnsi="Arial"/>
          <w:sz w:val="29"/>
          <w:szCs w:val="29"/>
          <w:color w:val="262626"/>
          <w:vertAlign w:val="superscript"/>
        </w:rPr>
        <w:t>th</w:t>
      </w:r>
      <w:r>
        <w:rPr>
          <w:rFonts w:ascii="Arial" w:cs="Arial" w:eastAsia="Arial" w:hAnsi="Arial"/>
          <w:sz w:val="18"/>
          <w:szCs w:val="18"/>
          <w:color w:val="262626"/>
        </w:rPr>
        <w:t xml:space="preserve"> Floor, New York, New York 10022, for a period of 10 days prior to the date of the Annual Meeting and at the Annual Meeting itself. </w:t>
      </w:r>
      <w:r>
        <w:rPr>
          <w:rFonts w:ascii="Arial" w:cs="Arial" w:eastAsia="Arial" w:hAnsi="Arial"/>
          <w:sz w:val="18"/>
          <w:szCs w:val="18"/>
          <w:color w:val="000000"/>
        </w:rPr>
        <w:t>If, due to COVID-19, our corporate</w:t>
      </w:r>
      <w:r>
        <w:rPr>
          <w:rFonts w:ascii="Arial" w:cs="Arial" w:eastAsia="Arial" w:hAnsi="Arial"/>
          <w:sz w:val="18"/>
          <w:szCs w:val="18"/>
          <w:color w:val="262626"/>
        </w:rPr>
        <w:t xml:space="preserve"> </w:t>
      </w:r>
      <w:r>
        <w:rPr>
          <w:rFonts w:ascii="Arial" w:cs="Arial" w:eastAsia="Arial" w:hAnsi="Arial"/>
          <w:sz w:val="18"/>
          <w:szCs w:val="18"/>
          <w:color w:val="000000"/>
        </w:rPr>
        <w:t xml:space="preserve">headquarters are closed during the ten days prior to the Annual Meeting, you may send a written request to the Corporate Secretary at our corporate headquarters, and we will arrange a method for you to inspect the list. The list of stockholders will also be available during the Annual Meeting at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b w:val="1"/>
          <w:bCs w:val="1"/>
          <w:color w:val="262626"/>
        </w:rPr>
        <w:t>Please note the technical requirements for virtual attendance at the Annual Meeting, as described in the enclosed Proxy Statement beginning on page 11 under the heading "Annual Meeting Q&amp;A."</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62626"/>
        </w:rPr>
        <w:t>Pursuant to rules promulgated by the Securities and Exchange Commission, we are providing access to our proxy materials over the Internet. On or about April 24, 2020, we will mail a Notice of Internet Availability of Proxy Materials (the “Internet Notice”) to each of our stockholders of record and beneficial owners at the close of business on the record date.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62626"/>
        </w:rPr>
        <w:t>Whether or not you expect to attend the Annual Meeting,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You can revoke a proxy at any time before it is exercised by voting electronically at the Annual Meeting, by delivering a subsequent proxy or by notifying the inspector of elections in writing of such revocation prior to the Annual Meeting. YOUR SHARES CANNOT BE VOTED UNLESS YOU EITHER (I) VOTE BY USING THE INTERNET, (II) VOTE BY PHONE, (III)</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8"/>
          <w:szCs w:val="18"/>
          <w:color w:val="262626"/>
        </w:rPr>
        <w:t>REQUEST PROXY MATERIALS BE SENT TO YOU BY MAIL AND THEN USE THE PROXY CARD PROVIDED BY MAIL TO CAST YOUR VOTE BY COMPLETING, SIGNING AND RETURNING THE PROXY CARD BY MAIL OR (IV) ATTEND THE ANNUAL MEETING AND VOTE ELECTRONICALLY.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62626"/>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354455" cy="45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62626"/>
        </w:rPr>
        <w:t>Ajay Ayyappan</w:t>
      </w:r>
    </w:p>
    <w:p>
      <w:pPr>
        <w:spacing w:after="0" w:line="234" w:lineRule="auto"/>
        <w:rPr>
          <w:sz w:val="20"/>
          <w:szCs w:val="20"/>
          <w:color w:val="auto"/>
        </w:rPr>
      </w:pPr>
      <w:r>
        <w:rPr>
          <w:rFonts w:ascii="Arial" w:cs="Arial" w:eastAsia="Arial" w:hAnsi="Arial"/>
          <w:sz w:val="18"/>
          <w:szCs w:val="18"/>
          <w:color w:val="262626"/>
        </w:rPr>
        <w:t>Senior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62626"/>
        </w:rPr>
        <w:t>General Counsel and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62626"/>
        </w:rPr>
        <w:t>New York, New York</w:t>
      </w:r>
    </w:p>
    <w:p>
      <w:pPr>
        <w:spacing w:after="0"/>
        <w:rPr>
          <w:sz w:val="20"/>
          <w:szCs w:val="20"/>
          <w:color w:val="auto"/>
        </w:rPr>
      </w:pPr>
      <w:r>
        <w:rPr>
          <w:rFonts w:ascii="Arial" w:cs="Arial" w:eastAsia="Arial" w:hAnsi="Arial"/>
          <w:sz w:val="18"/>
          <w:szCs w:val="18"/>
          <w:color w:val="262626"/>
        </w:rPr>
        <w:t>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78" w:right="4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0B5497"/>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80" w:type="dxa"/>
            <w:vAlign w:val="bottom"/>
            <w:vMerge w:val="restart"/>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2020 PROXY STATEMENT SUMMARY</w:t>
              </w:r>
            </w:hyperlink>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10680" w:type="dxa"/>
            <w:vAlign w:val="bottom"/>
            <w:vMerge w:val="continue"/>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04"/>
        </w:trPr>
        <w:tc>
          <w:tcPr>
            <w:tcW w:w="1068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ANNUAL MEETING Q&amp;A</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OUR BOARD OF DIRECTORS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CORPORATE GOVERNANCE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CORPORATE SOCIAL RESPONSIBILITY</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SUSTAINABILITY AND WORKPLACE HEALTH AND SAFETY</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HUMAN CAPITAL MANAGEMENT</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OUR EXECUTIVE OFFICERS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EXECUTIVE COMPENSATION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391"/>
        </w:trPr>
        <w:tc>
          <w:tcPr>
            <w:tcW w:w="106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Compensation, Discussion and Analysis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3"/>
        </w:trPr>
        <w:tc>
          <w:tcPr>
            <w:tcW w:w="10680" w:type="dxa"/>
            <w:vAlign w:val="bottom"/>
          </w:tcPr>
          <w:p>
            <w:pPr>
              <w:spacing w:after="0" w:line="202"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Compensation Committee Report</w:t>
              </w:r>
            </w:hyperlink>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217"/>
        </w:trPr>
        <w:tc>
          <w:tcPr>
            <w:tcW w:w="10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Summary Compensation Table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STOCK OWNERSHIP OF DIRECTORS, EXECUTIVE OFFICERS AND CERTAIN BENEFICIAL OWNERS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82</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CERTAIN RELATIONSHIPS AND RELATED PERSON TRANSACTIONS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85</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AUDIT COMMITTEE REPORT</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86</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PROPOSAL 1 — ELECTION OF DIRECTORS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PROPOSAL 2 — RATIFICATION OF THE APPOINTMENT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PROPOSAL 3 — ADVISORY (NON-BINDING) VOTE ON EXECUTIVE COMPENSATION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92</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STOCKHOLDER PROPOSALS AND DIRECTOR NOMINATIONS FOR THE 2021 ANNUAL MEETING</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94</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MISCELLANEOUS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95</w:t>
            </w:r>
          </w:p>
        </w:tc>
        <w:tc>
          <w:tcPr>
            <w:tcW w:w="0" w:type="dxa"/>
            <w:vAlign w:val="bottom"/>
          </w:tcPr>
          <w:p>
            <w:pPr>
              <w:spacing w:after="0"/>
              <w:rPr>
                <w:sz w:val="1"/>
                <w:szCs w:val="1"/>
                <w:color w:val="auto"/>
              </w:rPr>
            </w:pPr>
          </w:p>
        </w:tc>
      </w:tr>
      <w:tr>
        <w:trPr>
          <w:trHeight w:val="405"/>
        </w:trPr>
        <w:tc>
          <w:tcPr>
            <w:tcW w:w="1068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OTHER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96</w:t>
            </w:r>
          </w:p>
        </w:tc>
        <w:tc>
          <w:tcPr>
            <w:tcW w:w="0" w:type="dxa"/>
            <w:vAlign w:val="bottom"/>
          </w:tcPr>
          <w:p>
            <w:pPr>
              <w:spacing w:after="0"/>
              <w:rPr>
                <w:sz w:val="1"/>
                <w:szCs w:val="1"/>
                <w:color w:val="auto"/>
              </w:rPr>
            </w:pPr>
          </w:p>
        </w:tc>
      </w:tr>
      <w:tr>
        <w:trPr>
          <w:trHeight w:val="580"/>
        </w:trPr>
        <w:tc>
          <w:tcPr>
            <w:tcW w:w="10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7" w:name="page8"/>
    <w:bookmarkEnd w:id="7"/>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2020 PROXY STATEMENT SUMMARY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Summary</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2019 (the “2019 Form 10-K”). We refer to the fiscal year ended December 31, 2019 as “fiscal year 2019,” “fiscal 2019,” and “2019.”</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Annual Meeting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Time and Date: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62626"/>
        </w:rPr>
        <w:t>8:30 AM (Eastern Time)</w:t>
      </w:r>
    </w:p>
    <w:p>
      <w:pPr>
        <w:spacing w:after="0"/>
        <w:rPr>
          <w:sz w:val="20"/>
          <w:szCs w:val="20"/>
          <w:color w:val="auto"/>
        </w:rPr>
      </w:pPr>
      <w:r>
        <w:rPr>
          <w:rFonts w:ascii="Arial" w:cs="Arial" w:eastAsia="Arial" w:hAnsi="Arial"/>
          <w:sz w:val="18"/>
          <w:szCs w:val="18"/>
          <w:color w:val="262626"/>
        </w:rPr>
        <w:t>June 15,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Record Date: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62626"/>
        </w:rPr>
        <w:t>April 17,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Place: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62626"/>
        </w:rPr>
        <w:t>Virtual format only via live audio webcast www.virtualshareholdermeeting.com/EXLS2020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Voting: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62626"/>
        </w:rPr>
        <w:t>Stockholders as of the Record Date are entitled to vote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920615"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0615" cy="660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957580</wp:posOffset>
            </wp:positionV>
            <wp:extent cx="5229225"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292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262626"/>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See page 11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440"/>
        <w:spacing w:after="0"/>
        <w:tabs>
          <w:tab w:leader="none" w:pos="109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8" w:name="page9"/>
    <w:bookmarkEnd w:id="8"/>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Meeting Agenda, Voting Matters and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680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20" w:type="dxa"/>
            <w:vAlign w:val="bottom"/>
            <w:vMerge w:val="restart"/>
            <w:shd w:val="clear" w:color="auto" w:fill="0093FF"/>
          </w:tcPr>
          <w:p>
            <w:pPr>
              <w:ind w:left="120"/>
              <w:spacing w:after="0"/>
              <w:rPr>
                <w:sz w:val="20"/>
                <w:szCs w:val="20"/>
                <w:color w:val="auto"/>
              </w:rPr>
            </w:pPr>
            <w:r>
              <w:rPr>
                <w:rFonts w:ascii="Arial" w:cs="Arial" w:eastAsia="Arial" w:hAnsi="Arial"/>
                <w:sz w:val="18"/>
                <w:szCs w:val="18"/>
                <w:b w:val="1"/>
                <w:bCs w:val="1"/>
                <w:color w:val="FFFFFF"/>
              </w:rPr>
              <w:t>Proposal</w:t>
            </w:r>
          </w:p>
        </w:tc>
        <w:tc>
          <w:tcPr>
            <w:tcW w:w="2420" w:type="dxa"/>
            <w:vAlign w:val="bottom"/>
            <w:shd w:val="clear" w:color="auto" w:fill="0093FF"/>
          </w:tcPr>
          <w:p>
            <w:pPr>
              <w:ind w:left="240"/>
              <w:spacing w:after="0"/>
              <w:rPr>
                <w:sz w:val="20"/>
                <w:szCs w:val="20"/>
                <w:color w:val="auto"/>
              </w:rPr>
            </w:pPr>
            <w:r>
              <w:rPr>
                <w:rFonts w:ascii="Arial" w:cs="Arial" w:eastAsia="Arial" w:hAnsi="Arial"/>
                <w:sz w:val="18"/>
                <w:szCs w:val="18"/>
                <w:b w:val="1"/>
                <w:bCs w:val="1"/>
                <w:color w:val="FFFFFF"/>
              </w:rPr>
              <w:t>Board Vote</w:t>
            </w:r>
          </w:p>
        </w:tc>
        <w:tc>
          <w:tcPr>
            <w:tcW w:w="4620" w:type="dxa"/>
            <w:vAlign w:val="bottom"/>
            <w:vMerge w:val="restart"/>
            <w:shd w:val="clear" w:color="auto" w:fill="0093FF"/>
          </w:tcPr>
          <w:p>
            <w:pPr>
              <w:ind w:left="180"/>
              <w:spacing w:after="0"/>
              <w:rPr>
                <w:sz w:val="20"/>
                <w:szCs w:val="20"/>
                <w:color w:val="auto"/>
              </w:rPr>
            </w:pPr>
            <w:r>
              <w:rPr>
                <w:rFonts w:ascii="Arial" w:cs="Arial" w:eastAsia="Arial" w:hAnsi="Arial"/>
                <w:sz w:val="18"/>
                <w:szCs w:val="18"/>
                <w:b w:val="1"/>
                <w:bCs w:val="1"/>
                <w:color w:val="FFFFFF"/>
              </w:rPr>
              <w:t>Required Vote</w:t>
            </w:r>
          </w:p>
        </w:tc>
        <w:tc>
          <w:tcPr>
            <w:tcW w:w="1160" w:type="dxa"/>
            <w:vAlign w:val="bottom"/>
            <w:shd w:val="clear" w:color="auto" w:fill="0093FF"/>
          </w:tcPr>
          <w:p>
            <w:pPr>
              <w:ind w:left="380"/>
              <w:spacing w:after="0"/>
              <w:rPr>
                <w:sz w:val="20"/>
                <w:szCs w:val="20"/>
                <w:color w:val="auto"/>
              </w:rPr>
            </w:pPr>
            <w:r>
              <w:rPr>
                <w:rFonts w:ascii="Arial" w:cs="Arial" w:eastAsia="Arial" w:hAnsi="Arial"/>
                <w:sz w:val="18"/>
                <w:szCs w:val="18"/>
                <w:b w:val="1"/>
                <w:bCs w:val="1"/>
                <w:color w:val="FFFFFF"/>
              </w:rPr>
              <w:t>Page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3020" w:type="dxa"/>
            <w:vAlign w:val="bottom"/>
            <w:vMerge w:val="continue"/>
            <w:shd w:val="clear" w:color="auto" w:fill="0093FF"/>
          </w:tcPr>
          <w:p>
            <w:pPr>
              <w:spacing w:after="0"/>
              <w:rPr>
                <w:sz w:val="11"/>
                <w:szCs w:val="11"/>
                <w:color w:val="auto"/>
              </w:rPr>
            </w:pPr>
          </w:p>
        </w:tc>
        <w:tc>
          <w:tcPr>
            <w:tcW w:w="2420" w:type="dxa"/>
            <w:vAlign w:val="bottom"/>
            <w:vMerge w:val="restart"/>
            <w:shd w:val="clear" w:color="auto" w:fill="0093FF"/>
          </w:tcPr>
          <w:p>
            <w:pPr>
              <w:ind w:left="240"/>
              <w:spacing w:after="0"/>
              <w:rPr>
                <w:sz w:val="20"/>
                <w:szCs w:val="20"/>
                <w:color w:val="auto"/>
              </w:rPr>
            </w:pPr>
            <w:r>
              <w:rPr>
                <w:rFonts w:ascii="Arial" w:cs="Arial" w:eastAsia="Arial" w:hAnsi="Arial"/>
                <w:sz w:val="18"/>
                <w:szCs w:val="18"/>
                <w:b w:val="1"/>
                <w:bCs w:val="1"/>
                <w:color w:val="FFFFFF"/>
              </w:rPr>
              <w:t>Recommendation</w:t>
            </w:r>
          </w:p>
        </w:tc>
        <w:tc>
          <w:tcPr>
            <w:tcW w:w="4620" w:type="dxa"/>
            <w:vAlign w:val="bottom"/>
            <w:vMerge w:val="continue"/>
            <w:shd w:val="clear" w:color="auto" w:fill="0093FF"/>
          </w:tcPr>
          <w:p>
            <w:pPr>
              <w:spacing w:after="0"/>
              <w:rPr>
                <w:sz w:val="11"/>
                <w:szCs w:val="11"/>
                <w:color w:val="auto"/>
              </w:rPr>
            </w:pPr>
          </w:p>
        </w:tc>
        <w:tc>
          <w:tcPr>
            <w:tcW w:w="1160" w:type="dxa"/>
            <w:vAlign w:val="bottom"/>
            <w:vMerge w:val="restart"/>
            <w:shd w:val="clear" w:color="auto" w:fill="0093FF"/>
          </w:tcPr>
          <w:p>
            <w:pPr>
              <w:jc w:val="center"/>
              <w:spacing w:after="0"/>
              <w:rPr>
                <w:sz w:val="20"/>
                <w:szCs w:val="20"/>
                <w:color w:val="auto"/>
              </w:rPr>
            </w:pPr>
            <w:r>
              <w:rPr>
                <w:rFonts w:ascii="Arial" w:cs="Arial" w:eastAsia="Arial" w:hAnsi="Arial"/>
                <w:sz w:val="18"/>
                <w:szCs w:val="18"/>
                <w:b w:val="1"/>
                <w:bCs w:val="1"/>
                <w:color w:val="FFFFFF"/>
                <w:w w:val="99"/>
              </w:rPr>
              <w:t>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Borders>
              <w:bottom w:val="single" w:sz="8" w:color="0093FF"/>
            </w:tcBorders>
            <w:shd w:val="clear" w:color="auto" w:fill="0093FF"/>
          </w:tcPr>
          <w:p>
            <w:pPr>
              <w:spacing w:after="0"/>
              <w:rPr>
                <w:sz w:val="12"/>
                <w:szCs w:val="12"/>
                <w:color w:val="auto"/>
              </w:rPr>
            </w:pPr>
          </w:p>
        </w:tc>
        <w:tc>
          <w:tcPr>
            <w:tcW w:w="2420" w:type="dxa"/>
            <w:vAlign w:val="bottom"/>
            <w:tcBorders>
              <w:bottom w:val="single" w:sz="8" w:color="0093FF"/>
            </w:tcBorders>
            <w:vMerge w:val="continue"/>
            <w:shd w:val="clear" w:color="auto" w:fill="0093FF"/>
          </w:tcPr>
          <w:p>
            <w:pPr>
              <w:spacing w:after="0"/>
              <w:rPr>
                <w:sz w:val="12"/>
                <w:szCs w:val="12"/>
                <w:color w:val="auto"/>
              </w:rPr>
            </w:pPr>
          </w:p>
        </w:tc>
        <w:tc>
          <w:tcPr>
            <w:tcW w:w="4620" w:type="dxa"/>
            <w:vAlign w:val="bottom"/>
            <w:tcBorders>
              <w:bottom w:val="single" w:sz="8" w:color="0093FF"/>
            </w:tcBorders>
            <w:shd w:val="clear" w:color="auto" w:fill="0093FF"/>
          </w:tcPr>
          <w:p>
            <w:pPr>
              <w:spacing w:after="0"/>
              <w:rPr>
                <w:sz w:val="12"/>
                <w:szCs w:val="12"/>
                <w:color w:val="auto"/>
              </w:rPr>
            </w:pPr>
          </w:p>
        </w:tc>
        <w:tc>
          <w:tcPr>
            <w:tcW w:w="1160" w:type="dxa"/>
            <w:vAlign w:val="bottom"/>
            <w:tcBorders>
              <w:bottom w:val="single" w:sz="8" w:color="0093FF"/>
            </w:tcBorders>
            <w:vMerge w:val="continue"/>
            <w:shd w:val="clear" w:color="auto" w:fill="0093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3020" w:type="dxa"/>
            <w:vAlign w:val="bottom"/>
            <w:tcBorders>
              <w:top w:val="single" w:sz="8" w:color="auto"/>
            </w:tcBorders>
            <w:vMerge w:val="restart"/>
            <w:shd w:val="clear" w:color="auto" w:fill="CCE9FF"/>
          </w:tcPr>
          <w:p>
            <w:pPr>
              <w:ind w:left="12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2420" w:type="dxa"/>
            <w:vAlign w:val="bottom"/>
            <w:tcBorders>
              <w:top w:val="single" w:sz="8" w:color="auto"/>
            </w:tcBorders>
            <w:shd w:val="clear" w:color="auto" w:fill="CCE9FF"/>
          </w:tcPr>
          <w:p>
            <w:pPr>
              <w:ind w:left="2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w:t>
            </w:r>
          </w:p>
        </w:tc>
        <w:tc>
          <w:tcPr>
            <w:tcW w:w="4620" w:type="dxa"/>
            <w:vAlign w:val="bottom"/>
            <w:tcBorders>
              <w:top w:val="single" w:sz="8" w:color="auto"/>
            </w:tcBorders>
            <w:shd w:val="clear" w:color="auto" w:fill="CCE9FF"/>
          </w:tcPr>
          <w:p>
            <w:pPr>
              <w:ind w:left="180"/>
              <w:spacing w:after="0"/>
              <w:rPr>
                <w:sz w:val="20"/>
                <w:szCs w:val="20"/>
                <w:color w:val="auto"/>
              </w:rPr>
            </w:pPr>
            <w:r>
              <w:rPr>
                <w:rFonts w:ascii="Arial" w:cs="Arial" w:eastAsia="Arial" w:hAnsi="Arial"/>
                <w:sz w:val="18"/>
                <w:szCs w:val="18"/>
                <w:color w:val="auto"/>
              </w:rPr>
              <w:t>Affirmative vote of a majority of shares present in</w:t>
            </w:r>
          </w:p>
        </w:tc>
        <w:tc>
          <w:tcPr>
            <w:tcW w:w="1160" w:type="dxa"/>
            <w:vAlign w:val="bottom"/>
            <w:tcBorders>
              <w:top w:val="single" w:sz="8" w:color="auto"/>
            </w:tcBorders>
            <w:vMerge w:val="restart"/>
            <w:shd w:val="clear" w:color="auto" w:fill="CCE9FF"/>
          </w:tcPr>
          <w:p>
            <w:pPr>
              <w:jc w:val="center"/>
              <w:spacing w:after="0"/>
              <w:rPr>
                <w:sz w:val="20"/>
                <w:szCs w:val="20"/>
                <w:color w:val="auto"/>
              </w:rPr>
            </w:pPr>
            <w:r>
              <w:rPr>
                <w:rFonts w:ascii="Arial" w:cs="Arial" w:eastAsia="Arial" w:hAnsi="Arial"/>
                <w:sz w:val="18"/>
                <w:szCs w:val="18"/>
                <w:color w:val="auto"/>
                <w:w w:val="99"/>
              </w:rPr>
              <w:t>87</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020" w:type="dxa"/>
            <w:vAlign w:val="bottom"/>
            <w:vMerge w:val="continue"/>
            <w:shd w:val="clear" w:color="auto" w:fill="CCE9FF"/>
          </w:tcPr>
          <w:p>
            <w:pPr>
              <w:spacing w:after="0"/>
              <w:rPr>
                <w:sz w:val="9"/>
                <w:szCs w:val="9"/>
                <w:color w:val="auto"/>
              </w:rPr>
            </w:pPr>
          </w:p>
        </w:tc>
        <w:tc>
          <w:tcPr>
            <w:tcW w:w="2420" w:type="dxa"/>
            <w:vAlign w:val="bottom"/>
            <w:vMerge w:val="restart"/>
            <w:shd w:val="clear" w:color="auto" w:fill="CCE9FF"/>
          </w:tcPr>
          <w:p>
            <w:pPr>
              <w:ind w:left="240"/>
              <w:spacing w:after="0"/>
              <w:rPr>
                <w:sz w:val="20"/>
                <w:szCs w:val="20"/>
                <w:color w:val="auto"/>
              </w:rPr>
            </w:pPr>
            <w:r>
              <w:rPr>
                <w:rFonts w:ascii="Arial" w:cs="Arial" w:eastAsia="Arial" w:hAnsi="Arial"/>
                <w:sz w:val="18"/>
                <w:szCs w:val="18"/>
                <w:color w:val="auto"/>
              </w:rPr>
              <w:t>nominee</w:t>
            </w:r>
          </w:p>
        </w:tc>
        <w:tc>
          <w:tcPr>
            <w:tcW w:w="4620" w:type="dxa"/>
            <w:vAlign w:val="bottom"/>
            <w:vMerge w:val="restart"/>
            <w:shd w:val="clear" w:color="auto" w:fill="CCE9FF"/>
          </w:tcPr>
          <w:p>
            <w:pPr>
              <w:ind w:left="180"/>
              <w:spacing w:after="0"/>
              <w:rPr>
                <w:sz w:val="20"/>
                <w:szCs w:val="20"/>
                <w:color w:val="auto"/>
              </w:rPr>
            </w:pPr>
            <w:r>
              <w:rPr>
                <w:rFonts w:ascii="Arial" w:cs="Arial" w:eastAsia="Arial" w:hAnsi="Arial"/>
                <w:sz w:val="18"/>
                <w:szCs w:val="18"/>
                <w:color w:val="auto"/>
              </w:rPr>
              <w:t>person* or represented by proxy and entitled to vote</w:t>
            </w:r>
          </w:p>
        </w:tc>
        <w:tc>
          <w:tcPr>
            <w:tcW w:w="1160" w:type="dxa"/>
            <w:vAlign w:val="bottom"/>
            <w:vMerge w:val="continue"/>
            <w:shd w:val="clear" w:color="auto" w:fill="CCE9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shd w:val="clear" w:color="auto" w:fill="CCE9FF"/>
          </w:tcPr>
          <w:p>
            <w:pPr>
              <w:spacing w:after="0"/>
              <w:rPr>
                <w:sz w:val="9"/>
                <w:szCs w:val="9"/>
                <w:color w:val="auto"/>
              </w:rPr>
            </w:pPr>
          </w:p>
        </w:tc>
        <w:tc>
          <w:tcPr>
            <w:tcW w:w="2420" w:type="dxa"/>
            <w:vAlign w:val="bottom"/>
            <w:vMerge w:val="continue"/>
            <w:shd w:val="clear" w:color="auto" w:fill="CCE9FF"/>
          </w:tcPr>
          <w:p>
            <w:pPr>
              <w:spacing w:after="0"/>
              <w:rPr>
                <w:sz w:val="9"/>
                <w:szCs w:val="9"/>
                <w:color w:val="auto"/>
              </w:rPr>
            </w:pPr>
          </w:p>
        </w:tc>
        <w:tc>
          <w:tcPr>
            <w:tcW w:w="4620" w:type="dxa"/>
            <w:vAlign w:val="bottom"/>
            <w:vMerge w:val="continue"/>
            <w:shd w:val="clear" w:color="auto" w:fill="CCE9FF"/>
          </w:tcPr>
          <w:p>
            <w:pPr>
              <w:spacing w:after="0"/>
              <w:rPr>
                <w:sz w:val="9"/>
                <w:szCs w:val="9"/>
                <w:color w:val="auto"/>
              </w:rPr>
            </w:pPr>
          </w:p>
        </w:tc>
        <w:tc>
          <w:tcPr>
            <w:tcW w:w="1160" w:type="dxa"/>
            <w:vAlign w:val="bottom"/>
            <w:shd w:val="clear" w:color="auto" w:fill="CCE9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020" w:type="dxa"/>
            <w:vAlign w:val="bottom"/>
            <w:tcBorders>
              <w:bottom w:val="single" w:sz="8" w:color="auto"/>
            </w:tcBorders>
            <w:shd w:val="clear" w:color="auto" w:fill="CCE9FF"/>
          </w:tcPr>
          <w:p>
            <w:pPr>
              <w:spacing w:after="0"/>
              <w:rPr>
                <w:sz w:val="8"/>
                <w:szCs w:val="8"/>
                <w:color w:val="auto"/>
              </w:rPr>
            </w:pPr>
          </w:p>
        </w:tc>
        <w:tc>
          <w:tcPr>
            <w:tcW w:w="2420" w:type="dxa"/>
            <w:vAlign w:val="bottom"/>
            <w:tcBorders>
              <w:bottom w:val="single" w:sz="8" w:color="auto"/>
            </w:tcBorders>
            <w:shd w:val="clear" w:color="auto" w:fill="CCE9FF"/>
          </w:tcPr>
          <w:p>
            <w:pPr>
              <w:spacing w:after="0"/>
              <w:rPr>
                <w:sz w:val="8"/>
                <w:szCs w:val="8"/>
                <w:color w:val="auto"/>
              </w:rPr>
            </w:pPr>
          </w:p>
        </w:tc>
        <w:tc>
          <w:tcPr>
            <w:tcW w:w="4620" w:type="dxa"/>
            <w:vAlign w:val="bottom"/>
            <w:tcBorders>
              <w:bottom w:val="single" w:sz="8" w:color="auto"/>
            </w:tcBorders>
            <w:shd w:val="clear" w:color="auto" w:fill="CCE9FF"/>
          </w:tcPr>
          <w:p>
            <w:pPr>
              <w:spacing w:after="0"/>
              <w:rPr>
                <w:sz w:val="8"/>
                <w:szCs w:val="8"/>
                <w:color w:val="auto"/>
              </w:rPr>
            </w:pPr>
          </w:p>
        </w:tc>
        <w:tc>
          <w:tcPr>
            <w:tcW w:w="1160" w:type="dxa"/>
            <w:vAlign w:val="bottom"/>
            <w:tcBorders>
              <w:bottom w:val="single" w:sz="8" w:color="auto"/>
            </w:tcBorders>
            <w:shd w:val="clear" w:color="auto" w:fill="CCE9FF"/>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Ratification of appointment of</w:t>
            </w:r>
          </w:p>
        </w:tc>
        <w:tc>
          <w:tcPr>
            <w:tcW w:w="24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FOR</w:t>
            </w:r>
          </w:p>
        </w:tc>
        <w:tc>
          <w:tcPr>
            <w:tcW w:w="4620" w:type="dxa"/>
            <w:vAlign w:val="bottom"/>
            <w:vMerge w:val="restart"/>
          </w:tcPr>
          <w:p>
            <w:pPr>
              <w:ind w:left="180"/>
              <w:spacing w:after="0"/>
              <w:rPr>
                <w:sz w:val="20"/>
                <w:szCs w:val="20"/>
                <w:color w:val="auto"/>
              </w:rPr>
            </w:pPr>
            <w:r>
              <w:rPr>
                <w:rFonts w:ascii="Arial" w:cs="Arial" w:eastAsia="Arial" w:hAnsi="Arial"/>
                <w:sz w:val="18"/>
                <w:szCs w:val="18"/>
                <w:color w:val="auto"/>
              </w:rPr>
              <w:t>Affirmative vote of a majority of shares present in</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2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independent registered public</w:t>
            </w:r>
          </w:p>
        </w:tc>
        <w:tc>
          <w:tcPr>
            <w:tcW w:w="2420" w:type="dxa"/>
            <w:vAlign w:val="bottom"/>
            <w:vMerge w:val="continue"/>
          </w:tcPr>
          <w:p>
            <w:pPr>
              <w:spacing w:after="0"/>
              <w:rPr>
                <w:sz w:val="8"/>
                <w:szCs w:val="8"/>
                <w:color w:val="auto"/>
              </w:rPr>
            </w:pPr>
          </w:p>
        </w:tc>
        <w:tc>
          <w:tcPr>
            <w:tcW w:w="4620" w:type="dxa"/>
            <w:vAlign w:val="bottom"/>
            <w:vMerge w:val="continue"/>
          </w:tcPr>
          <w:p>
            <w:pPr>
              <w:spacing w:after="0"/>
              <w:rPr>
                <w:sz w:val="8"/>
                <w:szCs w:val="8"/>
                <w:color w:val="auto"/>
              </w:rPr>
            </w:pPr>
          </w:p>
        </w:tc>
        <w:tc>
          <w:tcPr>
            <w:tcW w:w="1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89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8"/>
                <w:szCs w:val="18"/>
                <w:color w:val="auto"/>
              </w:rPr>
              <w:t>person* or represented by proxy and entitled to vote</w:t>
            </w: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020" w:type="dxa"/>
            <w:vAlign w:val="bottom"/>
            <w:vMerge w:val="restart"/>
          </w:tcPr>
          <w:p>
            <w:pPr>
              <w:ind w:left="120"/>
              <w:spacing w:after="0"/>
              <w:rPr>
                <w:sz w:val="20"/>
                <w:szCs w:val="20"/>
                <w:color w:val="auto"/>
              </w:rPr>
            </w:pPr>
            <w:r>
              <w:rPr>
                <w:rFonts w:ascii="Arial" w:cs="Arial" w:eastAsia="Arial" w:hAnsi="Arial"/>
                <w:sz w:val="18"/>
                <w:szCs w:val="18"/>
                <w:color w:val="auto"/>
              </w:rPr>
              <w:t>accounting firm</w:t>
            </w:r>
          </w:p>
        </w:tc>
        <w:tc>
          <w:tcPr>
            <w:tcW w:w="242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0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46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CCE9FF"/>
          </w:tcPr>
          <w:p>
            <w:pPr>
              <w:ind w:left="12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Advisory (non-binding) vote on</w:t>
            </w:r>
          </w:p>
        </w:tc>
        <w:tc>
          <w:tcPr>
            <w:tcW w:w="2420" w:type="dxa"/>
            <w:vAlign w:val="bottom"/>
            <w:vMerge w:val="restart"/>
            <w:shd w:val="clear" w:color="auto" w:fill="CCE9FF"/>
          </w:tcPr>
          <w:p>
            <w:pPr>
              <w:ind w:left="240"/>
              <w:spacing w:after="0"/>
              <w:rPr>
                <w:sz w:val="20"/>
                <w:szCs w:val="20"/>
                <w:color w:val="auto"/>
              </w:rPr>
            </w:pPr>
            <w:r>
              <w:rPr>
                <w:rFonts w:ascii="Arial" w:cs="Arial" w:eastAsia="Arial" w:hAnsi="Arial"/>
                <w:sz w:val="18"/>
                <w:szCs w:val="18"/>
                <w:b w:val="1"/>
                <w:bCs w:val="1"/>
                <w:color w:val="auto"/>
              </w:rPr>
              <w:t>FOR</w:t>
            </w:r>
          </w:p>
        </w:tc>
        <w:tc>
          <w:tcPr>
            <w:tcW w:w="4620" w:type="dxa"/>
            <w:vAlign w:val="bottom"/>
            <w:shd w:val="clear" w:color="auto" w:fill="CCE9FF"/>
          </w:tcPr>
          <w:p>
            <w:pPr>
              <w:ind w:left="180"/>
              <w:spacing w:after="0"/>
              <w:rPr>
                <w:sz w:val="20"/>
                <w:szCs w:val="20"/>
                <w:color w:val="auto"/>
              </w:rPr>
            </w:pPr>
            <w:r>
              <w:rPr>
                <w:rFonts w:ascii="Arial" w:cs="Arial" w:eastAsia="Arial" w:hAnsi="Arial"/>
                <w:sz w:val="18"/>
                <w:szCs w:val="18"/>
                <w:color w:val="auto"/>
              </w:rPr>
              <w:t>Affirmative vote of a majority of shares present in</w:t>
            </w:r>
          </w:p>
        </w:tc>
        <w:tc>
          <w:tcPr>
            <w:tcW w:w="1160" w:type="dxa"/>
            <w:vAlign w:val="bottom"/>
            <w:vMerge w:val="restart"/>
            <w:shd w:val="clear" w:color="auto" w:fill="CCE9FF"/>
          </w:tcPr>
          <w:p>
            <w:pPr>
              <w:jc w:val="center"/>
              <w:spacing w:after="0"/>
              <w:rPr>
                <w:sz w:val="20"/>
                <w:szCs w:val="20"/>
                <w:color w:val="auto"/>
              </w:rPr>
            </w:pPr>
            <w:r>
              <w:rPr>
                <w:rFonts w:ascii="Arial" w:cs="Arial" w:eastAsia="Arial" w:hAnsi="Arial"/>
                <w:sz w:val="18"/>
                <w:szCs w:val="18"/>
                <w:color w:val="auto"/>
                <w:w w:val="99"/>
              </w:rPr>
              <w:t>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020" w:type="dxa"/>
            <w:vAlign w:val="bottom"/>
            <w:vMerge w:val="restart"/>
            <w:shd w:val="clear" w:color="auto" w:fill="CCE9FF"/>
          </w:tcPr>
          <w:p>
            <w:pPr>
              <w:ind w:left="120"/>
              <w:spacing w:after="0"/>
              <w:rPr>
                <w:sz w:val="20"/>
                <w:szCs w:val="20"/>
                <w:color w:val="auto"/>
              </w:rPr>
            </w:pPr>
            <w:r>
              <w:rPr>
                <w:rFonts w:ascii="Arial" w:cs="Arial" w:eastAsia="Arial" w:hAnsi="Arial"/>
                <w:sz w:val="18"/>
                <w:szCs w:val="18"/>
                <w:color w:val="auto"/>
              </w:rPr>
              <w:t>executive compensation</w:t>
            </w:r>
          </w:p>
        </w:tc>
        <w:tc>
          <w:tcPr>
            <w:tcW w:w="2420" w:type="dxa"/>
            <w:vAlign w:val="bottom"/>
            <w:vMerge w:val="continue"/>
            <w:shd w:val="clear" w:color="auto" w:fill="CCE9FF"/>
          </w:tcPr>
          <w:p>
            <w:pPr>
              <w:spacing w:after="0"/>
              <w:rPr>
                <w:sz w:val="9"/>
                <w:szCs w:val="9"/>
                <w:color w:val="auto"/>
              </w:rPr>
            </w:pPr>
          </w:p>
        </w:tc>
        <w:tc>
          <w:tcPr>
            <w:tcW w:w="4620" w:type="dxa"/>
            <w:vAlign w:val="bottom"/>
            <w:vMerge w:val="restart"/>
            <w:shd w:val="clear" w:color="auto" w:fill="CCE9FF"/>
          </w:tcPr>
          <w:p>
            <w:pPr>
              <w:ind w:left="180"/>
              <w:spacing w:after="0"/>
              <w:rPr>
                <w:sz w:val="20"/>
                <w:szCs w:val="20"/>
                <w:color w:val="auto"/>
              </w:rPr>
            </w:pPr>
            <w:r>
              <w:rPr>
                <w:rFonts w:ascii="Arial" w:cs="Arial" w:eastAsia="Arial" w:hAnsi="Arial"/>
                <w:sz w:val="18"/>
                <w:szCs w:val="18"/>
                <w:color w:val="auto"/>
              </w:rPr>
              <w:t>person* or represented by proxy and entitled to vote</w:t>
            </w:r>
          </w:p>
        </w:tc>
        <w:tc>
          <w:tcPr>
            <w:tcW w:w="1160" w:type="dxa"/>
            <w:vAlign w:val="bottom"/>
            <w:vMerge w:val="continue"/>
            <w:shd w:val="clear" w:color="auto" w:fill="CCE9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shd w:val="clear" w:color="auto" w:fill="CCE9FF"/>
          </w:tcPr>
          <w:p>
            <w:pPr>
              <w:spacing w:after="0"/>
              <w:rPr>
                <w:sz w:val="9"/>
                <w:szCs w:val="9"/>
                <w:color w:val="auto"/>
              </w:rPr>
            </w:pPr>
          </w:p>
        </w:tc>
        <w:tc>
          <w:tcPr>
            <w:tcW w:w="2420" w:type="dxa"/>
            <w:vAlign w:val="bottom"/>
            <w:shd w:val="clear" w:color="auto" w:fill="CCE9FF"/>
          </w:tcPr>
          <w:p>
            <w:pPr>
              <w:spacing w:after="0"/>
              <w:rPr>
                <w:sz w:val="9"/>
                <w:szCs w:val="9"/>
                <w:color w:val="auto"/>
              </w:rPr>
            </w:pPr>
          </w:p>
        </w:tc>
        <w:tc>
          <w:tcPr>
            <w:tcW w:w="4620" w:type="dxa"/>
            <w:vAlign w:val="bottom"/>
            <w:vMerge w:val="continue"/>
            <w:shd w:val="clear" w:color="auto" w:fill="CCE9FF"/>
          </w:tcPr>
          <w:p>
            <w:pPr>
              <w:spacing w:after="0"/>
              <w:rPr>
                <w:sz w:val="9"/>
                <w:szCs w:val="9"/>
                <w:color w:val="auto"/>
              </w:rPr>
            </w:pPr>
          </w:p>
        </w:tc>
        <w:tc>
          <w:tcPr>
            <w:tcW w:w="1160" w:type="dxa"/>
            <w:vAlign w:val="bottom"/>
            <w:shd w:val="clear" w:color="auto" w:fill="CCE9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020" w:type="dxa"/>
            <w:vAlign w:val="bottom"/>
            <w:shd w:val="clear" w:color="auto" w:fill="CCE9FF"/>
          </w:tcPr>
          <w:p>
            <w:pPr>
              <w:spacing w:after="0"/>
              <w:rPr>
                <w:sz w:val="8"/>
                <w:szCs w:val="8"/>
                <w:color w:val="auto"/>
              </w:rPr>
            </w:pPr>
          </w:p>
        </w:tc>
        <w:tc>
          <w:tcPr>
            <w:tcW w:w="2420" w:type="dxa"/>
            <w:vAlign w:val="bottom"/>
            <w:shd w:val="clear" w:color="auto" w:fill="CCE9FF"/>
          </w:tcPr>
          <w:p>
            <w:pPr>
              <w:spacing w:after="0"/>
              <w:rPr>
                <w:sz w:val="8"/>
                <w:szCs w:val="8"/>
                <w:color w:val="auto"/>
              </w:rPr>
            </w:pPr>
          </w:p>
        </w:tc>
        <w:tc>
          <w:tcPr>
            <w:tcW w:w="4620" w:type="dxa"/>
            <w:vAlign w:val="bottom"/>
            <w:shd w:val="clear" w:color="auto" w:fill="CCE9FF"/>
          </w:tcPr>
          <w:p>
            <w:pPr>
              <w:spacing w:after="0"/>
              <w:rPr>
                <w:sz w:val="8"/>
                <w:szCs w:val="8"/>
                <w:color w:val="auto"/>
              </w:rPr>
            </w:pPr>
          </w:p>
        </w:tc>
        <w:tc>
          <w:tcPr>
            <w:tcW w:w="1160" w:type="dxa"/>
            <w:vAlign w:val="bottom"/>
            <w:shd w:val="clear" w:color="auto" w:fill="CCE9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Virtual attendance at our Annual Meeting constitutes presence in person for purposes of quorum and voting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Our Business</w:t>
      </w:r>
    </w:p>
    <w:p>
      <w:pPr>
        <w:spacing w:after="0" w:line="2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262626"/>
        </w:rPr>
        <w:t>We are a leading operations management and analytics company that helps our clients build and grow sustainable businesses. By orchestrating our domain expertise, data, analytics and digital technology, we look deeper to design and manage agile, client-centric operating models to improve global operations, drive profitability, enhance client satisfaction, increase data-driven insights, and manage risk and compliance. We serve clients in multiple industries, including insurance, healthcare, banking and financial services, utilities, travel, transportation and logistics, media and retail, among others. Headquartered in New York, as of March 31, 2020 we had more than 32,700 professionals in locations throughout the United States, the United Kingdom, Europe, India, the Philippines, Colombia, Australia and South Africa.</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460" w:type="dxa"/>
            <w:vAlign w:val="bottom"/>
            <w:tcBorders>
              <w:left w:val="single" w:sz="8" w:color="D2ECFF"/>
            </w:tcBorders>
            <w:shd w:val="clear" w:color="auto" w:fill="0093FF"/>
          </w:tcPr>
          <w:p>
            <w:pPr>
              <w:spacing w:after="0"/>
              <w:rPr>
                <w:sz w:val="24"/>
                <w:szCs w:val="24"/>
                <w:color w:val="auto"/>
              </w:rPr>
            </w:pPr>
          </w:p>
        </w:tc>
        <w:tc>
          <w:tcPr>
            <w:tcW w:w="1560" w:type="dxa"/>
            <w:vAlign w:val="bottom"/>
            <w:shd w:val="clear" w:color="auto" w:fill="0093FF"/>
          </w:tcPr>
          <w:p>
            <w:pPr>
              <w:spacing w:after="0"/>
              <w:rPr>
                <w:sz w:val="24"/>
                <w:szCs w:val="24"/>
                <w:color w:val="auto"/>
              </w:rPr>
            </w:pPr>
          </w:p>
        </w:tc>
        <w:tc>
          <w:tcPr>
            <w:tcW w:w="3320" w:type="dxa"/>
            <w:vAlign w:val="bottom"/>
            <w:gridSpan w:val="3"/>
            <w:shd w:val="clear" w:color="auto" w:fill="0093FF"/>
          </w:tcPr>
          <w:p>
            <w:pPr>
              <w:jc w:val="center"/>
              <w:spacing w:after="0"/>
              <w:rPr>
                <w:sz w:val="20"/>
                <w:szCs w:val="20"/>
                <w:color w:val="auto"/>
              </w:rPr>
            </w:pPr>
            <w:r>
              <w:rPr>
                <w:rFonts w:ascii="Arial" w:cs="Arial" w:eastAsia="Arial" w:hAnsi="Arial"/>
                <w:sz w:val="18"/>
                <w:szCs w:val="18"/>
                <w:b w:val="1"/>
                <w:bCs w:val="1"/>
                <w:color w:val="FFFFFF"/>
                <w:w w:val="99"/>
              </w:rPr>
              <w:t>Company 3 Year Performance</w:t>
            </w:r>
          </w:p>
        </w:tc>
        <w:tc>
          <w:tcPr>
            <w:tcW w:w="760" w:type="dxa"/>
            <w:vAlign w:val="bottom"/>
            <w:shd w:val="clear" w:color="auto" w:fill="0093FF"/>
          </w:tcPr>
          <w:p>
            <w:pPr>
              <w:spacing w:after="0"/>
              <w:rPr>
                <w:sz w:val="24"/>
                <w:szCs w:val="24"/>
                <w:color w:val="auto"/>
              </w:rPr>
            </w:pPr>
          </w:p>
        </w:tc>
        <w:tc>
          <w:tcPr>
            <w:tcW w:w="1020" w:type="dxa"/>
            <w:vAlign w:val="bottom"/>
            <w:tcBorders>
              <w:right w:val="single" w:sz="8" w:color="D2ECFF"/>
            </w:tcBorders>
            <w:shd w:val="clear" w:color="auto" w:fill="0093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60" w:type="dxa"/>
            <w:vAlign w:val="bottom"/>
            <w:tcBorders>
              <w:left w:val="single" w:sz="8" w:color="D2ECFF"/>
            </w:tcBorders>
            <w:shd w:val="clear" w:color="auto" w:fill="0093FF"/>
          </w:tcPr>
          <w:p>
            <w:pPr>
              <w:spacing w:after="0"/>
              <w:rPr>
                <w:sz w:val="20"/>
                <w:szCs w:val="20"/>
                <w:color w:val="auto"/>
              </w:rPr>
            </w:pPr>
          </w:p>
        </w:tc>
        <w:tc>
          <w:tcPr>
            <w:tcW w:w="5640" w:type="dxa"/>
            <w:vAlign w:val="bottom"/>
            <w:gridSpan w:val="5"/>
            <w:shd w:val="clear" w:color="auto" w:fill="0093FF"/>
          </w:tcPr>
          <w:p>
            <w:pPr>
              <w:jc w:val="center"/>
              <w:ind w:left="770"/>
              <w:spacing w:after="0"/>
              <w:rPr>
                <w:sz w:val="20"/>
                <w:szCs w:val="20"/>
                <w:color w:val="auto"/>
              </w:rPr>
            </w:pPr>
            <w:r>
              <w:rPr>
                <w:rFonts w:ascii="Arial" w:cs="Arial" w:eastAsia="Arial" w:hAnsi="Arial"/>
                <w:sz w:val="18"/>
                <w:szCs w:val="18"/>
                <w:b w:val="1"/>
                <w:bCs w:val="1"/>
                <w:color w:val="FFFFFF"/>
                <w:w w:val="99"/>
              </w:rPr>
              <w:t>Revenue and Segment Information ($ in millions)</w:t>
            </w:r>
          </w:p>
        </w:tc>
        <w:tc>
          <w:tcPr>
            <w:tcW w:w="1020" w:type="dxa"/>
            <w:vAlign w:val="bottom"/>
            <w:tcBorders>
              <w:right w:val="single" w:sz="8" w:color="D2ECFF"/>
            </w:tcBorders>
            <w:shd w:val="clear" w:color="auto" w:fill="0093FF"/>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460" w:type="dxa"/>
            <w:vAlign w:val="bottom"/>
            <w:tcBorders>
              <w:left w:val="single" w:sz="8" w:color="D2ECFF"/>
            </w:tcBorders>
            <w:shd w:val="clear" w:color="auto" w:fill="0093FF"/>
          </w:tcPr>
          <w:p>
            <w:pPr>
              <w:spacing w:after="0"/>
              <w:rPr>
                <w:sz w:val="8"/>
                <w:szCs w:val="8"/>
                <w:color w:val="auto"/>
              </w:rPr>
            </w:pPr>
          </w:p>
        </w:tc>
        <w:tc>
          <w:tcPr>
            <w:tcW w:w="1560" w:type="dxa"/>
            <w:vAlign w:val="bottom"/>
            <w:shd w:val="clear" w:color="auto" w:fill="0093FF"/>
          </w:tcPr>
          <w:p>
            <w:pPr>
              <w:spacing w:after="0"/>
              <w:rPr>
                <w:sz w:val="8"/>
                <w:szCs w:val="8"/>
                <w:color w:val="auto"/>
              </w:rPr>
            </w:pPr>
          </w:p>
        </w:tc>
        <w:tc>
          <w:tcPr>
            <w:tcW w:w="3320" w:type="dxa"/>
            <w:vAlign w:val="bottom"/>
            <w:gridSpan w:val="3"/>
            <w:shd w:val="clear" w:color="auto" w:fill="0093FF"/>
          </w:tcPr>
          <w:p>
            <w:pPr>
              <w:spacing w:after="0"/>
              <w:rPr>
                <w:sz w:val="8"/>
                <w:szCs w:val="8"/>
                <w:color w:val="auto"/>
              </w:rPr>
            </w:pPr>
          </w:p>
        </w:tc>
        <w:tc>
          <w:tcPr>
            <w:tcW w:w="760" w:type="dxa"/>
            <w:vAlign w:val="bottom"/>
            <w:shd w:val="clear" w:color="auto" w:fill="0093FF"/>
          </w:tcPr>
          <w:p>
            <w:pPr>
              <w:spacing w:after="0"/>
              <w:rPr>
                <w:sz w:val="8"/>
                <w:szCs w:val="8"/>
                <w:color w:val="auto"/>
              </w:rPr>
            </w:pPr>
          </w:p>
        </w:tc>
        <w:tc>
          <w:tcPr>
            <w:tcW w:w="1020" w:type="dxa"/>
            <w:vAlign w:val="bottom"/>
            <w:tcBorders>
              <w:right w:val="single" w:sz="8" w:color="D2ECFF"/>
            </w:tcBorders>
            <w:shd w:val="clear" w:color="auto" w:fill="0093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460" w:type="dxa"/>
            <w:vAlign w:val="bottom"/>
            <w:tcBorders>
              <w:left w:val="single" w:sz="8" w:color="D2ECFF"/>
            </w:tcBorders>
            <w:shd w:val="clear" w:color="auto" w:fill="DBEFFF"/>
          </w:tcPr>
          <w:p>
            <w:pPr>
              <w:spacing w:after="0"/>
              <w:rPr>
                <w:sz w:val="24"/>
                <w:szCs w:val="24"/>
                <w:color w:val="auto"/>
              </w:rPr>
            </w:pPr>
          </w:p>
        </w:tc>
        <w:tc>
          <w:tcPr>
            <w:tcW w:w="1560" w:type="dxa"/>
            <w:vAlign w:val="bottom"/>
            <w:shd w:val="clear" w:color="auto" w:fill="DBEFFF"/>
          </w:tcPr>
          <w:p>
            <w:pPr>
              <w:spacing w:after="0"/>
              <w:rPr>
                <w:sz w:val="24"/>
                <w:szCs w:val="24"/>
                <w:color w:val="auto"/>
              </w:rPr>
            </w:pPr>
          </w:p>
        </w:tc>
        <w:tc>
          <w:tcPr>
            <w:tcW w:w="3320" w:type="dxa"/>
            <w:vAlign w:val="bottom"/>
            <w:gridSpan w:val="3"/>
            <w:shd w:val="clear" w:color="auto" w:fill="DBEFFF"/>
          </w:tcPr>
          <w:p>
            <w:pPr>
              <w:jc w:val="center"/>
              <w:ind w:left="30"/>
              <w:spacing w:after="0"/>
              <w:rPr>
                <w:sz w:val="20"/>
                <w:szCs w:val="20"/>
                <w:color w:val="auto"/>
              </w:rPr>
            </w:pPr>
            <w:r>
              <w:rPr>
                <w:rFonts w:ascii="Arial" w:cs="Arial" w:eastAsia="Arial" w:hAnsi="Arial"/>
                <w:sz w:val="18"/>
                <w:szCs w:val="18"/>
                <w:b w:val="1"/>
                <w:bCs w:val="1"/>
                <w:color w:val="auto"/>
                <w:w w:val="99"/>
              </w:rPr>
              <w:t>Revenue (Year-over-year growth %)</w:t>
            </w:r>
          </w:p>
        </w:tc>
        <w:tc>
          <w:tcPr>
            <w:tcW w:w="760" w:type="dxa"/>
            <w:vAlign w:val="bottom"/>
            <w:shd w:val="clear" w:color="auto" w:fill="DBEFFF"/>
          </w:tcPr>
          <w:p>
            <w:pPr>
              <w:spacing w:after="0"/>
              <w:rPr>
                <w:sz w:val="24"/>
                <w:szCs w:val="24"/>
                <w:color w:val="auto"/>
              </w:rPr>
            </w:pPr>
          </w:p>
        </w:tc>
        <w:tc>
          <w:tcPr>
            <w:tcW w:w="1020" w:type="dxa"/>
            <w:vAlign w:val="bottom"/>
            <w:tcBorders>
              <w:right w:val="single" w:sz="8" w:color="D2ECFF"/>
            </w:tcBorders>
            <w:shd w:val="clear" w:color="auto" w:fill="DBEF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Borders>
              <w:left w:val="single" w:sz="8" w:color="D2ECFF"/>
            </w:tcBorders>
            <w:shd w:val="clear" w:color="auto" w:fill="DBEFFF"/>
          </w:tcPr>
          <w:p>
            <w:pPr>
              <w:spacing w:after="0"/>
              <w:rPr>
                <w:sz w:val="24"/>
                <w:szCs w:val="24"/>
                <w:color w:val="auto"/>
              </w:rPr>
            </w:pPr>
          </w:p>
        </w:tc>
        <w:tc>
          <w:tcPr>
            <w:tcW w:w="1560" w:type="dxa"/>
            <w:vAlign w:val="bottom"/>
            <w:shd w:val="clear" w:color="auto" w:fill="DBEFFF"/>
          </w:tcPr>
          <w:p>
            <w:pPr>
              <w:jc w:val="right"/>
              <w:spacing w:after="0"/>
              <w:rPr>
                <w:sz w:val="20"/>
                <w:szCs w:val="20"/>
                <w:color w:val="auto"/>
              </w:rPr>
            </w:pPr>
            <w:r>
              <w:rPr>
                <w:rFonts w:ascii="Arial" w:cs="Arial" w:eastAsia="Arial" w:hAnsi="Arial"/>
                <w:sz w:val="18"/>
                <w:szCs w:val="18"/>
                <w:b w:val="1"/>
                <w:bCs w:val="1"/>
                <w:color w:val="auto"/>
              </w:rPr>
              <w:t>2017 YOY%</w:t>
            </w:r>
          </w:p>
        </w:tc>
        <w:tc>
          <w:tcPr>
            <w:tcW w:w="880" w:type="dxa"/>
            <w:vAlign w:val="bottom"/>
            <w:shd w:val="clear" w:color="auto" w:fill="DBEFFF"/>
          </w:tcPr>
          <w:p>
            <w:pPr>
              <w:spacing w:after="0"/>
              <w:rPr>
                <w:sz w:val="24"/>
                <w:szCs w:val="24"/>
                <w:color w:val="auto"/>
              </w:rPr>
            </w:pPr>
          </w:p>
        </w:tc>
        <w:tc>
          <w:tcPr>
            <w:tcW w:w="1380" w:type="dxa"/>
            <w:vAlign w:val="bottom"/>
            <w:shd w:val="clear" w:color="auto" w:fill="DBEFFF"/>
          </w:tcPr>
          <w:p>
            <w:pPr>
              <w:jc w:val="center"/>
              <w:ind w:left="190"/>
              <w:spacing w:after="0"/>
              <w:rPr>
                <w:sz w:val="20"/>
                <w:szCs w:val="20"/>
                <w:color w:val="auto"/>
              </w:rPr>
            </w:pPr>
            <w:r>
              <w:rPr>
                <w:rFonts w:ascii="Arial" w:cs="Arial" w:eastAsia="Arial" w:hAnsi="Arial"/>
                <w:sz w:val="18"/>
                <w:szCs w:val="18"/>
                <w:b w:val="1"/>
                <w:bCs w:val="1"/>
                <w:color w:val="auto"/>
                <w:w w:val="98"/>
              </w:rPr>
              <w:t>2018 YOY%</w:t>
            </w:r>
          </w:p>
        </w:tc>
        <w:tc>
          <w:tcPr>
            <w:tcW w:w="1060" w:type="dxa"/>
            <w:vAlign w:val="bottom"/>
            <w:shd w:val="clear" w:color="auto" w:fill="DBEFFF"/>
          </w:tcPr>
          <w:p>
            <w:pPr>
              <w:spacing w:after="0"/>
              <w:rPr>
                <w:sz w:val="24"/>
                <w:szCs w:val="24"/>
                <w:color w:val="auto"/>
              </w:rPr>
            </w:pPr>
          </w:p>
        </w:tc>
        <w:tc>
          <w:tcPr>
            <w:tcW w:w="1780" w:type="dxa"/>
            <w:vAlign w:val="bottom"/>
            <w:tcBorders>
              <w:right w:val="single" w:sz="8" w:color="D2ECFF"/>
            </w:tcBorders>
            <w:gridSpan w:val="2"/>
            <w:shd w:val="clear" w:color="auto" w:fill="DBEFFF"/>
          </w:tcPr>
          <w:p>
            <w:pPr>
              <w:ind w:left="140"/>
              <w:spacing w:after="0"/>
              <w:rPr>
                <w:sz w:val="20"/>
                <w:szCs w:val="20"/>
                <w:color w:val="auto"/>
              </w:rPr>
            </w:pPr>
            <w:r>
              <w:rPr>
                <w:rFonts w:ascii="Arial" w:cs="Arial" w:eastAsia="Arial" w:hAnsi="Arial"/>
                <w:sz w:val="18"/>
                <w:szCs w:val="18"/>
                <w:b w:val="1"/>
                <w:bCs w:val="1"/>
                <w:color w:val="auto"/>
              </w:rPr>
              <w:t>2019 YOY%</w:t>
            </w:r>
          </w:p>
        </w:tc>
        <w:tc>
          <w:tcPr>
            <w:tcW w:w="0" w:type="dxa"/>
            <w:vAlign w:val="bottom"/>
          </w:tcPr>
          <w:p>
            <w:pPr>
              <w:spacing w:after="0"/>
              <w:rPr>
                <w:sz w:val="1"/>
                <w:szCs w:val="1"/>
                <w:color w:val="auto"/>
              </w:rPr>
            </w:pPr>
          </w:p>
        </w:tc>
      </w:tr>
      <w:tr>
        <w:trPr>
          <w:trHeight w:val="290"/>
        </w:trPr>
        <w:tc>
          <w:tcPr>
            <w:tcW w:w="3460" w:type="dxa"/>
            <w:vAlign w:val="bottom"/>
            <w:tcBorders>
              <w:left w:val="single" w:sz="8" w:color="D2ECFF"/>
              <w:bottom w:val="single" w:sz="8" w:color="F0F8FF"/>
            </w:tcBorders>
            <w:shd w:val="clear" w:color="auto" w:fill="F0F8FF"/>
          </w:tcPr>
          <w:p>
            <w:pPr>
              <w:ind w:left="120"/>
              <w:spacing w:after="0"/>
              <w:rPr>
                <w:sz w:val="20"/>
                <w:szCs w:val="20"/>
                <w:color w:val="auto"/>
              </w:rPr>
            </w:pPr>
            <w:r>
              <w:rPr>
                <w:rFonts w:ascii="Arial" w:cs="Arial" w:eastAsia="Arial" w:hAnsi="Arial"/>
                <w:sz w:val="18"/>
                <w:szCs w:val="18"/>
                <w:color w:val="auto"/>
              </w:rPr>
              <w:t>Insurance Segment</w:t>
            </w:r>
          </w:p>
        </w:tc>
        <w:tc>
          <w:tcPr>
            <w:tcW w:w="1560" w:type="dxa"/>
            <w:vAlign w:val="bottom"/>
            <w:tcBorders>
              <w:bottom w:val="single" w:sz="8" w:color="F0F8FF"/>
            </w:tcBorders>
            <w:shd w:val="clear" w:color="auto" w:fill="F0F8FF"/>
          </w:tcPr>
          <w:p>
            <w:pPr>
              <w:jc w:val="right"/>
              <w:ind w:right="430"/>
              <w:spacing w:after="0"/>
              <w:rPr>
                <w:sz w:val="20"/>
                <w:szCs w:val="20"/>
                <w:color w:val="auto"/>
              </w:rPr>
            </w:pPr>
            <w:r>
              <w:rPr>
                <w:rFonts w:ascii="Arial" w:cs="Arial" w:eastAsia="Arial" w:hAnsi="Arial"/>
                <w:sz w:val="18"/>
                <w:szCs w:val="18"/>
                <w:color w:val="auto"/>
              </w:rPr>
              <w:t>$234.8</w:t>
            </w:r>
          </w:p>
        </w:tc>
        <w:tc>
          <w:tcPr>
            <w:tcW w:w="880" w:type="dxa"/>
            <w:vAlign w:val="bottom"/>
            <w:tcBorders>
              <w:bottom w:val="single" w:sz="8" w:color="F0F8FF"/>
            </w:tcBorders>
            <w:shd w:val="clear" w:color="auto" w:fill="F0F8FF"/>
          </w:tcPr>
          <w:p>
            <w:pPr>
              <w:jc w:val="right"/>
              <w:ind w:right="190"/>
              <w:spacing w:after="0"/>
              <w:rPr>
                <w:sz w:val="20"/>
                <w:szCs w:val="20"/>
                <w:color w:val="auto"/>
              </w:rPr>
            </w:pPr>
            <w:r>
              <w:rPr>
                <w:rFonts w:ascii="Arial" w:cs="Arial" w:eastAsia="Arial" w:hAnsi="Arial"/>
                <w:sz w:val="18"/>
                <w:szCs w:val="18"/>
                <w:color w:val="auto"/>
              </w:rPr>
              <w:t>13.8%</w:t>
            </w:r>
          </w:p>
        </w:tc>
        <w:tc>
          <w:tcPr>
            <w:tcW w:w="1380" w:type="dxa"/>
            <w:vAlign w:val="bottom"/>
            <w:tcBorders>
              <w:bottom w:val="single" w:sz="8" w:color="F0F8FF"/>
            </w:tcBorders>
            <w:shd w:val="clear" w:color="auto" w:fill="F0F8FF"/>
          </w:tcPr>
          <w:p>
            <w:pPr>
              <w:jc w:val="right"/>
              <w:ind w:right="450"/>
              <w:spacing w:after="0"/>
              <w:rPr>
                <w:sz w:val="20"/>
                <w:szCs w:val="20"/>
                <w:color w:val="auto"/>
              </w:rPr>
            </w:pPr>
            <w:r>
              <w:rPr>
                <w:rFonts w:ascii="Arial" w:cs="Arial" w:eastAsia="Arial" w:hAnsi="Arial"/>
                <w:sz w:val="18"/>
                <w:szCs w:val="18"/>
                <w:color w:val="auto"/>
              </w:rPr>
              <w:t>$258.1</w:t>
            </w:r>
          </w:p>
        </w:tc>
        <w:tc>
          <w:tcPr>
            <w:tcW w:w="1060" w:type="dxa"/>
            <w:vAlign w:val="bottom"/>
            <w:tcBorders>
              <w:bottom w:val="single" w:sz="8" w:color="F0F8FF"/>
            </w:tcBorders>
            <w:shd w:val="clear" w:color="auto" w:fill="F0F8FF"/>
          </w:tcPr>
          <w:p>
            <w:pPr>
              <w:jc w:val="right"/>
              <w:ind w:right="390"/>
              <w:spacing w:after="0"/>
              <w:rPr>
                <w:sz w:val="20"/>
                <w:szCs w:val="20"/>
                <w:color w:val="auto"/>
              </w:rPr>
            </w:pPr>
            <w:r>
              <w:rPr>
                <w:rFonts w:ascii="Arial" w:cs="Arial" w:eastAsia="Arial" w:hAnsi="Arial"/>
                <w:sz w:val="18"/>
                <w:szCs w:val="18"/>
                <w:color w:val="auto"/>
              </w:rPr>
              <w:t>9.9%</w:t>
            </w:r>
          </w:p>
        </w:tc>
        <w:tc>
          <w:tcPr>
            <w:tcW w:w="760" w:type="dxa"/>
            <w:vAlign w:val="bottom"/>
            <w:tcBorders>
              <w:bottom w:val="single" w:sz="8" w:color="F0F8FF"/>
            </w:tcBorders>
            <w:shd w:val="clear" w:color="auto" w:fill="F0F8FF"/>
          </w:tcPr>
          <w:p>
            <w:pPr>
              <w:jc w:val="right"/>
              <w:ind w:right="30"/>
              <w:spacing w:after="0"/>
              <w:rPr>
                <w:sz w:val="20"/>
                <w:szCs w:val="20"/>
                <w:color w:val="auto"/>
              </w:rPr>
            </w:pPr>
            <w:r>
              <w:rPr>
                <w:rFonts w:ascii="Arial" w:cs="Arial" w:eastAsia="Arial" w:hAnsi="Arial"/>
                <w:sz w:val="18"/>
                <w:szCs w:val="18"/>
                <w:color w:val="auto"/>
              </w:rPr>
              <w:t>$294.2</w:t>
            </w:r>
          </w:p>
        </w:tc>
        <w:tc>
          <w:tcPr>
            <w:tcW w:w="1020" w:type="dxa"/>
            <w:vAlign w:val="bottom"/>
            <w:tcBorders>
              <w:bottom w:val="single" w:sz="8" w:color="F0F8FF"/>
              <w:right w:val="single" w:sz="8" w:color="D2ECFF"/>
            </w:tcBorders>
            <w:shd w:val="clear" w:color="auto" w:fill="F0F8FF"/>
          </w:tcPr>
          <w:p>
            <w:pPr>
              <w:jc w:val="center"/>
              <w:ind w:right="70"/>
              <w:spacing w:after="0"/>
              <w:rPr>
                <w:sz w:val="20"/>
                <w:szCs w:val="20"/>
                <w:color w:val="auto"/>
              </w:rPr>
            </w:pPr>
            <w:r>
              <w:rPr>
                <w:rFonts w:ascii="Arial" w:cs="Arial" w:eastAsia="Arial" w:hAnsi="Arial"/>
                <w:sz w:val="18"/>
                <w:szCs w:val="18"/>
                <w:color w:val="auto"/>
                <w:w w:val="97"/>
              </w:rPr>
              <w:t>14.0%</w:t>
            </w:r>
          </w:p>
        </w:tc>
        <w:tc>
          <w:tcPr>
            <w:tcW w:w="0" w:type="dxa"/>
            <w:vAlign w:val="bottom"/>
          </w:tcPr>
          <w:p>
            <w:pPr>
              <w:spacing w:after="0"/>
              <w:rPr>
                <w:sz w:val="1"/>
                <w:szCs w:val="1"/>
                <w:color w:val="auto"/>
              </w:rPr>
            </w:pPr>
          </w:p>
        </w:tc>
      </w:tr>
      <w:tr>
        <w:trPr>
          <w:trHeight w:val="270"/>
        </w:trPr>
        <w:tc>
          <w:tcPr>
            <w:tcW w:w="3460" w:type="dxa"/>
            <w:vAlign w:val="bottom"/>
            <w:tcBorders>
              <w:left w:val="single" w:sz="8" w:color="D2ECFF"/>
            </w:tcBorders>
          </w:tcPr>
          <w:p>
            <w:pPr>
              <w:ind w:left="120"/>
              <w:spacing w:after="0"/>
              <w:rPr>
                <w:sz w:val="20"/>
                <w:szCs w:val="20"/>
                <w:color w:val="auto"/>
              </w:rPr>
            </w:pPr>
            <w:r>
              <w:rPr>
                <w:rFonts w:ascii="Arial" w:cs="Arial" w:eastAsia="Arial" w:hAnsi="Arial"/>
                <w:sz w:val="18"/>
                <w:szCs w:val="18"/>
                <w:color w:val="auto"/>
              </w:rPr>
              <w:t>Healthcare Segment</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77.0</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12.2%</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84.4</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9.6%</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20" w:type="dxa"/>
            <w:vAlign w:val="bottom"/>
            <w:tcBorders>
              <w:right w:val="single" w:sz="8" w:color="D2ECFF"/>
            </w:tcBorders>
          </w:tcPr>
          <w:p>
            <w:pPr>
              <w:jc w:val="center"/>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0"/>
        </w:trPr>
        <w:tc>
          <w:tcPr>
            <w:tcW w:w="3460" w:type="dxa"/>
            <w:vAlign w:val="bottom"/>
            <w:tcBorders>
              <w:left w:val="single" w:sz="8" w:color="D2ECFF"/>
            </w:tcBorders>
          </w:tcPr>
          <w:p>
            <w:pPr>
              <w:spacing w:after="0"/>
              <w:rPr>
                <w:sz w:val="3"/>
                <w:szCs w:val="3"/>
                <w:color w:val="auto"/>
              </w:rPr>
            </w:pPr>
          </w:p>
        </w:tc>
        <w:tc>
          <w:tcPr>
            <w:tcW w:w="1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Borders>
              <w:right w:val="single" w:sz="8" w:color="D2ECFF"/>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60" w:type="dxa"/>
            <w:vAlign w:val="bottom"/>
            <w:tcBorders>
              <w:left w:val="single" w:sz="8" w:color="D2ECFF"/>
            </w:tcBorders>
            <w:shd w:val="clear" w:color="auto" w:fill="F0F8FF"/>
          </w:tcPr>
          <w:p>
            <w:pPr>
              <w:ind w:left="120"/>
              <w:spacing w:after="0"/>
              <w:rPr>
                <w:sz w:val="20"/>
                <w:szCs w:val="20"/>
                <w:color w:val="auto"/>
              </w:rPr>
            </w:pPr>
            <w:r>
              <w:rPr>
                <w:rFonts w:ascii="Arial" w:cs="Arial" w:eastAsia="Arial" w:hAnsi="Arial"/>
                <w:sz w:val="18"/>
                <w:szCs w:val="18"/>
                <w:color w:val="auto"/>
              </w:rPr>
              <w:t>Travel, Transportation and Logistics</w:t>
            </w:r>
          </w:p>
        </w:tc>
        <w:tc>
          <w:tcPr>
            <w:tcW w:w="1560" w:type="dxa"/>
            <w:vAlign w:val="bottom"/>
            <w:vMerge w:val="restart"/>
            <w:shd w:val="clear" w:color="auto" w:fill="F0F8FF"/>
          </w:tcPr>
          <w:p>
            <w:pPr>
              <w:jc w:val="right"/>
              <w:ind w:right="430"/>
              <w:spacing w:after="0"/>
              <w:rPr>
                <w:sz w:val="20"/>
                <w:szCs w:val="20"/>
                <w:color w:val="auto"/>
              </w:rPr>
            </w:pPr>
            <w:r>
              <w:rPr>
                <w:rFonts w:ascii="Arial" w:cs="Arial" w:eastAsia="Arial" w:hAnsi="Arial"/>
                <w:sz w:val="18"/>
                <w:szCs w:val="18"/>
                <w:color w:val="auto"/>
              </w:rPr>
              <w:t>71.0</w:t>
            </w:r>
          </w:p>
        </w:tc>
        <w:tc>
          <w:tcPr>
            <w:tcW w:w="880" w:type="dxa"/>
            <w:vAlign w:val="bottom"/>
            <w:vMerge w:val="restart"/>
            <w:shd w:val="clear" w:color="auto" w:fill="F0F8FF"/>
          </w:tcPr>
          <w:p>
            <w:pPr>
              <w:jc w:val="right"/>
              <w:ind w:right="190"/>
              <w:spacing w:after="0"/>
              <w:rPr>
                <w:sz w:val="20"/>
                <w:szCs w:val="20"/>
                <w:color w:val="auto"/>
              </w:rPr>
            </w:pPr>
            <w:r>
              <w:rPr>
                <w:rFonts w:ascii="Arial" w:cs="Arial" w:eastAsia="Arial" w:hAnsi="Arial"/>
                <w:sz w:val="18"/>
                <w:szCs w:val="18"/>
                <w:color w:val="auto"/>
              </w:rPr>
              <w:t>2.3%</w:t>
            </w:r>
          </w:p>
        </w:tc>
        <w:tc>
          <w:tcPr>
            <w:tcW w:w="1380" w:type="dxa"/>
            <w:vAlign w:val="bottom"/>
            <w:vMerge w:val="restart"/>
            <w:shd w:val="clear" w:color="auto" w:fill="F0F8FF"/>
          </w:tcPr>
          <w:p>
            <w:pPr>
              <w:jc w:val="right"/>
              <w:ind w:right="450"/>
              <w:spacing w:after="0"/>
              <w:rPr>
                <w:sz w:val="20"/>
                <w:szCs w:val="20"/>
                <w:color w:val="auto"/>
              </w:rPr>
            </w:pPr>
            <w:r>
              <w:rPr>
                <w:rFonts w:ascii="Arial" w:cs="Arial" w:eastAsia="Arial" w:hAnsi="Arial"/>
                <w:sz w:val="18"/>
                <w:szCs w:val="18"/>
                <w:color w:val="auto"/>
              </w:rPr>
              <w:t>70.2</w:t>
            </w:r>
          </w:p>
        </w:tc>
        <w:tc>
          <w:tcPr>
            <w:tcW w:w="1060" w:type="dxa"/>
            <w:vAlign w:val="bottom"/>
            <w:vMerge w:val="restart"/>
            <w:shd w:val="clear" w:color="auto" w:fill="F0F8FF"/>
          </w:tcPr>
          <w:p>
            <w:pPr>
              <w:jc w:val="right"/>
              <w:ind w:right="390"/>
              <w:spacing w:after="0"/>
              <w:rPr>
                <w:sz w:val="20"/>
                <w:szCs w:val="20"/>
                <w:color w:val="auto"/>
              </w:rPr>
            </w:pPr>
            <w:r>
              <w:rPr>
                <w:rFonts w:ascii="Arial" w:cs="Arial" w:eastAsia="Arial" w:hAnsi="Arial"/>
                <w:sz w:val="18"/>
                <w:szCs w:val="18"/>
                <w:color w:val="auto"/>
              </w:rPr>
              <w:t>-1.0%</w:t>
            </w:r>
          </w:p>
        </w:tc>
        <w:tc>
          <w:tcPr>
            <w:tcW w:w="760" w:type="dxa"/>
            <w:vAlign w:val="bottom"/>
            <w:vMerge w:val="restart"/>
            <w:shd w:val="clear" w:color="auto" w:fill="F0F8FF"/>
          </w:tcPr>
          <w:p>
            <w:pPr>
              <w:jc w:val="right"/>
              <w:ind w:right="30"/>
              <w:spacing w:after="0"/>
              <w:rPr>
                <w:sz w:val="20"/>
                <w:szCs w:val="20"/>
                <w:color w:val="auto"/>
              </w:rPr>
            </w:pPr>
            <w:r>
              <w:rPr>
                <w:rFonts w:ascii="Arial" w:cs="Arial" w:eastAsia="Arial" w:hAnsi="Arial"/>
                <w:sz w:val="18"/>
                <w:szCs w:val="18"/>
                <w:color w:val="auto"/>
              </w:rPr>
              <w:t>68.0</w:t>
            </w:r>
          </w:p>
        </w:tc>
        <w:tc>
          <w:tcPr>
            <w:tcW w:w="1020" w:type="dxa"/>
            <w:vAlign w:val="bottom"/>
            <w:tcBorders>
              <w:right w:val="single" w:sz="8" w:color="D2ECFF"/>
            </w:tcBorders>
            <w:vMerge w:val="restart"/>
            <w:shd w:val="clear" w:color="auto" w:fill="F0F8FF"/>
          </w:tcPr>
          <w:p>
            <w:pPr>
              <w:jc w:val="center"/>
              <w:ind w:right="70"/>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109"/>
        </w:trPr>
        <w:tc>
          <w:tcPr>
            <w:tcW w:w="3460" w:type="dxa"/>
            <w:vAlign w:val="bottom"/>
            <w:tcBorders>
              <w:left w:val="single" w:sz="8" w:color="D2ECFF"/>
            </w:tcBorders>
            <w:vMerge w:val="restart"/>
            <w:shd w:val="clear" w:color="auto" w:fill="F0F8FF"/>
          </w:tcPr>
          <w:p>
            <w:pPr>
              <w:ind w:left="120"/>
              <w:spacing w:after="0"/>
              <w:rPr>
                <w:sz w:val="20"/>
                <w:szCs w:val="20"/>
                <w:color w:val="auto"/>
              </w:rPr>
            </w:pPr>
            <w:r>
              <w:rPr>
                <w:rFonts w:ascii="Arial" w:cs="Arial" w:eastAsia="Arial" w:hAnsi="Arial"/>
                <w:sz w:val="18"/>
                <w:szCs w:val="18"/>
                <w:color w:val="auto"/>
              </w:rPr>
              <w:t>Segment</w:t>
            </w:r>
          </w:p>
        </w:tc>
        <w:tc>
          <w:tcPr>
            <w:tcW w:w="1560" w:type="dxa"/>
            <w:vAlign w:val="bottom"/>
            <w:vMerge w:val="continue"/>
            <w:shd w:val="clear" w:color="auto" w:fill="F0F8FF"/>
          </w:tcPr>
          <w:p>
            <w:pPr>
              <w:spacing w:after="0"/>
              <w:rPr>
                <w:sz w:val="9"/>
                <w:szCs w:val="9"/>
                <w:color w:val="auto"/>
              </w:rPr>
            </w:pPr>
          </w:p>
        </w:tc>
        <w:tc>
          <w:tcPr>
            <w:tcW w:w="880" w:type="dxa"/>
            <w:vAlign w:val="bottom"/>
            <w:vMerge w:val="continue"/>
            <w:shd w:val="clear" w:color="auto" w:fill="F0F8FF"/>
          </w:tcPr>
          <w:p>
            <w:pPr>
              <w:spacing w:after="0"/>
              <w:rPr>
                <w:sz w:val="9"/>
                <w:szCs w:val="9"/>
                <w:color w:val="auto"/>
              </w:rPr>
            </w:pPr>
          </w:p>
        </w:tc>
        <w:tc>
          <w:tcPr>
            <w:tcW w:w="1380" w:type="dxa"/>
            <w:vAlign w:val="bottom"/>
            <w:vMerge w:val="continue"/>
            <w:shd w:val="clear" w:color="auto" w:fill="F0F8FF"/>
          </w:tcPr>
          <w:p>
            <w:pPr>
              <w:spacing w:after="0"/>
              <w:rPr>
                <w:sz w:val="9"/>
                <w:szCs w:val="9"/>
                <w:color w:val="auto"/>
              </w:rPr>
            </w:pPr>
          </w:p>
        </w:tc>
        <w:tc>
          <w:tcPr>
            <w:tcW w:w="1060" w:type="dxa"/>
            <w:vAlign w:val="bottom"/>
            <w:vMerge w:val="continue"/>
            <w:shd w:val="clear" w:color="auto" w:fill="F0F8FF"/>
          </w:tcPr>
          <w:p>
            <w:pPr>
              <w:spacing w:after="0"/>
              <w:rPr>
                <w:sz w:val="9"/>
                <w:szCs w:val="9"/>
                <w:color w:val="auto"/>
              </w:rPr>
            </w:pPr>
          </w:p>
        </w:tc>
        <w:tc>
          <w:tcPr>
            <w:tcW w:w="760" w:type="dxa"/>
            <w:vAlign w:val="bottom"/>
            <w:vMerge w:val="continue"/>
            <w:shd w:val="clear" w:color="auto" w:fill="F0F8FF"/>
          </w:tcPr>
          <w:p>
            <w:pPr>
              <w:spacing w:after="0"/>
              <w:rPr>
                <w:sz w:val="9"/>
                <w:szCs w:val="9"/>
                <w:color w:val="auto"/>
              </w:rPr>
            </w:pPr>
          </w:p>
        </w:tc>
        <w:tc>
          <w:tcPr>
            <w:tcW w:w="1020" w:type="dxa"/>
            <w:vAlign w:val="bottom"/>
            <w:tcBorders>
              <w:right w:val="single" w:sz="8" w:color="D2ECFF"/>
            </w:tcBorders>
            <w:vMerge w:val="continue"/>
            <w:shd w:val="clear" w:color="auto" w:fill="F0F8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460" w:type="dxa"/>
            <w:vAlign w:val="bottom"/>
            <w:tcBorders>
              <w:left w:val="single" w:sz="8" w:color="D2ECFF"/>
              <w:bottom w:val="single" w:sz="8" w:color="F0F8FF"/>
            </w:tcBorders>
            <w:vMerge w:val="continue"/>
            <w:shd w:val="clear" w:color="auto" w:fill="F0F8FF"/>
          </w:tcPr>
          <w:p>
            <w:pPr>
              <w:spacing w:after="0"/>
              <w:rPr>
                <w:sz w:val="11"/>
                <w:szCs w:val="11"/>
                <w:color w:val="auto"/>
              </w:rPr>
            </w:pPr>
          </w:p>
        </w:tc>
        <w:tc>
          <w:tcPr>
            <w:tcW w:w="1560" w:type="dxa"/>
            <w:vAlign w:val="bottom"/>
            <w:tcBorders>
              <w:bottom w:val="single" w:sz="8" w:color="F0F8FF"/>
            </w:tcBorders>
            <w:shd w:val="clear" w:color="auto" w:fill="F0F8FF"/>
          </w:tcPr>
          <w:p>
            <w:pPr>
              <w:spacing w:after="0"/>
              <w:rPr>
                <w:sz w:val="11"/>
                <w:szCs w:val="11"/>
                <w:color w:val="auto"/>
              </w:rPr>
            </w:pPr>
          </w:p>
        </w:tc>
        <w:tc>
          <w:tcPr>
            <w:tcW w:w="880" w:type="dxa"/>
            <w:vAlign w:val="bottom"/>
            <w:tcBorders>
              <w:bottom w:val="single" w:sz="8" w:color="F0F8FF"/>
            </w:tcBorders>
            <w:shd w:val="clear" w:color="auto" w:fill="F0F8FF"/>
          </w:tcPr>
          <w:p>
            <w:pPr>
              <w:spacing w:after="0"/>
              <w:rPr>
                <w:sz w:val="11"/>
                <w:szCs w:val="11"/>
                <w:color w:val="auto"/>
              </w:rPr>
            </w:pPr>
          </w:p>
        </w:tc>
        <w:tc>
          <w:tcPr>
            <w:tcW w:w="1380" w:type="dxa"/>
            <w:vAlign w:val="bottom"/>
            <w:tcBorders>
              <w:bottom w:val="single" w:sz="8" w:color="F0F8FF"/>
            </w:tcBorders>
            <w:shd w:val="clear" w:color="auto" w:fill="F0F8FF"/>
          </w:tcPr>
          <w:p>
            <w:pPr>
              <w:spacing w:after="0"/>
              <w:rPr>
                <w:sz w:val="11"/>
                <w:szCs w:val="11"/>
                <w:color w:val="auto"/>
              </w:rPr>
            </w:pPr>
          </w:p>
        </w:tc>
        <w:tc>
          <w:tcPr>
            <w:tcW w:w="1060" w:type="dxa"/>
            <w:vAlign w:val="bottom"/>
            <w:tcBorders>
              <w:bottom w:val="single" w:sz="8" w:color="F0F8FF"/>
            </w:tcBorders>
            <w:shd w:val="clear" w:color="auto" w:fill="F0F8FF"/>
          </w:tcPr>
          <w:p>
            <w:pPr>
              <w:spacing w:after="0"/>
              <w:rPr>
                <w:sz w:val="11"/>
                <w:szCs w:val="11"/>
                <w:color w:val="auto"/>
              </w:rPr>
            </w:pPr>
          </w:p>
        </w:tc>
        <w:tc>
          <w:tcPr>
            <w:tcW w:w="760" w:type="dxa"/>
            <w:vAlign w:val="bottom"/>
            <w:tcBorders>
              <w:bottom w:val="single" w:sz="8" w:color="F0F8FF"/>
            </w:tcBorders>
            <w:shd w:val="clear" w:color="auto" w:fill="F0F8FF"/>
          </w:tcPr>
          <w:p>
            <w:pPr>
              <w:spacing w:after="0"/>
              <w:rPr>
                <w:sz w:val="11"/>
                <w:szCs w:val="11"/>
                <w:color w:val="auto"/>
              </w:rPr>
            </w:pPr>
          </w:p>
        </w:tc>
        <w:tc>
          <w:tcPr>
            <w:tcW w:w="1020" w:type="dxa"/>
            <w:vAlign w:val="bottom"/>
            <w:tcBorders>
              <w:bottom w:val="single" w:sz="8" w:color="F0F8FF"/>
              <w:right w:val="single" w:sz="8" w:color="D2ECFF"/>
            </w:tcBorders>
            <w:shd w:val="clear" w:color="auto" w:fill="F0F8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460" w:type="dxa"/>
            <w:vAlign w:val="bottom"/>
            <w:tcBorders>
              <w:left w:val="single" w:sz="8" w:color="D2ECFF"/>
            </w:tcBorders>
          </w:tcPr>
          <w:p>
            <w:pPr>
              <w:ind w:left="120"/>
              <w:spacing w:after="0"/>
              <w:rPr>
                <w:sz w:val="20"/>
                <w:szCs w:val="20"/>
                <w:color w:val="auto"/>
              </w:rPr>
            </w:pPr>
            <w:r>
              <w:rPr>
                <w:rFonts w:ascii="Arial" w:cs="Arial" w:eastAsia="Arial" w:hAnsi="Arial"/>
                <w:sz w:val="18"/>
                <w:szCs w:val="18"/>
                <w:color w:val="auto"/>
              </w:rPr>
              <w:t>Finance and Accounting Segment</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86.5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9.0%</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97.9</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13.2%</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1020" w:type="dxa"/>
            <w:vAlign w:val="bottom"/>
            <w:tcBorders>
              <w:right w:val="single" w:sz="8" w:color="D2ECFF"/>
            </w:tcBorders>
          </w:tcPr>
          <w:p>
            <w:pPr>
              <w:jc w:val="center"/>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0"/>
        </w:trPr>
        <w:tc>
          <w:tcPr>
            <w:tcW w:w="3460" w:type="dxa"/>
            <w:vAlign w:val="bottom"/>
            <w:tcBorders>
              <w:left w:val="single" w:sz="8" w:color="D2ECFF"/>
            </w:tcBorders>
          </w:tcPr>
          <w:p>
            <w:pPr>
              <w:spacing w:after="0"/>
              <w:rPr>
                <w:sz w:val="3"/>
                <w:szCs w:val="3"/>
                <w:color w:val="auto"/>
              </w:rPr>
            </w:pPr>
          </w:p>
        </w:tc>
        <w:tc>
          <w:tcPr>
            <w:tcW w:w="1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Borders>
              <w:right w:val="single" w:sz="8" w:color="D2ECFF"/>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460" w:type="dxa"/>
            <w:vAlign w:val="bottom"/>
            <w:tcBorders>
              <w:left w:val="single" w:sz="8" w:color="D2ECFF"/>
              <w:bottom w:val="single" w:sz="8" w:color="F0F8FF"/>
            </w:tcBorders>
            <w:shd w:val="clear" w:color="auto" w:fill="F0F8FF"/>
          </w:tcPr>
          <w:p>
            <w:pPr>
              <w:ind w:left="120"/>
              <w:spacing w:after="0"/>
              <w:rPr>
                <w:sz w:val="20"/>
                <w:szCs w:val="20"/>
                <w:color w:val="auto"/>
              </w:rPr>
            </w:pPr>
            <w:r>
              <w:rPr>
                <w:rFonts w:ascii="Arial" w:cs="Arial" w:eastAsia="Arial" w:hAnsi="Arial"/>
                <w:sz w:val="18"/>
                <w:szCs w:val="18"/>
                <w:color w:val="auto"/>
              </w:rPr>
              <w:t>All Other</w:t>
            </w:r>
          </w:p>
        </w:tc>
        <w:tc>
          <w:tcPr>
            <w:tcW w:w="1560" w:type="dxa"/>
            <w:vAlign w:val="bottom"/>
            <w:tcBorders>
              <w:bottom w:val="single" w:sz="8" w:color="F0F8FF"/>
            </w:tcBorders>
            <w:shd w:val="clear" w:color="auto" w:fill="F0F8FF"/>
          </w:tcPr>
          <w:p>
            <w:pPr>
              <w:jc w:val="right"/>
              <w:ind w:right="430"/>
              <w:spacing w:after="0"/>
              <w:rPr>
                <w:sz w:val="20"/>
                <w:szCs w:val="20"/>
                <w:color w:val="auto"/>
              </w:rPr>
            </w:pPr>
            <w:r>
              <w:rPr>
                <w:rFonts w:ascii="Arial" w:cs="Arial" w:eastAsia="Arial" w:hAnsi="Arial"/>
                <w:sz w:val="18"/>
                <w:szCs w:val="18"/>
                <w:color w:val="auto"/>
              </w:rPr>
              <w:t>83.1</w:t>
            </w:r>
          </w:p>
        </w:tc>
        <w:tc>
          <w:tcPr>
            <w:tcW w:w="880" w:type="dxa"/>
            <w:vAlign w:val="bottom"/>
            <w:tcBorders>
              <w:bottom w:val="single" w:sz="8" w:color="F0F8FF"/>
            </w:tcBorders>
            <w:shd w:val="clear" w:color="auto" w:fill="F0F8FF"/>
          </w:tcPr>
          <w:p>
            <w:pPr>
              <w:jc w:val="right"/>
              <w:ind w:right="190"/>
              <w:spacing w:after="0"/>
              <w:rPr>
                <w:sz w:val="20"/>
                <w:szCs w:val="20"/>
                <w:color w:val="auto"/>
              </w:rPr>
            </w:pPr>
            <w:r>
              <w:rPr>
                <w:rFonts w:ascii="Arial" w:cs="Arial" w:eastAsia="Arial" w:hAnsi="Arial"/>
                <w:sz w:val="18"/>
                <w:szCs w:val="18"/>
                <w:color w:val="auto"/>
              </w:rPr>
              <w:t>-13.9%</w:t>
            </w:r>
          </w:p>
        </w:tc>
        <w:tc>
          <w:tcPr>
            <w:tcW w:w="1380" w:type="dxa"/>
            <w:vAlign w:val="bottom"/>
            <w:tcBorders>
              <w:bottom w:val="single" w:sz="8" w:color="F0F8FF"/>
            </w:tcBorders>
            <w:shd w:val="clear" w:color="auto" w:fill="F0F8FF"/>
          </w:tcPr>
          <w:p>
            <w:pPr>
              <w:jc w:val="right"/>
              <w:ind w:right="450"/>
              <w:spacing w:after="0"/>
              <w:rPr>
                <w:sz w:val="20"/>
                <w:szCs w:val="20"/>
                <w:color w:val="auto"/>
              </w:rPr>
            </w:pPr>
            <w:r>
              <w:rPr>
                <w:rFonts w:ascii="Arial" w:cs="Arial" w:eastAsia="Arial" w:hAnsi="Arial"/>
                <w:sz w:val="18"/>
                <w:szCs w:val="18"/>
                <w:color w:val="auto"/>
              </w:rPr>
              <w:t>87.2</w:t>
            </w:r>
          </w:p>
        </w:tc>
        <w:tc>
          <w:tcPr>
            <w:tcW w:w="1060" w:type="dxa"/>
            <w:vAlign w:val="bottom"/>
            <w:tcBorders>
              <w:bottom w:val="single" w:sz="8" w:color="F0F8FF"/>
            </w:tcBorders>
            <w:shd w:val="clear" w:color="auto" w:fill="F0F8FF"/>
          </w:tcPr>
          <w:p>
            <w:pPr>
              <w:jc w:val="right"/>
              <w:ind w:right="390"/>
              <w:spacing w:after="0"/>
              <w:rPr>
                <w:sz w:val="20"/>
                <w:szCs w:val="20"/>
                <w:color w:val="auto"/>
              </w:rPr>
            </w:pPr>
            <w:r>
              <w:rPr>
                <w:rFonts w:ascii="Arial" w:cs="Arial" w:eastAsia="Arial" w:hAnsi="Arial"/>
                <w:sz w:val="18"/>
                <w:szCs w:val="18"/>
                <w:color w:val="auto"/>
              </w:rPr>
              <w:t>4.8%</w:t>
            </w:r>
          </w:p>
        </w:tc>
        <w:tc>
          <w:tcPr>
            <w:tcW w:w="760" w:type="dxa"/>
            <w:vAlign w:val="bottom"/>
            <w:tcBorders>
              <w:bottom w:val="single" w:sz="8" w:color="F0F8FF"/>
            </w:tcBorders>
            <w:shd w:val="clear" w:color="auto" w:fill="F0F8FF"/>
          </w:tcPr>
          <w:p>
            <w:pPr>
              <w:jc w:val="right"/>
              <w:ind w:right="30"/>
              <w:spacing w:after="0"/>
              <w:rPr>
                <w:sz w:val="20"/>
                <w:szCs w:val="20"/>
                <w:color w:val="auto"/>
              </w:rPr>
            </w:pPr>
            <w:r>
              <w:rPr>
                <w:rFonts w:ascii="Arial" w:cs="Arial" w:eastAsia="Arial" w:hAnsi="Arial"/>
                <w:sz w:val="18"/>
                <w:szCs w:val="18"/>
                <w:color w:val="auto"/>
              </w:rPr>
              <w:t>74.6</w:t>
            </w:r>
          </w:p>
        </w:tc>
        <w:tc>
          <w:tcPr>
            <w:tcW w:w="1020" w:type="dxa"/>
            <w:vAlign w:val="bottom"/>
            <w:tcBorders>
              <w:bottom w:val="single" w:sz="8" w:color="F0F8FF"/>
              <w:right w:val="single" w:sz="8" w:color="D2ECFF"/>
            </w:tcBorders>
            <w:shd w:val="clear" w:color="auto" w:fill="F0F8FF"/>
          </w:tcPr>
          <w:p>
            <w:pPr>
              <w:jc w:val="center"/>
              <w:ind w:right="7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3460" w:type="dxa"/>
            <w:vAlign w:val="bottom"/>
            <w:tcBorders>
              <w:left w:val="single" w:sz="8" w:color="D2ECFF"/>
            </w:tcBorders>
          </w:tcPr>
          <w:p>
            <w:pPr>
              <w:ind w:left="120"/>
              <w:spacing w:after="0"/>
              <w:rPr>
                <w:sz w:val="20"/>
                <w:szCs w:val="20"/>
                <w:color w:val="auto"/>
              </w:rPr>
            </w:pPr>
            <w:r>
              <w:rPr>
                <w:rFonts w:ascii="Arial" w:cs="Arial" w:eastAsia="Arial" w:hAnsi="Arial"/>
                <w:sz w:val="18"/>
                <w:szCs w:val="18"/>
                <w:color w:val="auto"/>
              </w:rPr>
              <w:t>Analytics Segment</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209.9</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26.7%</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285.3</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35.9%</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357.3</w:t>
            </w:r>
          </w:p>
        </w:tc>
        <w:tc>
          <w:tcPr>
            <w:tcW w:w="1020" w:type="dxa"/>
            <w:vAlign w:val="bottom"/>
            <w:tcBorders>
              <w:right w:val="single" w:sz="8" w:color="D2ECFF"/>
            </w:tcBorders>
          </w:tcPr>
          <w:p>
            <w:pPr>
              <w:jc w:val="center"/>
              <w:ind w:right="70"/>
              <w:spacing w:after="0"/>
              <w:rPr>
                <w:sz w:val="20"/>
                <w:szCs w:val="20"/>
                <w:color w:val="auto"/>
              </w:rPr>
            </w:pPr>
            <w:r>
              <w:rPr>
                <w:rFonts w:ascii="Arial" w:cs="Arial" w:eastAsia="Arial" w:hAnsi="Arial"/>
                <w:sz w:val="18"/>
                <w:szCs w:val="18"/>
                <w:color w:val="auto"/>
                <w:w w:val="97"/>
              </w:rPr>
              <w:t>25.3%</w:t>
            </w:r>
          </w:p>
        </w:tc>
        <w:tc>
          <w:tcPr>
            <w:tcW w:w="0" w:type="dxa"/>
            <w:vAlign w:val="bottom"/>
          </w:tcPr>
          <w:p>
            <w:pPr>
              <w:spacing w:after="0"/>
              <w:rPr>
                <w:sz w:val="1"/>
                <w:szCs w:val="1"/>
                <w:color w:val="auto"/>
              </w:rPr>
            </w:pPr>
          </w:p>
        </w:tc>
      </w:tr>
      <w:tr>
        <w:trPr>
          <w:trHeight w:val="40"/>
        </w:trPr>
        <w:tc>
          <w:tcPr>
            <w:tcW w:w="3460" w:type="dxa"/>
            <w:vAlign w:val="bottom"/>
            <w:tcBorders>
              <w:left w:val="single" w:sz="8" w:color="D2ECFF"/>
            </w:tcBorders>
          </w:tcPr>
          <w:p>
            <w:pPr>
              <w:spacing w:after="0"/>
              <w:rPr>
                <w:sz w:val="3"/>
                <w:szCs w:val="3"/>
                <w:color w:val="auto"/>
              </w:rPr>
            </w:pPr>
          </w:p>
        </w:tc>
        <w:tc>
          <w:tcPr>
            <w:tcW w:w="1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Borders>
              <w:right w:val="single" w:sz="8" w:color="D2ECFF"/>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460" w:type="dxa"/>
            <w:vAlign w:val="bottom"/>
            <w:tcBorders>
              <w:left w:val="single" w:sz="8" w:color="D2ECFF"/>
              <w:bottom w:val="single" w:sz="8" w:color="F0F8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Consolidated</w:t>
            </w:r>
          </w:p>
        </w:tc>
        <w:tc>
          <w:tcPr>
            <w:tcW w:w="1560" w:type="dxa"/>
            <w:vAlign w:val="bottom"/>
            <w:tcBorders>
              <w:bottom w:val="single" w:sz="8" w:color="F0F8FF"/>
            </w:tcBorders>
            <w:shd w:val="clear" w:color="auto" w:fill="F0F8FF"/>
          </w:tcPr>
          <w:p>
            <w:pPr>
              <w:jc w:val="right"/>
              <w:ind w:right="430"/>
              <w:spacing w:after="0"/>
              <w:rPr>
                <w:sz w:val="20"/>
                <w:szCs w:val="20"/>
                <w:color w:val="auto"/>
              </w:rPr>
            </w:pPr>
            <w:r>
              <w:rPr>
                <w:rFonts w:ascii="Arial" w:cs="Arial" w:eastAsia="Arial" w:hAnsi="Arial"/>
                <w:sz w:val="18"/>
                <w:szCs w:val="18"/>
                <w:b w:val="1"/>
                <w:bCs w:val="1"/>
                <w:color w:val="auto"/>
              </w:rPr>
              <w:t>$762.3</w:t>
            </w:r>
          </w:p>
        </w:tc>
        <w:tc>
          <w:tcPr>
            <w:tcW w:w="880" w:type="dxa"/>
            <w:vAlign w:val="bottom"/>
            <w:tcBorders>
              <w:bottom w:val="single" w:sz="8" w:color="F0F8FF"/>
            </w:tcBorders>
            <w:shd w:val="clear" w:color="auto" w:fill="F0F8FF"/>
          </w:tcPr>
          <w:p>
            <w:pPr>
              <w:jc w:val="right"/>
              <w:ind w:right="190"/>
              <w:spacing w:after="0"/>
              <w:rPr>
                <w:sz w:val="20"/>
                <w:szCs w:val="20"/>
                <w:color w:val="auto"/>
              </w:rPr>
            </w:pPr>
            <w:r>
              <w:rPr>
                <w:rFonts w:ascii="Arial" w:cs="Arial" w:eastAsia="Arial" w:hAnsi="Arial"/>
                <w:sz w:val="18"/>
                <w:szCs w:val="18"/>
                <w:b w:val="1"/>
                <w:bCs w:val="1"/>
                <w:color w:val="auto"/>
              </w:rPr>
              <w:t>11.1%</w:t>
            </w:r>
          </w:p>
        </w:tc>
        <w:tc>
          <w:tcPr>
            <w:tcW w:w="1380" w:type="dxa"/>
            <w:vAlign w:val="bottom"/>
            <w:tcBorders>
              <w:bottom w:val="single" w:sz="8" w:color="F0F8FF"/>
            </w:tcBorders>
            <w:shd w:val="clear" w:color="auto" w:fill="F0F8FF"/>
          </w:tcPr>
          <w:p>
            <w:pPr>
              <w:jc w:val="right"/>
              <w:ind w:right="450"/>
              <w:spacing w:after="0"/>
              <w:rPr>
                <w:sz w:val="20"/>
                <w:szCs w:val="20"/>
                <w:color w:val="auto"/>
              </w:rPr>
            </w:pPr>
            <w:r>
              <w:rPr>
                <w:rFonts w:ascii="Arial" w:cs="Arial" w:eastAsia="Arial" w:hAnsi="Arial"/>
                <w:sz w:val="18"/>
                <w:szCs w:val="18"/>
                <w:b w:val="1"/>
                <w:bCs w:val="1"/>
                <w:color w:val="auto"/>
              </w:rPr>
              <w:t>$883.1</w:t>
            </w:r>
          </w:p>
        </w:tc>
        <w:tc>
          <w:tcPr>
            <w:tcW w:w="1060" w:type="dxa"/>
            <w:vAlign w:val="bottom"/>
            <w:tcBorders>
              <w:bottom w:val="single" w:sz="8" w:color="F0F8FF"/>
            </w:tcBorders>
            <w:shd w:val="clear" w:color="auto" w:fill="F0F8FF"/>
          </w:tcPr>
          <w:p>
            <w:pPr>
              <w:jc w:val="right"/>
              <w:ind w:right="390"/>
              <w:spacing w:after="0"/>
              <w:rPr>
                <w:sz w:val="20"/>
                <w:szCs w:val="20"/>
                <w:color w:val="auto"/>
              </w:rPr>
            </w:pPr>
            <w:r>
              <w:rPr>
                <w:rFonts w:ascii="Arial" w:cs="Arial" w:eastAsia="Arial" w:hAnsi="Arial"/>
                <w:sz w:val="18"/>
                <w:szCs w:val="18"/>
                <w:b w:val="1"/>
                <w:bCs w:val="1"/>
                <w:color w:val="auto"/>
              </w:rPr>
              <w:t>15.8%</w:t>
            </w:r>
          </w:p>
        </w:tc>
        <w:tc>
          <w:tcPr>
            <w:tcW w:w="760" w:type="dxa"/>
            <w:vAlign w:val="bottom"/>
            <w:tcBorders>
              <w:bottom w:val="single" w:sz="8" w:color="F0F8FF"/>
            </w:tcBorders>
            <w:shd w:val="clear" w:color="auto" w:fill="F0F8FF"/>
          </w:tcPr>
          <w:p>
            <w:pPr>
              <w:jc w:val="right"/>
              <w:ind w:right="30"/>
              <w:spacing w:after="0"/>
              <w:rPr>
                <w:sz w:val="20"/>
                <w:szCs w:val="20"/>
                <w:color w:val="auto"/>
              </w:rPr>
            </w:pPr>
            <w:r>
              <w:rPr>
                <w:rFonts w:ascii="Arial" w:cs="Arial" w:eastAsia="Arial" w:hAnsi="Arial"/>
                <w:sz w:val="18"/>
                <w:szCs w:val="18"/>
                <w:b w:val="1"/>
                <w:bCs w:val="1"/>
                <w:color w:val="auto"/>
              </w:rPr>
              <w:t>$991.3</w:t>
            </w:r>
          </w:p>
        </w:tc>
        <w:tc>
          <w:tcPr>
            <w:tcW w:w="1020" w:type="dxa"/>
            <w:vAlign w:val="bottom"/>
            <w:tcBorders>
              <w:bottom w:val="single" w:sz="8" w:color="F0F8FF"/>
              <w:right w:val="single" w:sz="8" w:color="D2ECFF"/>
            </w:tcBorders>
            <w:shd w:val="clear" w:color="auto" w:fill="F0F8FF"/>
          </w:tcPr>
          <w:p>
            <w:pPr>
              <w:jc w:val="center"/>
              <w:ind w:right="70"/>
              <w:spacing w:after="0"/>
              <w:rPr>
                <w:sz w:val="20"/>
                <w:szCs w:val="20"/>
                <w:color w:val="auto"/>
              </w:rPr>
            </w:pPr>
            <w:r>
              <w:rPr>
                <w:rFonts w:ascii="Arial" w:cs="Arial" w:eastAsia="Arial" w:hAnsi="Arial"/>
                <w:sz w:val="18"/>
                <w:szCs w:val="18"/>
                <w:b w:val="1"/>
                <w:bCs w:val="1"/>
                <w:color w:val="auto"/>
                <w:w w:val="97"/>
              </w:rPr>
              <w:t>12.3%</w:t>
            </w:r>
          </w:p>
        </w:tc>
        <w:tc>
          <w:tcPr>
            <w:tcW w:w="0" w:type="dxa"/>
            <w:vAlign w:val="bottom"/>
          </w:tcPr>
          <w:p>
            <w:pPr>
              <w:spacing w:after="0"/>
              <w:rPr>
                <w:sz w:val="1"/>
                <w:szCs w:val="1"/>
                <w:color w:val="auto"/>
              </w:rPr>
            </w:pPr>
          </w:p>
        </w:tc>
      </w:tr>
      <w:tr>
        <w:trPr>
          <w:trHeight w:val="20"/>
        </w:trPr>
        <w:tc>
          <w:tcPr>
            <w:tcW w:w="3460" w:type="dxa"/>
            <w:vAlign w:val="bottom"/>
            <w:tcBorders>
              <w:left w:val="single" w:sz="8" w:color="D2ECFF"/>
            </w:tcBorders>
            <w:shd w:val="clear" w:color="auto" w:fill="D2ECFF"/>
          </w:tcPr>
          <w:p>
            <w:pPr>
              <w:spacing w:after="0" w:line="20" w:lineRule="exact"/>
              <w:rPr>
                <w:sz w:val="1"/>
                <w:szCs w:val="1"/>
                <w:color w:val="auto"/>
              </w:rPr>
            </w:pPr>
          </w:p>
        </w:tc>
        <w:tc>
          <w:tcPr>
            <w:tcW w:w="1560" w:type="dxa"/>
            <w:vAlign w:val="bottom"/>
            <w:shd w:val="clear" w:color="auto" w:fill="D2ECFF"/>
          </w:tcPr>
          <w:p>
            <w:pPr>
              <w:spacing w:after="0" w:line="20" w:lineRule="exact"/>
              <w:rPr>
                <w:sz w:val="1"/>
                <w:szCs w:val="1"/>
                <w:color w:val="auto"/>
              </w:rPr>
            </w:pPr>
          </w:p>
        </w:tc>
        <w:tc>
          <w:tcPr>
            <w:tcW w:w="880" w:type="dxa"/>
            <w:vAlign w:val="bottom"/>
            <w:shd w:val="clear" w:color="auto" w:fill="D2ECFF"/>
          </w:tcPr>
          <w:p>
            <w:pPr>
              <w:spacing w:after="0" w:line="20" w:lineRule="exact"/>
              <w:rPr>
                <w:sz w:val="1"/>
                <w:szCs w:val="1"/>
                <w:color w:val="auto"/>
              </w:rPr>
            </w:pPr>
          </w:p>
        </w:tc>
        <w:tc>
          <w:tcPr>
            <w:tcW w:w="1380" w:type="dxa"/>
            <w:vAlign w:val="bottom"/>
            <w:shd w:val="clear" w:color="auto" w:fill="D2ECFF"/>
          </w:tcPr>
          <w:p>
            <w:pPr>
              <w:spacing w:after="0" w:line="20" w:lineRule="exact"/>
              <w:rPr>
                <w:sz w:val="1"/>
                <w:szCs w:val="1"/>
                <w:color w:val="auto"/>
              </w:rPr>
            </w:pPr>
          </w:p>
        </w:tc>
        <w:tc>
          <w:tcPr>
            <w:tcW w:w="1060" w:type="dxa"/>
            <w:vAlign w:val="bottom"/>
            <w:shd w:val="clear" w:color="auto" w:fill="D2ECFF"/>
          </w:tcPr>
          <w:p>
            <w:pPr>
              <w:spacing w:after="0" w:line="20" w:lineRule="exact"/>
              <w:rPr>
                <w:sz w:val="1"/>
                <w:szCs w:val="1"/>
                <w:color w:val="auto"/>
              </w:rPr>
            </w:pPr>
          </w:p>
        </w:tc>
        <w:tc>
          <w:tcPr>
            <w:tcW w:w="760" w:type="dxa"/>
            <w:vAlign w:val="bottom"/>
            <w:shd w:val="clear" w:color="auto" w:fill="D2ECFF"/>
          </w:tcPr>
          <w:p>
            <w:pPr>
              <w:spacing w:after="0" w:line="20" w:lineRule="exact"/>
              <w:rPr>
                <w:sz w:val="1"/>
                <w:szCs w:val="1"/>
                <w:color w:val="auto"/>
              </w:rPr>
            </w:pPr>
          </w:p>
        </w:tc>
        <w:tc>
          <w:tcPr>
            <w:tcW w:w="1020" w:type="dxa"/>
            <w:vAlign w:val="bottom"/>
            <w:tcBorders>
              <w:right w:val="single" w:sz="8" w:color="D2ECFF"/>
            </w:tcBorders>
            <w:shd w:val="clear" w:color="auto" w:fill="D2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440"/>
        <w:spacing w:after="0"/>
        <w:tabs>
          <w:tab w:leader="none" w:pos="109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 xml:space="preserve">We improved our annual revenues from $883.1 million in fiscal year 2018 to $991.3 million in fiscal year 2019, </w:t>
      </w:r>
      <w:r>
        <w:rPr>
          <w:rFonts w:ascii="Arial" w:cs="Arial" w:eastAsia="Arial" w:hAnsi="Arial"/>
          <w:sz w:val="18"/>
          <w:szCs w:val="18"/>
          <w:color w:val="000000"/>
        </w:rPr>
        <w:t>and improved our net income</w:t>
      </w:r>
      <w:r>
        <w:rPr>
          <w:rFonts w:ascii="Arial" w:cs="Arial" w:eastAsia="Arial" w:hAnsi="Arial"/>
          <w:sz w:val="18"/>
          <w:szCs w:val="18"/>
          <w:color w:val="262626"/>
        </w:rPr>
        <w:t xml:space="preserve"> </w:t>
      </w:r>
      <w:r>
        <w:rPr>
          <w:rFonts w:ascii="Arial" w:cs="Arial" w:eastAsia="Arial" w:hAnsi="Arial"/>
          <w:sz w:val="18"/>
          <w:szCs w:val="18"/>
          <w:color w:val="000000"/>
        </w:rPr>
        <w:t xml:space="preserve">attributable to stockholders by 19% to $67.7 million. </w:t>
      </w:r>
      <w:r>
        <w:rPr>
          <w:rFonts w:ascii="Arial" w:cs="Arial" w:eastAsia="Arial" w:hAnsi="Arial"/>
          <w:sz w:val="18"/>
          <w:szCs w:val="18"/>
          <w:color w:val="262626"/>
        </w:rPr>
        <w:t>We also achieved numerous other successes, including substantial completion of the</w:t>
      </w:r>
      <w:r>
        <w:rPr>
          <w:rFonts w:ascii="Arial" w:cs="Arial" w:eastAsia="Arial" w:hAnsi="Arial"/>
          <w:sz w:val="18"/>
          <w:szCs w:val="18"/>
          <w:color w:val="000000"/>
        </w:rPr>
        <w:t xml:space="preserve"> </w:t>
      </w:r>
      <w:r>
        <w:rPr>
          <w:rFonts w:ascii="Arial" w:cs="Arial" w:eastAsia="Arial" w:hAnsi="Arial"/>
          <w:sz w:val="18"/>
          <w:szCs w:val="18"/>
          <w:color w:val="262626"/>
        </w:rPr>
        <w:t>wind down of the operations of our Health Integrated business. For more information regarding these and other business highlights, please see pages 43 to 44 below and the 2019 Form 10-K.</w:t>
      </w:r>
    </w:p>
    <w:p>
      <w:pPr>
        <w:spacing w:after="0" w:line="19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262626"/>
        </w:rPr>
        <w:t>The graphs below compare our 1-year, 3-year and 5-year total stockholder return (“TSR”) with that of the companies comprising Nasdaq, S&amp;P 500 and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116840</wp:posOffset>
            </wp:positionV>
            <wp:extent cx="5906135" cy="1765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0613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262626"/>
        </w:rPr>
      </w:pPr>
      <w:r>
        <w:rPr>
          <w:rFonts w:ascii="Arial" w:cs="Arial" w:eastAsia="Arial" w:hAnsi="Arial"/>
          <w:sz w:val="14"/>
          <w:szCs w:val="14"/>
          <w:color w:val="262626"/>
        </w:rPr>
        <w:t>Cumulative growth rate as of December 31, 2019.</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7"/>
        </w:numPr>
        <w:rPr>
          <w:rFonts w:ascii="Arial" w:cs="Arial" w:eastAsia="Arial" w:hAnsi="Arial"/>
          <w:sz w:val="14"/>
          <w:szCs w:val="14"/>
          <w:color w:val="262626"/>
        </w:rPr>
      </w:pPr>
      <w:r>
        <w:rPr>
          <w:rFonts w:ascii="Arial" w:cs="Arial" w:eastAsia="Arial" w:hAnsi="Arial"/>
          <w:sz w:val="14"/>
          <w:szCs w:val="14"/>
          <w:color w:val="262626"/>
        </w:rPr>
        <w:t>Peer group TSR data excludes Convergys Corporation, which was acquired in October 2018, and DST Systems, which was acquired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9440"/>
        <w:spacing w:after="0"/>
        <w:tabs>
          <w:tab w:leader="none" w:pos="109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0" w:name="page11"/>
    <w:bookmarkEnd w:id="10"/>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954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1" w:name="page12"/>
    <w:bookmarkEnd w:id="11"/>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93FF"/>
        </w:rPr>
        <w:t>Corporate Governance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62626"/>
        </w:rPr>
        <w:t>Based on current board profile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074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Board of Directors Composition</w:t>
      </w:r>
    </w:p>
    <w:p>
      <w:pPr>
        <w:spacing w:after="0" w:line="382" w:lineRule="exact"/>
        <w:rPr>
          <w:sz w:val="20"/>
          <w:szCs w:val="20"/>
          <w:color w:val="auto"/>
        </w:rPr>
      </w:pPr>
    </w:p>
    <w:p>
      <w:pPr>
        <w:ind w:left="580" w:hanging="415"/>
        <w:spacing w:after="0"/>
        <w:tabs>
          <w:tab w:leader="none" w:pos="580" w:val="left"/>
        </w:tabs>
        <w:numPr>
          <w:ilvl w:val="0"/>
          <w:numId w:val="8"/>
        </w:numPr>
        <w:rPr>
          <w:rFonts w:ascii="Arial" w:cs="Arial" w:eastAsia="Arial" w:hAnsi="Arial"/>
          <w:sz w:val="18"/>
          <w:szCs w:val="18"/>
          <w:color w:val="0093FF"/>
        </w:rPr>
      </w:pPr>
      <w:r>
        <w:rPr>
          <w:rFonts w:ascii="Arial" w:cs="Arial" w:eastAsia="Arial" w:hAnsi="Arial"/>
          <w:sz w:val="18"/>
          <w:szCs w:val="18"/>
          <w:color w:val="auto"/>
        </w:rPr>
        <w:t>Ten directors, all of whom are independent, except for our Vice Chairman and CEO</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8"/>
        </w:numPr>
        <w:rPr>
          <w:rFonts w:ascii="Arial" w:cs="Arial" w:eastAsia="Arial" w:hAnsi="Arial"/>
          <w:sz w:val="18"/>
          <w:szCs w:val="18"/>
          <w:color w:val="0093FF"/>
        </w:rPr>
      </w:pPr>
      <w:r>
        <w:rPr>
          <w:rFonts w:ascii="Arial" w:cs="Arial" w:eastAsia="Arial" w:hAnsi="Arial"/>
          <w:sz w:val="18"/>
          <w:szCs w:val="18"/>
          <w:color w:val="auto"/>
        </w:rPr>
        <w:t>Independent board chairman</w:t>
      </w:r>
    </w:p>
    <w:p>
      <w:pPr>
        <w:spacing w:after="0" w:line="198" w:lineRule="exact"/>
        <w:rPr>
          <w:rFonts w:ascii="Arial" w:cs="Arial" w:eastAsia="Arial" w:hAnsi="Arial"/>
          <w:sz w:val="18"/>
          <w:szCs w:val="18"/>
          <w:color w:val="0093FF"/>
        </w:rPr>
      </w:pPr>
    </w:p>
    <w:p>
      <w:pPr>
        <w:ind w:left="580" w:right="2280" w:hanging="415"/>
        <w:spacing w:after="0"/>
        <w:tabs>
          <w:tab w:leader="none" w:pos="566" w:val="left"/>
        </w:tabs>
        <w:numPr>
          <w:ilvl w:val="0"/>
          <w:numId w:val="8"/>
        </w:numPr>
        <w:rPr>
          <w:rFonts w:ascii="Arial" w:cs="Arial" w:eastAsia="Arial" w:hAnsi="Arial"/>
          <w:sz w:val="18"/>
          <w:szCs w:val="18"/>
          <w:color w:val="0093FF"/>
        </w:rPr>
      </w:pPr>
      <w:r>
        <w:rPr>
          <w:rFonts w:ascii="Arial" w:cs="Arial" w:eastAsia="Arial" w:hAnsi="Arial"/>
          <w:sz w:val="18"/>
          <w:szCs w:val="18"/>
          <w:color w:val="auto"/>
        </w:rPr>
        <w:t>Seasoned board of directors, with diverse experience, including in human capital management, insurance, healthcare, utilities, banking and financial services, finance/accounting, global business and technology</w:t>
      </w:r>
    </w:p>
    <w:p>
      <w:pPr>
        <w:spacing w:after="0" w:line="189" w:lineRule="exact"/>
        <w:rPr>
          <w:rFonts w:ascii="Arial" w:cs="Arial" w:eastAsia="Arial" w:hAnsi="Arial"/>
          <w:sz w:val="18"/>
          <w:szCs w:val="18"/>
          <w:color w:val="0093FF"/>
        </w:rPr>
      </w:pPr>
    </w:p>
    <w:p>
      <w:pPr>
        <w:ind w:left="580" w:hanging="415"/>
        <w:spacing w:after="0"/>
        <w:tabs>
          <w:tab w:leader="none" w:pos="580" w:val="left"/>
        </w:tabs>
        <w:numPr>
          <w:ilvl w:val="0"/>
          <w:numId w:val="8"/>
        </w:numPr>
        <w:rPr>
          <w:rFonts w:ascii="Arial" w:cs="Arial" w:eastAsia="Arial" w:hAnsi="Arial"/>
          <w:sz w:val="18"/>
          <w:szCs w:val="18"/>
          <w:color w:val="0093FF"/>
        </w:rPr>
      </w:pPr>
      <w:r>
        <w:rPr>
          <w:rFonts w:ascii="Arial" w:cs="Arial" w:eastAsia="Arial" w:hAnsi="Arial"/>
          <w:sz w:val="18"/>
          <w:szCs w:val="18"/>
          <w:color w:val="auto"/>
        </w:rPr>
        <w:t>Diversity in age, gender and other important characteristics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8"/>
        </w:numPr>
        <w:rPr>
          <w:rFonts w:ascii="Arial" w:cs="Arial" w:eastAsia="Arial" w:hAnsi="Arial"/>
          <w:sz w:val="18"/>
          <w:szCs w:val="18"/>
          <w:color w:val="0093FF"/>
        </w:rPr>
      </w:pPr>
      <w:r>
        <w:rPr>
          <w:rFonts w:ascii="Arial" w:cs="Arial" w:eastAsia="Arial" w:hAnsi="Arial"/>
          <w:sz w:val="18"/>
          <w:szCs w:val="18"/>
          <w:color w:val="auto"/>
        </w:rPr>
        <w:t>Declassified board (subject to phase-out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74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Board Accountability</w:t>
      </w:r>
    </w:p>
    <w:p>
      <w:pPr>
        <w:spacing w:after="0" w:line="382" w:lineRule="exact"/>
        <w:rPr>
          <w:sz w:val="20"/>
          <w:szCs w:val="20"/>
          <w:color w:val="auto"/>
        </w:rPr>
      </w:pPr>
    </w:p>
    <w:p>
      <w:pPr>
        <w:ind w:left="580" w:hanging="415"/>
        <w:spacing w:after="0"/>
        <w:tabs>
          <w:tab w:leader="none" w:pos="580" w:val="left"/>
        </w:tabs>
        <w:numPr>
          <w:ilvl w:val="0"/>
          <w:numId w:val="9"/>
        </w:numPr>
        <w:rPr>
          <w:rFonts w:ascii="Arial" w:cs="Arial" w:eastAsia="Arial" w:hAnsi="Arial"/>
          <w:sz w:val="18"/>
          <w:szCs w:val="18"/>
          <w:color w:val="0093FF"/>
        </w:rPr>
      </w:pPr>
      <w:r>
        <w:rPr>
          <w:rFonts w:ascii="Arial" w:cs="Arial" w:eastAsia="Arial" w:hAnsi="Arial"/>
          <w:sz w:val="18"/>
          <w:szCs w:val="18"/>
          <w:color w:val="auto"/>
        </w:rPr>
        <w:t>Majority voting standard for uncontested elections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9"/>
        </w:numPr>
        <w:rPr>
          <w:rFonts w:ascii="Arial" w:cs="Arial" w:eastAsia="Arial" w:hAnsi="Arial"/>
          <w:sz w:val="18"/>
          <w:szCs w:val="18"/>
          <w:color w:val="0093FF"/>
        </w:rPr>
      </w:pPr>
      <w:r>
        <w:rPr>
          <w:rFonts w:ascii="Arial" w:cs="Arial" w:eastAsia="Arial" w:hAnsi="Arial"/>
          <w:sz w:val="18"/>
          <w:szCs w:val="18"/>
          <w:color w:val="auto"/>
        </w:rPr>
        <w:t>Annual board- and committee-level evaluations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9"/>
        </w:numPr>
        <w:rPr>
          <w:rFonts w:ascii="Arial" w:cs="Arial" w:eastAsia="Arial" w:hAnsi="Arial"/>
          <w:sz w:val="18"/>
          <w:szCs w:val="18"/>
          <w:color w:val="0093FF"/>
        </w:rPr>
      </w:pPr>
      <w:r>
        <w:rPr>
          <w:rFonts w:ascii="Arial" w:cs="Arial" w:eastAsia="Arial" w:hAnsi="Arial"/>
          <w:sz w:val="18"/>
          <w:szCs w:val="18"/>
          <w:color w:val="auto"/>
        </w:rPr>
        <w:t>Regularly-held executive session of non-management directors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9"/>
        </w:numPr>
        <w:rPr>
          <w:rFonts w:ascii="Arial" w:cs="Arial" w:eastAsia="Arial" w:hAnsi="Arial"/>
          <w:sz w:val="18"/>
          <w:szCs w:val="18"/>
          <w:color w:val="0093FF"/>
        </w:rPr>
      </w:pPr>
      <w:r>
        <w:rPr>
          <w:rFonts w:ascii="Arial" w:cs="Arial" w:eastAsia="Arial" w:hAnsi="Arial"/>
          <w:sz w:val="18"/>
          <w:szCs w:val="18"/>
          <w:color w:val="auto"/>
        </w:rPr>
        <w:t>Robust executive and director equity ownership guidelines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9"/>
        </w:numPr>
        <w:rPr>
          <w:rFonts w:ascii="Arial" w:cs="Arial" w:eastAsia="Arial" w:hAnsi="Arial"/>
          <w:sz w:val="18"/>
          <w:szCs w:val="18"/>
          <w:color w:val="0093FF"/>
        </w:rPr>
      </w:pPr>
      <w:r>
        <w:rPr>
          <w:rFonts w:ascii="Arial" w:cs="Arial" w:eastAsia="Arial" w:hAnsi="Arial"/>
          <w:sz w:val="18"/>
          <w:szCs w:val="18"/>
          <w:color w:val="auto"/>
        </w:rPr>
        <w:t>Independent board of directors evaluation of CEO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323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2346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Governance Practices</w:t>
      </w:r>
    </w:p>
    <w:p>
      <w:pPr>
        <w:spacing w:after="0" w:line="328" w:lineRule="exact"/>
        <w:rPr>
          <w:sz w:val="20"/>
          <w:szCs w:val="20"/>
          <w:color w:val="auto"/>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Regular executive sessions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Standing board committees composed solely of independent chairs and members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Equity ownership guidelines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Independent compensation consultants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Board risk oversight and assessment</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Board committee oversight over sustainability efforts</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Director training and education</w:t>
      </w:r>
    </w:p>
    <w:p>
      <w:pPr>
        <w:spacing w:after="0" w:line="198" w:lineRule="exact"/>
        <w:rPr>
          <w:rFonts w:ascii="Arial" w:cs="Arial" w:eastAsia="Arial" w:hAnsi="Arial"/>
          <w:sz w:val="18"/>
          <w:szCs w:val="18"/>
          <w:color w:val="0093FF"/>
        </w:rPr>
      </w:pPr>
    </w:p>
    <w:p>
      <w:pPr>
        <w:ind w:left="580" w:hanging="415"/>
        <w:spacing w:after="0"/>
        <w:tabs>
          <w:tab w:leader="none" w:pos="580" w:val="left"/>
        </w:tabs>
        <w:numPr>
          <w:ilvl w:val="0"/>
          <w:numId w:val="10"/>
        </w:numPr>
        <w:rPr>
          <w:rFonts w:ascii="Arial" w:cs="Arial" w:eastAsia="Arial" w:hAnsi="Arial"/>
          <w:sz w:val="18"/>
          <w:szCs w:val="18"/>
          <w:color w:val="0093FF"/>
        </w:rPr>
      </w:pPr>
      <w:r>
        <w:rPr>
          <w:rFonts w:ascii="Arial" w:cs="Arial" w:eastAsia="Arial" w:hAnsi="Arial"/>
          <w:sz w:val="18"/>
          <w:szCs w:val="18"/>
          <w:color w:val="auto"/>
        </w:rPr>
        <w:t>Simultaneous service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5709285"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9285" cy="265430"/>
                    </a:xfrm>
                    <a:prstGeom prst="rect">
                      <a:avLst/>
                    </a:prstGeom>
                    <a:noFill/>
                  </pic:spPr>
                </pic:pic>
              </a:graphicData>
            </a:graphic>
          </wp:anchor>
        </w:drawing>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200025</wp:posOffset>
            </wp:positionV>
            <wp:extent cx="1337310" cy="1697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310" cy="1697355"/>
                    </a:xfrm>
                    <a:prstGeom prst="rect">
                      <a:avLst/>
                    </a:prstGeom>
                    <a:noFill/>
                  </pic:spPr>
                </pic:pic>
              </a:graphicData>
            </a:graphic>
          </wp:anchor>
        </w:drawing>
      </w:r>
    </w:p>
    <w:p>
      <w:pPr>
        <w:spacing w:after="0" w:line="3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board of directors reflects an effective and diverse mix of skills and experience appropriate for our</w:t>
      </w:r>
    </w:p>
    <w:p>
      <w:pPr>
        <w:ind w:left="100"/>
        <w:spacing w:after="0"/>
        <w:rPr>
          <w:sz w:val="20"/>
          <w:szCs w:val="20"/>
          <w:color w:val="auto"/>
        </w:rPr>
      </w:pPr>
      <w:r>
        <w:rPr>
          <w:rFonts w:ascii="Arial" w:cs="Arial" w:eastAsia="Arial" w:hAnsi="Arial"/>
          <w:sz w:val="18"/>
          <w:szCs w:val="18"/>
          <w:color w:val="auto"/>
        </w:rPr>
        <w:t>Company and industry. Our directors have the following attributes:</w:t>
      </w:r>
    </w:p>
    <w:p>
      <w:pPr>
        <w:spacing w:after="0" w:line="198" w:lineRule="exact"/>
        <w:rPr>
          <w:sz w:val="20"/>
          <w:szCs w:val="20"/>
          <w:color w:val="auto"/>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Executive Leadership</w:t>
      </w:r>
    </w:p>
    <w:p>
      <w:pPr>
        <w:spacing w:after="0" w:line="198" w:lineRule="exact"/>
        <w:rPr>
          <w:rFonts w:ascii="Arial" w:cs="Arial" w:eastAsia="Arial" w:hAnsi="Arial"/>
          <w:sz w:val="18"/>
          <w:szCs w:val="18"/>
          <w:color w:val="0093FF"/>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Board Experience</w:t>
      </w:r>
    </w:p>
    <w:p>
      <w:pPr>
        <w:spacing w:after="0" w:line="198" w:lineRule="exact"/>
        <w:rPr>
          <w:rFonts w:ascii="Arial" w:cs="Arial" w:eastAsia="Arial" w:hAnsi="Arial"/>
          <w:sz w:val="18"/>
          <w:szCs w:val="18"/>
          <w:color w:val="0093FF"/>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Finance and Accounting</w:t>
      </w:r>
    </w:p>
    <w:p>
      <w:pPr>
        <w:spacing w:after="0" w:line="198" w:lineRule="exact"/>
        <w:rPr>
          <w:rFonts w:ascii="Arial" w:cs="Arial" w:eastAsia="Arial" w:hAnsi="Arial"/>
          <w:sz w:val="18"/>
          <w:szCs w:val="18"/>
          <w:color w:val="0093FF"/>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Client and Industry Expertise</w:t>
      </w:r>
    </w:p>
    <w:p>
      <w:pPr>
        <w:spacing w:after="0" w:line="198" w:lineRule="exact"/>
        <w:rPr>
          <w:rFonts w:ascii="Arial" w:cs="Arial" w:eastAsia="Arial" w:hAnsi="Arial"/>
          <w:sz w:val="18"/>
          <w:szCs w:val="18"/>
          <w:color w:val="0093FF"/>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Global Experience</w:t>
      </w:r>
    </w:p>
    <w:p>
      <w:pPr>
        <w:spacing w:after="0" w:line="198" w:lineRule="exact"/>
        <w:rPr>
          <w:rFonts w:ascii="Arial" w:cs="Arial" w:eastAsia="Arial" w:hAnsi="Arial"/>
          <w:sz w:val="18"/>
          <w:szCs w:val="18"/>
          <w:color w:val="0093FF"/>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Risk Oversight/Management</w:t>
      </w:r>
    </w:p>
    <w:p>
      <w:pPr>
        <w:spacing w:after="0" w:line="198" w:lineRule="exact"/>
        <w:rPr>
          <w:rFonts w:ascii="Arial" w:cs="Arial" w:eastAsia="Arial" w:hAnsi="Arial"/>
          <w:sz w:val="18"/>
          <w:szCs w:val="18"/>
          <w:color w:val="0093FF"/>
        </w:rPr>
      </w:pPr>
    </w:p>
    <w:p>
      <w:pPr>
        <w:ind w:left="580" w:hanging="410"/>
        <w:spacing w:after="0"/>
        <w:tabs>
          <w:tab w:leader="none" w:pos="580" w:val="left"/>
        </w:tabs>
        <w:numPr>
          <w:ilvl w:val="0"/>
          <w:numId w:val="11"/>
        </w:numPr>
        <w:rPr>
          <w:rFonts w:ascii="Arial" w:cs="Arial" w:eastAsia="Arial" w:hAnsi="Arial"/>
          <w:sz w:val="18"/>
          <w:szCs w:val="18"/>
          <w:color w:val="0093FF"/>
        </w:rPr>
      </w:pPr>
      <w:r>
        <w:rPr>
          <w:rFonts w:ascii="Arial" w:cs="Arial" w:eastAsia="Arial" w:hAnsi="Arial"/>
          <w:sz w:val="18"/>
          <w:szCs w:val="18"/>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11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Nominees for Election as Directors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tcPr>
          <w:p>
            <w:pPr>
              <w:ind w:left="380"/>
              <w:spacing w:after="0"/>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131"/>
        </w:trPr>
        <w:tc>
          <w:tcPr>
            <w:tcW w:w="1300" w:type="dxa"/>
            <w:vAlign w:val="bottom"/>
            <w:vMerge w:val="continue"/>
          </w:tcPr>
          <w:p>
            <w:pPr>
              <w:spacing w:after="0"/>
              <w:rPr>
                <w:sz w:val="11"/>
                <w:szCs w:val="11"/>
                <w:color w:val="auto"/>
              </w:rPr>
            </w:pPr>
          </w:p>
        </w:tc>
        <w:tc>
          <w:tcPr>
            <w:tcW w:w="14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Since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0"/>
        </w:trPr>
        <w:tc>
          <w:tcPr>
            <w:tcW w:w="1300" w:type="dxa"/>
            <w:vAlign w:val="bottom"/>
          </w:tcPr>
          <w:p>
            <w:pPr>
              <w:spacing w:after="0"/>
              <w:rPr>
                <w:sz w:val="20"/>
                <w:szCs w:val="20"/>
                <w:color w:val="auto"/>
              </w:rPr>
            </w:pPr>
            <w:r>
              <w:rPr>
                <w:rFonts w:ascii="Arial" w:cs="Arial" w:eastAsia="Arial" w:hAnsi="Arial"/>
                <w:sz w:val="14"/>
                <w:szCs w:val="14"/>
                <w:b w:val="1"/>
                <w:bCs w:val="1"/>
                <w:color w:val="auto"/>
              </w:rPr>
              <w:t>Rohit Kapoor</w:t>
            </w:r>
          </w:p>
        </w:tc>
        <w:tc>
          <w:tcPr>
            <w:tcW w:w="1400" w:type="dxa"/>
            <w:vAlign w:val="bottom"/>
          </w:tcPr>
          <w:p>
            <w:pPr>
              <w:ind w:left="380"/>
              <w:spacing w:after="0"/>
              <w:rPr>
                <w:sz w:val="20"/>
                <w:szCs w:val="20"/>
                <w:color w:val="auto"/>
              </w:rPr>
            </w:pPr>
            <w:r>
              <w:rPr>
                <w:rFonts w:ascii="Arial" w:cs="Arial" w:eastAsia="Arial" w:hAnsi="Arial"/>
                <w:sz w:val="14"/>
                <w:szCs w:val="14"/>
                <w:color w:val="auto"/>
              </w:rPr>
              <w:t>November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w:t>
      </w:r>
    </w:p>
    <w:p>
      <w:pPr>
        <w:spacing w:after="0" w:line="34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Co-founder of EXL Inc. in April 1999; Vice Chairman and CEO of the Company since April 2012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Membership</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ectPr>
          <w:pgSz w:w="11900" w:h="16838" w:orient="portrait"/>
          <w:cols w:equalWidth="0" w:num="3">
            <w:col w:w="2820" w:space="320"/>
            <w:col w:w="4360" w:space="580"/>
            <w:col w:w="314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1460" w:type="dxa"/>
            <w:vAlign w:val="bottom"/>
            <w:shd w:val="clear" w:color="auto" w:fill="F3F9FF"/>
          </w:tcPr>
          <w:p>
            <w:pPr>
              <w:spacing w:after="0"/>
              <w:rPr>
                <w:sz w:val="14"/>
                <w:szCs w:val="14"/>
                <w:color w:val="auto"/>
              </w:rPr>
            </w:pPr>
          </w:p>
        </w:tc>
        <w:tc>
          <w:tcPr>
            <w:tcW w:w="1160" w:type="dxa"/>
            <w:vAlign w:val="bottom"/>
            <w:shd w:val="clear" w:color="auto" w:fill="F3F9FF"/>
          </w:tcPr>
          <w:p>
            <w:pPr>
              <w:spacing w:after="0"/>
              <w:rPr>
                <w:sz w:val="14"/>
                <w:szCs w:val="14"/>
                <w:color w:val="auto"/>
              </w:rPr>
            </w:pPr>
          </w:p>
        </w:tc>
        <w:tc>
          <w:tcPr>
            <w:tcW w:w="5260" w:type="dxa"/>
            <w:vAlign w:val="bottom"/>
            <w:shd w:val="clear" w:color="auto" w:fill="F3F9FF"/>
          </w:tcPr>
          <w:p>
            <w:pPr>
              <w:spacing w:after="0"/>
              <w:rPr>
                <w:sz w:val="14"/>
                <w:szCs w:val="14"/>
                <w:color w:val="auto"/>
              </w:rPr>
            </w:pPr>
          </w:p>
        </w:tc>
        <w:tc>
          <w:tcPr>
            <w:tcW w:w="3340" w:type="dxa"/>
            <w:vAlign w:val="bottom"/>
            <w:shd w:val="clear" w:color="auto" w:fill="F3F9FF"/>
          </w:tcPr>
          <w:p>
            <w:pPr>
              <w:ind w:left="200"/>
              <w:spacing w:after="0"/>
              <w:rPr>
                <w:sz w:val="20"/>
                <w:szCs w:val="20"/>
                <w:color w:val="auto"/>
              </w:rPr>
            </w:pPr>
            <w:r>
              <w:rPr>
                <w:rFonts w:ascii="Arial" w:cs="Arial" w:eastAsia="Arial" w:hAnsi="Arial"/>
                <w:sz w:val="14"/>
                <w:szCs w:val="14"/>
                <w:color w:val="auto"/>
              </w:rPr>
              <w:t>Nominating and Governance Committee</w:t>
            </w:r>
          </w:p>
        </w:tc>
        <w:tc>
          <w:tcPr>
            <w:tcW w:w="0" w:type="dxa"/>
            <w:vAlign w:val="bottom"/>
          </w:tcPr>
          <w:p>
            <w:pPr>
              <w:spacing w:after="0"/>
              <w:rPr>
                <w:sz w:val="1"/>
                <w:szCs w:val="1"/>
                <w:color w:val="auto"/>
              </w:rPr>
            </w:pPr>
          </w:p>
        </w:tc>
      </w:tr>
      <w:tr>
        <w:trPr>
          <w:trHeight w:val="162"/>
        </w:trPr>
        <w:tc>
          <w:tcPr>
            <w:tcW w:w="1460" w:type="dxa"/>
            <w:vAlign w:val="bottom"/>
            <w:vMerge w:val="restart"/>
            <w:shd w:val="clear" w:color="auto" w:fill="F3F9FF"/>
          </w:tcPr>
          <w:p>
            <w:pPr>
              <w:ind w:left="120"/>
              <w:spacing w:after="0"/>
              <w:rPr>
                <w:sz w:val="20"/>
                <w:szCs w:val="20"/>
                <w:color w:val="auto"/>
              </w:rPr>
            </w:pPr>
            <w:r>
              <w:rPr>
                <w:rFonts w:ascii="Arial" w:cs="Arial" w:eastAsia="Arial" w:hAnsi="Arial"/>
                <w:sz w:val="14"/>
                <w:szCs w:val="14"/>
                <w:b w:val="1"/>
                <w:bCs w:val="1"/>
                <w:color w:val="auto"/>
              </w:rPr>
              <w:t>David B. Kelso</w:t>
            </w:r>
          </w:p>
        </w:tc>
        <w:tc>
          <w:tcPr>
            <w:tcW w:w="1160" w:type="dxa"/>
            <w:vAlign w:val="bottom"/>
            <w:vMerge w:val="restart"/>
            <w:shd w:val="clear" w:color="auto" w:fill="F3F9FF"/>
          </w:tcPr>
          <w:p>
            <w:pPr>
              <w:ind w:left="340"/>
              <w:spacing w:after="0"/>
              <w:rPr>
                <w:sz w:val="20"/>
                <w:szCs w:val="20"/>
                <w:color w:val="auto"/>
              </w:rPr>
            </w:pPr>
            <w:r>
              <w:rPr>
                <w:rFonts w:ascii="Arial" w:cs="Arial" w:eastAsia="Arial" w:hAnsi="Arial"/>
                <w:sz w:val="14"/>
                <w:szCs w:val="14"/>
                <w:color w:val="auto"/>
              </w:rPr>
              <w:t>June</w:t>
            </w:r>
          </w:p>
        </w:tc>
        <w:tc>
          <w:tcPr>
            <w:tcW w:w="5260" w:type="dxa"/>
            <w:vAlign w:val="bottom"/>
            <w:shd w:val="clear" w:color="auto" w:fill="F3F9FF"/>
          </w:tcPr>
          <w:p>
            <w:pPr>
              <w:ind w:left="520"/>
              <w:spacing w:after="0"/>
              <w:rPr>
                <w:sz w:val="20"/>
                <w:szCs w:val="20"/>
                <w:color w:val="auto"/>
              </w:rPr>
            </w:pPr>
            <w:r>
              <w:rPr>
                <w:rFonts w:ascii="Arial" w:cs="Arial" w:eastAsia="Arial" w:hAnsi="Arial"/>
                <w:sz w:val="14"/>
                <w:szCs w:val="14"/>
                <w:color w:val="auto"/>
              </w:rPr>
              <w:t>Financial advisor for Kelso Advisory Services; former Senior Advisor for</w:t>
            </w:r>
          </w:p>
        </w:tc>
        <w:tc>
          <w:tcPr>
            <w:tcW w:w="3340" w:type="dxa"/>
            <w:vAlign w:val="bottom"/>
            <w:shd w:val="clear" w:color="auto" w:fill="F3F9FF"/>
          </w:tcPr>
          <w:p>
            <w:pPr>
              <w:ind w:left="200"/>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81"/>
        </w:trPr>
        <w:tc>
          <w:tcPr>
            <w:tcW w:w="1460" w:type="dxa"/>
            <w:vAlign w:val="bottom"/>
            <w:vMerge w:val="continue"/>
            <w:shd w:val="clear" w:color="auto" w:fill="F3F9FF"/>
          </w:tcPr>
          <w:p>
            <w:pPr>
              <w:spacing w:after="0"/>
              <w:rPr>
                <w:sz w:val="7"/>
                <w:szCs w:val="7"/>
                <w:color w:val="auto"/>
              </w:rPr>
            </w:pPr>
          </w:p>
        </w:tc>
        <w:tc>
          <w:tcPr>
            <w:tcW w:w="1160" w:type="dxa"/>
            <w:vAlign w:val="bottom"/>
            <w:vMerge w:val="continue"/>
            <w:shd w:val="clear" w:color="auto" w:fill="F3F9FF"/>
          </w:tcPr>
          <w:p>
            <w:pPr>
              <w:spacing w:after="0"/>
              <w:rPr>
                <w:sz w:val="7"/>
                <w:szCs w:val="7"/>
                <w:color w:val="auto"/>
              </w:rPr>
            </w:pPr>
          </w:p>
        </w:tc>
        <w:tc>
          <w:tcPr>
            <w:tcW w:w="5260" w:type="dxa"/>
            <w:vAlign w:val="bottom"/>
            <w:vMerge w:val="restart"/>
            <w:shd w:val="clear" w:color="auto" w:fill="F3F9FF"/>
          </w:tcPr>
          <w:p>
            <w:pPr>
              <w:ind w:left="520"/>
              <w:spacing w:after="0"/>
              <w:rPr>
                <w:sz w:val="20"/>
                <w:szCs w:val="20"/>
                <w:color w:val="auto"/>
              </w:rPr>
            </w:pPr>
            <w:r>
              <w:rPr>
                <w:rFonts w:ascii="Arial" w:cs="Arial" w:eastAsia="Arial" w:hAnsi="Arial"/>
                <w:sz w:val="14"/>
                <w:szCs w:val="14"/>
                <w:color w:val="auto"/>
              </w:rPr>
              <w:t>Inductis, Inc.; former director and member of audit and finance &amp;</w:t>
            </w:r>
          </w:p>
        </w:tc>
        <w:tc>
          <w:tcPr>
            <w:tcW w:w="3340" w:type="dxa"/>
            <w:vAlign w:val="bottom"/>
            <w:shd w:val="clear" w:color="auto" w:fill="F3F9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60" w:type="dxa"/>
            <w:vAlign w:val="bottom"/>
            <w:vMerge w:val="continue"/>
            <w:shd w:val="clear" w:color="auto" w:fill="F3F9FF"/>
          </w:tcPr>
          <w:p>
            <w:pPr>
              <w:spacing w:after="0"/>
              <w:rPr>
                <w:sz w:val="7"/>
                <w:szCs w:val="7"/>
                <w:color w:val="auto"/>
              </w:rPr>
            </w:pPr>
          </w:p>
        </w:tc>
        <w:tc>
          <w:tcPr>
            <w:tcW w:w="1160" w:type="dxa"/>
            <w:vAlign w:val="bottom"/>
            <w:vMerge w:val="restart"/>
            <w:shd w:val="clear" w:color="auto" w:fill="F3F9FF"/>
          </w:tcPr>
          <w:p>
            <w:pPr>
              <w:ind w:left="340"/>
              <w:spacing w:after="0"/>
              <w:rPr>
                <w:sz w:val="20"/>
                <w:szCs w:val="20"/>
                <w:color w:val="auto"/>
              </w:rPr>
            </w:pPr>
            <w:r>
              <w:rPr>
                <w:rFonts w:ascii="Arial" w:cs="Arial" w:eastAsia="Arial" w:hAnsi="Arial"/>
                <w:sz w:val="14"/>
                <w:szCs w:val="14"/>
                <w:color w:val="auto"/>
              </w:rPr>
              <w:t>2006</w:t>
            </w:r>
          </w:p>
        </w:tc>
        <w:tc>
          <w:tcPr>
            <w:tcW w:w="5260" w:type="dxa"/>
            <w:vAlign w:val="bottom"/>
            <w:vMerge w:val="continue"/>
            <w:shd w:val="clear" w:color="auto" w:fill="F3F9FF"/>
          </w:tcPr>
          <w:p>
            <w:pPr>
              <w:spacing w:after="0"/>
              <w:rPr>
                <w:sz w:val="7"/>
                <w:szCs w:val="7"/>
                <w:color w:val="auto"/>
              </w:rPr>
            </w:pPr>
          </w:p>
        </w:tc>
        <w:tc>
          <w:tcPr>
            <w:tcW w:w="3340" w:type="dxa"/>
            <w:vAlign w:val="bottom"/>
            <w:shd w:val="clear" w:color="auto" w:fill="F3F9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60" w:type="dxa"/>
            <w:vAlign w:val="bottom"/>
            <w:shd w:val="clear" w:color="auto" w:fill="F3F9FF"/>
          </w:tcPr>
          <w:p>
            <w:pPr>
              <w:spacing w:after="0"/>
              <w:rPr>
                <w:sz w:val="7"/>
                <w:szCs w:val="7"/>
                <w:color w:val="auto"/>
              </w:rPr>
            </w:pPr>
          </w:p>
        </w:tc>
        <w:tc>
          <w:tcPr>
            <w:tcW w:w="1160" w:type="dxa"/>
            <w:vAlign w:val="bottom"/>
            <w:vMerge w:val="continue"/>
            <w:shd w:val="clear" w:color="auto" w:fill="F3F9FF"/>
          </w:tcPr>
          <w:p>
            <w:pPr>
              <w:spacing w:after="0"/>
              <w:rPr>
                <w:sz w:val="7"/>
                <w:szCs w:val="7"/>
                <w:color w:val="auto"/>
              </w:rPr>
            </w:pPr>
          </w:p>
        </w:tc>
        <w:tc>
          <w:tcPr>
            <w:tcW w:w="5260" w:type="dxa"/>
            <w:vAlign w:val="bottom"/>
            <w:vMerge w:val="restart"/>
            <w:shd w:val="clear" w:color="auto" w:fill="F3F9FF"/>
          </w:tcPr>
          <w:p>
            <w:pPr>
              <w:ind w:left="520"/>
              <w:spacing w:after="0"/>
              <w:rPr>
                <w:sz w:val="20"/>
                <w:szCs w:val="20"/>
                <w:color w:val="auto"/>
              </w:rPr>
            </w:pPr>
            <w:r>
              <w:rPr>
                <w:rFonts w:ascii="Arial" w:cs="Arial" w:eastAsia="Arial" w:hAnsi="Arial"/>
                <w:sz w:val="14"/>
                <w:szCs w:val="14"/>
                <w:color w:val="auto"/>
              </w:rPr>
              <w:t>investment committees for Assurant, Inc.</w:t>
            </w:r>
          </w:p>
        </w:tc>
        <w:tc>
          <w:tcPr>
            <w:tcW w:w="3340" w:type="dxa"/>
            <w:vAlign w:val="bottom"/>
            <w:vMerge w:val="restart"/>
            <w:shd w:val="clear" w:color="auto" w:fill="F3F9FF"/>
          </w:tcPr>
          <w:p>
            <w:pPr>
              <w:ind w:left="200"/>
              <w:spacing w:after="0"/>
              <w:rPr>
                <w:sz w:val="20"/>
                <w:szCs w:val="20"/>
                <w:color w:val="auto"/>
              </w:rPr>
            </w:pPr>
            <w:r>
              <w:rPr>
                <w:rFonts w:ascii="Arial" w:cs="Arial" w:eastAsia="Arial" w:hAnsi="Arial"/>
                <w:sz w:val="14"/>
                <w:szCs w:val="14"/>
                <w:color w:val="auto"/>
              </w:rPr>
              <w:t>Audit Committee</w:t>
            </w:r>
          </w:p>
        </w:tc>
        <w:tc>
          <w:tcPr>
            <w:tcW w:w="0" w:type="dxa"/>
            <w:vAlign w:val="bottom"/>
          </w:tcPr>
          <w:p>
            <w:pPr>
              <w:spacing w:after="0"/>
              <w:rPr>
                <w:sz w:val="1"/>
                <w:szCs w:val="1"/>
                <w:color w:val="auto"/>
              </w:rPr>
            </w:pPr>
          </w:p>
        </w:tc>
      </w:tr>
      <w:tr>
        <w:trPr>
          <w:trHeight w:val="81"/>
        </w:trPr>
        <w:tc>
          <w:tcPr>
            <w:tcW w:w="1460" w:type="dxa"/>
            <w:vAlign w:val="bottom"/>
            <w:shd w:val="clear" w:color="auto" w:fill="F3F9FF"/>
          </w:tcPr>
          <w:p>
            <w:pPr>
              <w:spacing w:after="0"/>
              <w:rPr>
                <w:sz w:val="7"/>
                <w:szCs w:val="7"/>
                <w:color w:val="auto"/>
              </w:rPr>
            </w:pPr>
          </w:p>
        </w:tc>
        <w:tc>
          <w:tcPr>
            <w:tcW w:w="1160" w:type="dxa"/>
            <w:vAlign w:val="bottom"/>
            <w:shd w:val="clear" w:color="auto" w:fill="F3F9FF"/>
          </w:tcPr>
          <w:p>
            <w:pPr>
              <w:spacing w:after="0"/>
              <w:rPr>
                <w:sz w:val="7"/>
                <w:szCs w:val="7"/>
                <w:color w:val="auto"/>
              </w:rPr>
            </w:pPr>
          </w:p>
        </w:tc>
        <w:tc>
          <w:tcPr>
            <w:tcW w:w="5260" w:type="dxa"/>
            <w:vAlign w:val="bottom"/>
            <w:vMerge w:val="continue"/>
            <w:shd w:val="clear" w:color="auto" w:fill="F3F9FF"/>
          </w:tcPr>
          <w:p>
            <w:pPr>
              <w:spacing w:after="0"/>
              <w:rPr>
                <w:sz w:val="7"/>
                <w:szCs w:val="7"/>
                <w:color w:val="auto"/>
              </w:rPr>
            </w:pPr>
          </w:p>
        </w:tc>
        <w:tc>
          <w:tcPr>
            <w:tcW w:w="3340" w:type="dxa"/>
            <w:vAlign w:val="bottom"/>
            <w:vMerge w:val="continue"/>
            <w:shd w:val="clear" w:color="auto" w:fill="F3F9FF"/>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460" w:type="dxa"/>
            <w:vAlign w:val="bottom"/>
            <w:shd w:val="clear" w:color="auto" w:fill="F3F9FF"/>
          </w:tcPr>
          <w:p>
            <w:pPr>
              <w:spacing w:after="0"/>
              <w:rPr>
                <w:sz w:val="12"/>
                <w:szCs w:val="12"/>
                <w:color w:val="auto"/>
              </w:rPr>
            </w:pPr>
          </w:p>
        </w:tc>
        <w:tc>
          <w:tcPr>
            <w:tcW w:w="1160" w:type="dxa"/>
            <w:vAlign w:val="bottom"/>
            <w:shd w:val="clear" w:color="auto" w:fill="F3F9FF"/>
          </w:tcPr>
          <w:p>
            <w:pPr>
              <w:spacing w:after="0"/>
              <w:rPr>
                <w:sz w:val="12"/>
                <w:szCs w:val="12"/>
                <w:color w:val="auto"/>
              </w:rPr>
            </w:pPr>
          </w:p>
        </w:tc>
        <w:tc>
          <w:tcPr>
            <w:tcW w:w="5260" w:type="dxa"/>
            <w:vAlign w:val="bottom"/>
            <w:shd w:val="clear" w:color="auto" w:fill="F3F9FF"/>
          </w:tcPr>
          <w:p>
            <w:pPr>
              <w:spacing w:after="0"/>
              <w:rPr>
                <w:sz w:val="12"/>
                <w:szCs w:val="12"/>
                <w:color w:val="auto"/>
              </w:rPr>
            </w:pPr>
          </w:p>
        </w:tc>
        <w:tc>
          <w:tcPr>
            <w:tcW w:w="3340" w:type="dxa"/>
            <w:vAlign w:val="bottom"/>
            <w:shd w:val="clear" w:color="auto" w:fill="F3F9FF"/>
          </w:tcPr>
          <w:p>
            <w:pPr>
              <w:spacing w:after="0"/>
              <w:rPr>
                <w:sz w:val="12"/>
                <w:szCs w:val="1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1">
            <w:col w:w="11220"/>
          </w:cols>
          <w:pgMar w:left="320" w:top="1440" w:right="359" w:bottom="1440" w:gutter="0" w:footer="0" w:header="0"/>
          <w:type w:val="continuous"/>
        </w:sectPr>
      </w:pPr>
    </w:p>
    <w:p>
      <w:pPr>
        <w:spacing w:after="0" w:line="225"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4"/>
          <w:szCs w:val="14"/>
          <w:b w:val="1"/>
          <w:bCs w:val="1"/>
          <w:color w:val="auto"/>
        </w:rPr>
        <w:t>Anne Minto</w:t>
      </w:r>
      <w:r>
        <w:rPr>
          <w:sz w:val="20"/>
          <w:szCs w:val="20"/>
          <w:color w:val="auto"/>
        </w:rPr>
        <w:tab/>
      </w:r>
      <w:r>
        <w:rPr>
          <w:rFonts w:ascii="Arial" w:cs="Arial" w:eastAsia="Arial" w:hAnsi="Arial"/>
          <w:sz w:val="14"/>
          <w:szCs w:val="14"/>
          <w:color w:val="auto"/>
        </w:rPr>
        <w:t>March</w:t>
      </w:r>
    </w:p>
    <w:p>
      <w:pPr>
        <w:spacing w:after="0" w:line="19"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2013</w:t>
      </w:r>
    </w:p>
    <w:p>
      <w:pPr>
        <w:spacing w:after="0" w:line="36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4"/>
          <w:szCs w:val="14"/>
          <w:b w:val="1"/>
          <w:bCs w:val="1"/>
          <w:color w:val="auto"/>
        </w:rPr>
        <w:t>Som Mittal</w:t>
      </w:r>
      <w:r>
        <w:rPr>
          <w:sz w:val="20"/>
          <w:szCs w:val="20"/>
          <w:color w:val="auto"/>
        </w:rPr>
        <w:tab/>
      </w:r>
      <w:r>
        <w:rPr>
          <w:rFonts w:ascii="Arial" w:cs="Arial" w:eastAsia="Arial" w:hAnsi="Arial"/>
          <w:sz w:val="14"/>
          <w:szCs w:val="14"/>
          <w:color w:val="auto"/>
        </w:rPr>
        <w:t>December 2013</w:t>
      </w:r>
    </w:p>
    <w:p>
      <w:pPr>
        <w:spacing w:after="0" w:line="200" w:lineRule="exact"/>
        <w:rPr>
          <w:sz w:val="20"/>
          <w:szCs w:val="20"/>
          <w:color w:val="auto"/>
        </w:rPr>
      </w:pPr>
    </w:p>
    <w:p>
      <w:pPr>
        <w:spacing w:after="0" w:line="26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4"/>
          <w:szCs w:val="14"/>
          <w:b w:val="1"/>
          <w:bCs w:val="1"/>
          <w:color w:val="auto"/>
        </w:rPr>
        <w:t>Clyde Ostler</w:t>
      </w:r>
      <w:r>
        <w:rPr>
          <w:sz w:val="20"/>
          <w:szCs w:val="20"/>
          <w:color w:val="auto"/>
        </w:rPr>
        <w:tab/>
      </w:r>
      <w:r>
        <w:rPr>
          <w:rFonts w:ascii="Arial" w:cs="Arial" w:eastAsia="Arial" w:hAnsi="Arial"/>
          <w:sz w:val="14"/>
          <w:szCs w:val="14"/>
          <w:color w:val="auto"/>
        </w:rPr>
        <w:t>December 2007</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4"/>
          <w:szCs w:val="14"/>
          <w:b w:val="1"/>
          <w:bCs w:val="1"/>
          <w:color w:val="auto"/>
        </w:rPr>
        <w:t>Jaynie Studenmund</w:t>
      </w:r>
      <w:r>
        <w:rPr>
          <w:sz w:val="20"/>
          <w:szCs w:val="20"/>
          <w:color w:val="auto"/>
        </w:rPr>
        <w:tab/>
      </w:r>
      <w:r>
        <w:rPr>
          <w:rFonts w:ascii="Arial" w:cs="Arial" w:eastAsia="Arial" w:hAnsi="Arial"/>
          <w:sz w:val="14"/>
          <w:szCs w:val="14"/>
          <w:color w:val="auto"/>
        </w:rPr>
        <w:t>September 2018</w:t>
      </w:r>
    </w:p>
    <w:p>
      <w:pPr>
        <w:spacing w:after="0" w:line="20" w:lineRule="exact"/>
        <w:rPr>
          <w:sz w:val="20"/>
          <w:szCs w:val="20"/>
          <w:color w:val="auto"/>
        </w:rPr>
      </w:pPr>
      <w:r>
        <w:rPr>
          <w:sz w:val="20"/>
          <w:szCs w:val="20"/>
          <w:color w:val="auto"/>
        </w:rPr>
        <w:br w:type="column"/>
      </w:r>
    </w:p>
    <w:p>
      <w:pPr>
        <w:ind w:right="140"/>
        <w:spacing w:after="0" w:line="247" w:lineRule="auto"/>
        <w:rPr>
          <w:sz w:val="20"/>
          <w:szCs w:val="20"/>
          <w:color w:val="auto"/>
        </w:rPr>
      </w:pPr>
      <w:r>
        <w:rPr>
          <w:rFonts w:ascii="Arial" w:cs="Arial" w:eastAsia="Arial" w:hAnsi="Arial"/>
          <w:sz w:val="14"/>
          <w:szCs w:val="14"/>
          <w:color w:val="auto"/>
        </w:rPr>
        <w:t>Qualified lawyer and member of Law Society of Scotland; former executive of Centrica plc, Shell UK and Smiths Group plc; current non-executive director for Tate and Lyle and former non-executive director of Shire plc</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Former Chairman and President of NASSCOM; current director for Sheela Foam Ltd. and former director for Axis Bank, Ltd.</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Former executive for Wells Fargo, whose roles included Group Executive Vice President, Chief Financial Officer and Chief Auditor; Director for McClatchy Company</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Former Chief Operating Officer of Overture Services, Inc.; current director for Pacific Premier Bancorp, CoreLogic, Inc. and Western Asset Management, and former director for Pinnacle Entertainment, Inc. and Lifelock</w:t>
      </w:r>
    </w:p>
    <w:p>
      <w:pPr>
        <w:spacing w:after="0" w:line="20" w:lineRule="exact"/>
        <w:rPr>
          <w:sz w:val="20"/>
          <w:szCs w:val="20"/>
          <w:color w:val="auto"/>
        </w:rPr>
      </w:pPr>
      <w:r>
        <w:rPr>
          <w:sz w:val="20"/>
          <w:szCs w:val="20"/>
          <w:color w:val="auto"/>
        </w:rPr>
        <w:br w:type="column"/>
      </w:r>
    </w:p>
    <w:p>
      <w:pPr>
        <w:ind w:right="560"/>
        <w:spacing w:after="0" w:line="499" w:lineRule="auto"/>
        <w:rPr>
          <w:sz w:val="20"/>
          <w:szCs w:val="20"/>
          <w:color w:val="auto"/>
        </w:rPr>
      </w:pPr>
      <w:r>
        <w:rPr>
          <w:rFonts w:ascii="Arial" w:cs="Arial" w:eastAsia="Arial" w:hAnsi="Arial"/>
          <w:sz w:val="14"/>
          <w:szCs w:val="14"/>
          <w:color w:val="auto"/>
        </w:rPr>
        <w:t>Compensation Committee (Chair); Nominating and Governance Committee</w:t>
      </w:r>
    </w:p>
    <w:p>
      <w:pPr>
        <w:spacing w:after="0" w:line="195"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Compensation Committee; Nominating and Governance Committee</w:t>
      </w:r>
    </w:p>
    <w:p>
      <w:pPr>
        <w:spacing w:after="0" w:line="275"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Audit Committee (Chair); Compensation Committee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Audit Committee; Compensation Committee</w:t>
      </w:r>
    </w:p>
    <w:p>
      <w:pPr>
        <w:spacing w:after="0" w:line="458" w:lineRule="exact"/>
        <w:rPr>
          <w:sz w:val="20"/>
          <w:szCs w:val="20"/>
          <w:color w:val="auto"/>
        </w:rPr>
      </w:pPr>
    </w:p>
    <w:p>
      <w:pPr>
        <w:sectPr>
          <w:pgSz w:w="11900" w:h="16838" w:orient="portrait"/>
          <w:cols w:equalWidth="0" w:num="3">
            <w:col w:w="2860" w:space="280"/>
            <w:col w:w="4720" w:space="220"/>
            <w:col w:w="3140"/>
          </w:cols>
          <w:pgMar w:left="320" w:top="1440" w:right="35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62626"/>
        </w:rPr>
        <w:t>*A complete list of each nominee’s business experience and directorships is listed below beginning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ind w:right="180"/>
        <w:spacing w:after="0"/>
        <w:tabs>
          <w:tab w:leader="none" w:pos="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3" w:name="page14"/>
    <w:bookmarkEnd w:id="13"/>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Corporate Social Responsibility, Sustainability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142875</wp:posOffset>
            </wp:positionV>
            <wp:extent cx="6000750" cy="3789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20"/>
        <w:spacing w:after="0"/>
        <w:rPr>
          <w:sz w:val="20"/>
          <w:szCs w:val="20"/>
          <w:color w:val="auto"/>
        </w:rPr>
      </w:pPr>
      <w:r>
        <w:rPr>
          <w:rFonts w:ascii="Arial" w:cs="Arial" w:eastAsia="Arial" w:hAnsi="Arial"/>
          <w:sz w:val="18"/>
          <w:szCs w:val="18"/>
          <w:color w:val="262626"/>
        </w:rPr>
        <w:t>Our corporate culture is rooted in our five core values. In line with our culture, we are committed to corporate social responsibility, sustainability and human capital management initiatives that are key to our long-term strategy and benefit our communities, clients, employees and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2019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Named Executive Officers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50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Name</w:t>
            </w:r>
          </w:p>
        </w:tc>
        <w:tc>
          <w:tcPr>
            <w:tcW w:w="8720" w:type="dxa"/>
            <w:vAlign w:val="bottom"/>
            <w:shd w:val="clear" w:color="auto" w:fill="F0F8FF"/>
          </w:tcPr>
          <w:p>
            <w:pPr>
              <w:ind w:left="1080"/>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24"/>
                <w:szCs w:val="24"/>
                <w:color w:val="auto"/>
              </w:rPr>
            </w:pPr>
          </w:p>
        </w:tc>
      </w:tr>
      <w:tr>
        <w:trPr>
          <w:trHeight w:val="94"/>
        </w:trPr>
        <w:tc>
          <w:tcPr>
            <w:tcW w:w="2500" w:type="dxa"/>
            <w:vAlign w:val="bottom"/>
            <w:shd w:val="clear" w:color="auto" w:fill="F0F8FF"/>
          </w:tcPr>
          <w:p>
            <w:pPr>
              <w:spacing w:after="0"/>
              <w:rPr>
                <w:sz w:val="8"/>
                <w:szCs w:val="8"/>
                <w:color w:val="auto"/>
              </w:rPr>
            </w:pPr>
          </w:p>
        </w:tc>
        <w:tc>
          <w:tcPr>
            <w:tcW w:w="8720" w:type="dxa"/>
            <w:vAlign w:val="bottom"/>
            <w:shd w:val="clear" w:color="auto" w:fill="F0F8FF"/>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2500" w:type="dxa"/>
            <w:vAlign w:val="bottom"/>
          </w:tcPr>
          <w:p>
            <w:pPr>
              <w:ind w:left="120"/>
              <w:spacing w:after="0"/>
              <w:rPr>
                <w:sz w:val="20"/>
                <w:szCs w:val="20"/>
                <w:color w:val="auto"/>
              </w:rPr>
            </w:pPr>
            <w:r>
              <w:rPr>
                <w:rFonts w:ascii="Arial" w:cs="Arial" w:eastAsia="Arial" w:hAnsi="Arial"/>
                <w:sz w:val="18"/>
                <w:szCs w:val="18"/>
                <w:color w:val="auto"/>
              </w:rPr>
              <w:t>Rohit Kapoor</w:t>
            </w:r>
          </w:p>
        </w:tc>
        <w:tc>
          <w:tcPr>
            <w:tcW w:w="8720" w:type="dxa"/>
            <w:vAlign w:val="bottom"/>
          </w:tcPr>
          <w:p>
            <w:pPr>
              <w:ind w:left="1080"/>
              <w:spacing w:after="0"/>
              <w:rPr>
                <w:sz w:val="20"/>
                <w:szCs w:val="20"/>
                <w:color w:val="auto"/>
              </w:rPr>
            </w:pPr>
            <w:r>
              <w:rPr>
                <w:rFonts w:ascii="Arial" w:cs="Arial" w:eastAsia="Arial" w:hAnsi="Arial"/>
                <w:sz w:val="18"/>
                <w:szCs w:val="18"/>
                <w:color w:val="auto"/>
              </w:rPr>
              <w:t>Vice Chairman and CEO</w:t>
            </w:r>
          </w:p>
        </w:tc>
        <w:tc>
          <w:tcPr>
            <w:tcW w:w="20" w:type="dxa"/>
            <w:vAlign w:val="bottom"/>
          </w:tcPr>
          <w:p>
            <w:pPr>
              <w:spacing w:after="0"/>
              <w:rPr>
                <w:sz w:val="24"/>
                <w:szCs w:val="24"/>
                <w:color w:val="auto"/>
              </w:rPr>
            </w:pPr>
          </w:p>
        </w:tc>
      </w:tr>
      <w:tr>
        <w:trPr>
          <w:trHeight w:val="95"/>
        </w:trPr>
        <w:tc>
          <w:tcPr>
            <w:tcW w:w="250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2500" w:type="dxa"/>
            <w:vAlign w:val="bottom"/>
            <w:shd w:val="clear" w:color="auto" w:fill="F0F8FF"/>
          </w:tcPr>
          <w:p>
            <w:pPr>
              <w:ind w:left="120"/>
              <w:spacing w:after="0"/>
              <w:rPr>
                <w:sz w:val="20"/>
                <w:szCs w:val="20"/>
                <w:color w:val="auto"/>
              </w:rPr>
            </w:pPr>
            <w:r>
              <w:rPr>
                <w:rFonts w:ascii="Arial" w:cs="Arial" w:eastAsia="Arial" w:hAnsi="Arial"/>
                <w:sz w:val="18"/>
                <w:szCs w:val="18"/>
                <w:color w:val="auto"/>
              </w:rPr>
              <w:t>Vishal Chhibbar</w:t>
            </w:r>
          </w:p>
        </w:tc>
        <w:tc>
          <w:tcPr>
            <w:tcW w:w="8720" w:type="dxa"/>
            <w:vAlign w:val="bottom"/>
            <w:shd w:val="clear" w:color="auto" w:fill="F0F8FF"/>
          </w:tcPr>
          <w:p>
            <w:pPr>
              <w:ind w:left="1080"/>
              <w:spacing w:after="0"/>
              <w:rPr>
                <w:sz w:val="20"/>
                <w:szCs w:val="20"/>
                <w:color w:val="auto"/>
              </w:rPr>
            </w:pPr>
            <w:r>
              <w:rPr>
                <w:rFonts w:ascii="Arial" w:cs="Arial" w:eastAsia="Arial" w:hAnsi="Arial"/>
                <w:sz w:val="18"/>
                <w:szCs w:val="18"/>
                <w:color w:val="auto"/>
              </w:rPr>
              <w:t>Former Executive Vice President and CFO</w:t>
            </w:r>
          </w:p>
        </w:tc>
        <w:tc>
          <w:tcPr>
            <w:tcW w:w="20" w:type="dxa"/>
            <w:vAlign w:val="bottom"/>
          </w:tcPr>
          <w:p>
            <w:pPr>
              <w:spacing w:after="0"/>
              <w:rPr>
                <w:sz w:val="24"/>
                <w:szCs w:val="24"/>
                <w:color w:val="auto"/>
              </w:rPr>
            </w:pPr>
          </w:p>
        </w:tc>
      </w:tr>
      <w:tr>
        <w:trPr>
          <w:trHeight w:val="95"/>
        </w:trPr>
        <w:tc>
          <w:tcPr>
            <w:tcW w:w="2500" w:type="dxa"/>
            <w:vAlign w:val="bottom"/>
            <w:shd w:val="clear" w:color="auto" w:fill="F0F8FF"/>
          </w:tcPr>
          <w:p>
            <w:pPr>
              <w:spacing w:after="0"/>
              <w:rPr>
                <w:sz w:val="8"/>
                <w:szCs w:val="8"/>
                <w:color w:val="auto"/>
              </w:rPr>
            </w:pPr>
          </w:p>
        </w:tc>
        <w:tc>
          <w:tcPr>
            <w:tcW w:w="8720" w:type="dxa"/>
            <w:vAlign w:val="bottom"/>
            <w:shd w:val="clear" w:color="auto" w:fill="F0F8FF"/>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2500" w:type="dxa"/>
            <w:vAlign w:val="bottom"/>
          </w:tcPr>
          <w:p>
            <w:pPr>
              <w:ind w:left="120"/>
              <w:spacing w:after="0"/>
              <w:rPr>
                <w:sz w:val="20"/>
                <w:szCs w:val="20"/>
                <w:color w:val="auto"/>
              </w:rPr>
            </w:pPr>
            <w:r>
              <w:rPr>
                <w:rFonts w:ascii="Arial" w:cs="Arial" w:eastAsia="Arial" w:hAnsi="Arial"/>
                <w:sz w:val="18"/>
                <w:szCs w:val="18"/>
                <w:color w:val="auto"/>
              </w:rPr>
              <w:t>Pavan Bagai</w:t>
            </w:r>
          </w:p>
        </w:tc>
        <w:tc>
          <w:tcPr>
            <w:tcW w:w="8720" w:type="dxa"/>
            <w:vAlign w:val="bottom"/>
          </w:tcPr>
          <w:p>
            <w:pPr>
              <w:ind w:left="1080"/>
              <w:spacing w:after="0"/>
              <w:rPr>
                <w:sz w:val="20"/>
                <w:szCs w:val="20"/>
                <w:color w:val="auto"/>
              </w:rPr>
            </w:pPr>
            <w:r>
              <w:rPr>
                <w:rFonts w:ascii="Arial" w:cs="Arial" w:eastAsia="Arial" w:hAnsi="Arial"/>
                <w:sz w:val="18"/>
                <w:szCs w:val="18"/>
                <w:color w:val="auto"/>
              </w:rPr>
              <w:t>President and Chief Operating Officer and Interim CFO</w:t>
            </w:r>
          </w:p>
        </w:tc>
        <w:tc>
          <w:tcPr>
            <w:tcW w:w="20" w:type="dxa"/>
            <w:vAlign w:val="bottom"/>
          </w:tcPr>
          <w:p>
            <w:pPr>
              <w:spacing w:after="0"/>
              <w:rPr>
                <w:sz w:val="24"/>
                <w:szCs w:val="24"/>
                <w:color w:val="auto"/>
              </w:rPr>
            </w:pPr>
          </w:p>
        </w:tc>
      </w:tr>
      <w:tr>
        <w:trPr>
          <w:trHeight w:val="94"/>
        </w:trPr>
        <w:tc>
          <w:tcPr>
            <w:tcW w:w="250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2500" w:type="dxa"/>
            <w:vAlign w:val="bottom"/>
            <w:shd w:val="clear" w:color="auto" w:fill="F3F9FF"/>
          </w:tcPr>
          <w:p>
            <w:pPr>
              <w:ind w:left="120"/>
              <w:spacing w:after="0"/>
              <w:rPr>
                <w:sz w:val="20"/>
                <w:szCs w:val="20"/>
                <w:color w:val="auto"/>
              </w:rPr>
            </w:pPr>
            <w:r>
              <w:rPr>
                <w:rFonts w:ascii="Arial" w:cs="Arial" w:eastAsia="Arial" w:hAnsi="Arial"/>
                <w:sz w:val="18"/>
                <w:szCs w:val="18"/>
                <w:color w:val="auto"/>
              </w:rPr>
              <w:t>Nalin Miglani</w:t>
            </w:r>
          </w:p>
        </w:tc>
        <w:tc>
          <w:tcPr>
            <w:tcW w:w="8720" w:type="dxa"/>
            <w:vAlign w:val="bottom"/>
            <w:shd w:val="clear" w:color="auto" w:fill="F3F9FF"/>
          </w:tcPr>
          <w:p>
            <w:pPr>
              <w:ind w:left="1080"/>
              <w:spacing w:after="0"/>
              <w:rPr>
                <w:sz w:val="20"/>
                <w:szCs w:val="20"/>
                <w:color w:val="auto"/>
              </w:rPr>
            </w:pPr>
            <w:r>
              <w:rPr>
                <w:rFonts w:ascii="Arial" w:cs="Arial" w:eastAsia="Arial" w:hAnsi="Arial"/>
                <w:sz w:val="18"/>
                <w:szCs w:val="18"/>
                <w:color w:val="auto"/>
              </w:rPr>
              <w:t>Executive Vice President and Chief Human Resources Officer</w:t>
            </w:r>
          </w:p>
        </w:tc>
        <w:tc>
          <w:tcPr>
            <w:tcW w:w="20" w:type="dxa"/>
            <w:vAlign w:val="bottom"/>
          </w:tcPr>
          <w:p>
            <w:pPr>
              <w:spacing w:after="0"/>
              <w:rPr>
                <w:sz w:val="24"/>
                <w:szCs w:val="24"/>
                <w:color w:val="auto"/>
              </w:rPr>
            </w:pPr>
          </w:p>
        </w:tc>
      </w:tr>
      <w:tr>
        <w:trPr>
          <w:trHeight w:val="95"/>
        </w:trPr>
        <w:tc>
          <w:tcPr>
            <w:tcW w:w="2500" w:type="dxa"/>
            <w:vAlign w:val="bottom"/>
            <w:shd w:val="clear" w:color="auto" w:fill="F3F9FF"/>
          </w:tcPr>
          <w:p>
            <w:pPr>
              <w:spacing w:after="0"/>
              <w:rPr>
                <w:sz w:val="8"/>
                <w:szCs w:val="8"/>
                <w:color w:val="auto"/>
              </w:rPr>
            </w:pPr>
          </w:p>
        </w:tc>
        <w:tc>
          <w:tcPr>
            <w:tcW w:w="8720" w:type="dxa"/>
            <w:vAlign w:val="bottom"/>
            <w:shd w:val="clear" w:color="auto" w:fill="F3F9FF"/>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2500" w:type="dxa"/>
            <w:vAlign w:val="bottom"/>
          </w:tcPr>
          <w:p>
            <w:pPr>
              <w:ind w:left="120"/>
              <w:spacing w:after="0"/>
              <w:rPr>
                <w:sz w:val="20"/>
                <w:szCs w:val="20"/>
                <w:color w:val="auto"/>
              </w:rPr>
            </w:pPr>
            <w:r>
              <w:rPr>
                <w:rFonts w:ascii="Arial" w:cs="Arial" w:eastAsia="Arial" w:hAnsi="Arial"/>
                <w:sz w:val="18"/>
                <w:szCs w:val="18"/>
                <w:color w:val="auto"/>
              </w:rPr>
              <w:t>Vikas Bhalla</w:t>
            </w:r>
          </w:p>
        </w:tc>
        <w:tc>
          <w:tcPr>
            <w:tcW w:w="8720" w:type="dxa"/>
            <w:vAlign w:val="bottom"/>
          </w:tcPr>
          <w:p>
            <w:pPr>
              <w:ind w:left="1080"/>
              <w:spacing w:after="0"/>
              <w:rPr>
                <w:sz w:val="20"/>
                <w:szCs w:val="20"/>
                <w:color w:val="auto"/>
              </w:rPr>
            </w:pPr>
            <w:r>
              <w:rPr>
                <w:rFonts w:ascii="Arial" w:cs="Arial" w:eastAsia="Arial" w:hAnsi="Arial"/>
                <w:sz w:val="18"/>
                <w:szCs w:val="18"/>
                <w:color w:val="auto"/>
              </w:rPr>
              <w:t>Executive Vice President and Business Head, Insurance</w:t>
            </w:r>
          </w:p>
        </w:tc>
        <w:tc>
          <w:tcPr>
            <w:tcW w:w="20" w:type="dxa"/>
            <w:vAlign w:val="bottom"/>
          </w:tcPr>
          <w:p>
            <w:pPr>
              <w:spacing w:after="0"/>
              <w:rPr>
                <w:sz w:val="24"/>
                <w:szCs w:val="24"/>
                <w:color w:val="auto"/>
              </w:rPr>
            </w:pPr>
          </w:p>
        </w:tc>
      </w:tr>
      <w:tr>
        <w:trPr>
          <w:trHeight w:val="95"/>
        </w:trPr>
        <w:tc>
          <w:tcPr>
            <w:tcW w:w="250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2500" w:type="dxa"/>
            <w:vAlign w:val="bottom"/>
            <w:shd w:val="clear" w:color="auto" w:fill="F3F9FF"/>
          </w:tcPr>
          <w:p>
            <w:pPr>
              <w:ind w:left="120"/>
              <w:spacing w:after="0"/>
              <w:rPr>
                <w:sz w:val="20"/>
                <w:szCs w:val="20"/>
                <w:color w:val="auto"/>
              </w:rPr>
            </w:pPr>
            <w:r>
              <w:rPr>
                <w:rFonts w:ascii="Arial" w:cs="Arial" w:eastAsia="Arial" w:hAnsi="Arial"/>
                <w:sz w:val="18"/>
                <w:szCs w:val="18"/>
                <w:color w:val="auto"/>
              </w:rPr>
              <w:t>Samuel Meckey</w:t>
            </w:r>
          </w:p>
        </w:tc>
        <w:tc>
          <w:tcPr>
            <w:tcW w:w="8720" w:type="dxa"/>
            <w:vAlign w:val="bottom"/>
            <w:shd w:val="clear" w:color="auto" w:fill="F3F9FF"/>
          </w:tcPr>
          <w:p>
            <w:pPr>
              <w:ind w:left="1080"/>
              <w:spacing w:after="0"/>
              <w:rPr>
                <w:sz w:val="20"/>
                <w:szCs w:val="20"/>
                <w:color w:val="auto"/>
              </w:rPr>
            </w:pPr>
            <w:r>
              <w:rPr>
                <w:rFonts w:ascii="Arial" w:cs="Arial" w:eastAsia="Arial" w:hAnsi="Arial"/>
                <w:sz w:val="18"/>
                <w:szCs w:val="18"/>
                <w:color w:val="auto"/>
              </w:rPr>
              <w:t>Executive Vice President and Business Head, Healthcare</w:t>
            </w:r>
          </w:p>
        </w:tc>
        <w:tc>
          <w:tcPr>
            <w:tcW w:w="20" w:type="dxa"/>
            <w:vAlign w:val="bottom"/>
          </w:tcPr>
          <w:p>
            <w:pPr>
              <w:spacing w:after="0"/>
              <w:rPr>
                <w:sz w:val="24"/>
                <w:szCs w:val="24"/>
                <w:color w:val="auto"/>
              </w:rPr>
            </w:pPr>
          </w:p>
        </w:tc>
      </w:tr>
      <w:tr>
        <w:trPr>
          <w:trHeight w:val="94"/>
        </w:trPr>
        <w:tc>
          <w:tcPr>
            <w:tcW w:w="2500" w:type="dxa"/>
            <w:vAlign w:val="bottom"/>
            <w:tcBorders>
              <w:bottom w:val="single" w:sz="8" w:color="C3E6FF"/>
            </w:tcBorders>
            <w:shd w:val="clear" w:color="auto" w:fill="F3F9FF"/>
          </w:tcPr>
          <w:p>
            <w:pPr>
              <w:spacing w:after="0"/>
              <w:rPr>
                <w:sz w:val="8"/>
                <w:szCs w:val="8"/>
                <w:color w:val="auto"/>
              </w:rPr>
            </w:pPr>
          </w:p>
        </w:tc>
        <w:tc>
          <w:tcPr>
            <w:tcW w:w="8720" w:type="dxa"/>
            <w:vAlign w:val="bottom"/>
            <w:tcBorders>
              <w:bottom w:val="single" w:sz="8" w:color="C3E6FF"/>
            </w:tcBorders>
            <w:shd w:val="clear" w:color="auto" w:fill="F3F9FF"/>
          </w:tcPr>
          <w:p>
            <w:pPr>
              <w:spacing w:after="0"/>
              <w:rPr>
                <w:sz w:val="8"/>
                <w:szCs w:val="8"/>
                <w:color w:val="auto"/>
              </w:rPr>
            </w:pPr>
          </w:p>
        </w:tc>
        <w:tc>
          <w:tcPr>
            <w:tcW w:w="20" w:type="dxa"/>
            <w:vAlign w:val="bottom"/>
            <w:tcBorders>
              <w:bottom w:val="single" w:sz="8" w:color="C3E6FF"/>
            </w:tcBorders>
          </w:tcPr>
          <w:p>
            <w:pPr>
              <w:spacing w:after="0"/>
              <w:rPr>
                <w:sz w:val="8"/>
                <w:szCs w:val="8"/>
                <w:color w:val="auto"/>
              </w:rPr>
            </w:pPr>
          </w:p>
        </w:tc>
      </w:tr>
      <w:tr>
        <w:trPr>
          <w:trHeight w:val="399"/>
        </w:trPr>
        <w:tc>
          <w:tcPr>
            <w:tcW w:w="25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0"/>
        </w:trPr>
        <w:tc>
          <w:tcPr>
            <w:tcW w:w="2500" w:type="dxa"/>
            <w:vAlign w:val="bottom"/>
            <w:shd w:val="clear" w:color="auto" w:fill="0093FF"/>
          </w:tcPr>
          <w:p>
            <w:pPr>
              <w:spacing w:after="0"/>
              <w:rPr>
                <w:sz w:val="24"/>
                <w:szCs w:val="24"/>
                <w:color w:val="auto"/>
              </w:rPr>
            </w:pPr>
          </w:p>
        </w:tc>
        <w:tc>
          <w:tcPr>
            <w:tcW w:w="8720" w:type="dxa"/>
            <w:vAlign w:val="bottom"/>
            <w:shd w:val="clear" w:color="auto" w:fill="0093FF"/>
          </w:tcPr>
          <w:p>
            <w:pPr>
              <w:ind w:left="694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7</w:t>
            </w:r>
          </w:p>
        </w:tc>
        <w:tc>
          <w:tcPr>
            <w:tcW w:w="20" w:type="dxa"/>
            <w:vAlign w:val="bottom"/>
            <w:shd w:val="clear" w:color="auto" w:fill="0093FF"/>
          </w:tcPr>
          <w:p>
            <w:pPr>
              <w:spacing w:after="0"/>
              <w:rPr>
                <w:sz w:val="24"/>
                <w:szCs w:val="24"/>
                <w:color w:val="auto"/>
              </w:rPr>
            </w:pPr>
          </w:p>
        </w:tc>
      </w:tr>
      <w:tr>
        <w:trPr>
          <w:trHeight w:val="126"/>
        </w:trPr>
        <w:tc>
          <w:tcPr>
            <w:tcW w:w="2500" w:type="dxa"/>
            <w:vAlign w:val="bottom"/>
            <w:shd w:val="clear" w:color="auto" w:fill="0093FF"/>
          </w:tcPr>
          <w:p>
            <w:pPr>
              <w:spacing w:after="0"/>
              <w:rPr>
                <w:sz w:val="11"/>
                <w:szCs w:val="11"/>
                <w:color w:val="auto"/>
              </w:rPr>
            </w:pPr>
          </w:p>
        </w:tc>
        <w:tc>
          <w:tcPr>
            <w:tcW w:w="8720" w:type="dxa"/>
            <w:vAlign w:val="bottom"/>
            <w:shd w:val="clear" w:color="auto" w:fill="0093FF"/>
          </w:tcPr>
          <w:p>
            <w:pPr>
              <w:spacing w:after="0"/>
              <w:rPr>
                <w:sz w:val="11"/>
                <w:szCs w:val="11"/>
                <w:color w:val="auto"/>
              </w:rPr>
            </w:pPr>
          </w:p>
        </w:tc>
        <w:tc>
          <w:tcPr>
            <w:tcW w:w="20" w:type="dxa"/>
            <w:vAlign w:val="bottom"/>
            <w:shd w:val="clear" w:color="auto" w:fill="0093FF"/>
          </w:tcPr>
          <w:p>
            <w:pPr>
              <w:spacing w:after="0"/>
              <w:rPr>
                <w:sz w:val="11"/>
                <w:szCs w:val="11"/>
                <w:color w:val="auto"/>
              </w:rPr>
            </w:pPr>
          </w:p>
        </w:tc>
      </w:tr>
      <w:tr>
        <w:trPr>
          <w:trHeight w:val="554"/>
        </w:trPr>
        <w:tc>
          <w:tcPr>
            <w:tcW w:w="25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7132320" cy="2185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85670"/>
                    </a:xfrm>
                    <a:prstGeom prst="rect">
                      <a:avLst/>
                    </a:prstGeom>
                    <a:noFill/>
                  </pic:spPr>
                </pic:pic>
              </a:graphicData>
            </a:graphic>
          </wp:anchor>
        </w:drawing>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2019 Standard Annual Compensation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52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Compensation</w:t>
            </w:r>
          </w:p>
        </w:tc>
        <w:tc>
          <w:tcPr>
            <w:tcW w:w="1440" w:type="dxa"/>
            <w:vAlign w:val="bottom"/>
            <w:shd w:val="clear" w:color="auto" w:fill="F0F8FF"/>
          </w:tcPr>
          <w:p>
            <w:pPr>
              <w:ind w:left="180"/>
              <w:spacing w:after="0"/>
              <w:rPr>
                <w:sz w:val="20"/>
                <w:szCs w:val="20"/>
                <w:color w:val="auto"/>
              </w:rPr>
            </w:pPr>
            <w:r>
              <w:rPr>
                <w:rFonts w:ascii="Arial" w:cs="Arial" w:eastAsia="Arial" w:hAnsi="Arial"/>
                <w:sz w:val="18"/>
                <w:szCs w:val="18"/>
                <w:b w:val="1"/>
                <w:bCs w:val="1"/>
                <w:color w:val="auto"/>
              </w:rPr>
              <w:t>Rohit</w:t>
            </w:r>
          </w:p>
        </w:tc>
        <w:tc>
          <w:tcPr>
            <w:tcW w:w="1440" w:type="dxa"/>
            <w:vAlign w:val="bottom"/>
            <w:shd w:val="clear" w:color="auto" w:fill="F0F8FF"/>
          </w:tcPr>
          <w:p>
            <w:pPr>
              <w:ind w:left="80"/>
              <w:spacing w:after="0"/>
              <w:rPr>
                <w:sz w:val="20"/>
                <w:szCs w:val="20"/>
                <w:color w:val="auto"/>
              </w:rPr>
            </w:pPr>
            <w:r>
              <w:rPr>
                <w:rFonts w:ascii="Arial" w:cs="Arial" w:eastAsia="Arial" w:hAnsi="Arial"/>
                <w:sz w:val="18"/>
                <w:szCs w:val="18"/>
                <w:b w:val="1"/>
                <w:bCs w:val="1"/>
                <w:color w:val="auto"/>
              </w:rPr>
              <w:t>Vishal</w:t>
            </w:r>
          </w:p>
        </w:tc>
        <w:tc>
          <w:tcPr>
            <w:tcW w:w="134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Pavan</w:t>
            </w:r>
          </w:p>
        </w:tc>
        <w:tc>
          <w:tcPr>
            <w:tcW w:w="158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Nalin</w:t>
            </w:r>
          </w:p>
        </w:tc>
        <w:tc>
          <w:tcPr>
            <w:tcW w:w="1440" w:type="dxa"/>
            <w:vAlign w:val="bottom"/>
            <w:shd w:val="clear" w:color="auto" w:fill="F0F8FF"/>
          </w:tcPr>
          <w:p>
            <w:pPr>
              <w:ind w:left="80"/>
              <w:spacing w:after="0"/>
              <w:rPr>
                <w:sz w:val="20"/>
                <w:szCs w:val="20"/>
                <w:color w:val="auto"/>
              </w:rPr>
            </w:pPr>
            <w:r>
              <w:rPr>
                <w:rFonts w:ascii="Arial" w:cs="Arial" w:eastAsia="Arial" w:hAnsi="Arial"/>
                <w:sz w:val="18"/>
                <w:szCs w:val="18"/>
                <w:b w:val="1"/>
                <w:bCs w:val="1"/>
                <w:color w:val="auto"/>
              </w:rPr>
              <w:t>Vikas</w:t>
            </w:r>
          </w:p>
        </w:tc>
        <w:tc>
          <w:tcPr>
            <w:tcW w:w="146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Samuel</w:t>
            </w:r>
          </w:p>
        </w:tc>
      </w:tr>
      <w:tr>
        <w:trPr>
          <w:trHeight w:val="374"/>
        </w:trPr>
        <w:tc>
          <w:tcPr>
            <w:tcW w:w="252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Component</w:t>
            </w:r>
          </w:p>
        </w:tc>
        <w:tc>
          <w:tcPr>
            <w:tcW w:w="1440" w:type="dxa"/>
            <w:vAlign w:val="bottom"/>
            <w:shd w:val="clear" w:color="auto" w:fill="F0F8FF"/>
          </w:tcPr>
          <w:p>
            <w:pPr>
              <w:ind w:left="180"/>
              <w:spacing w:after="0"/>
              <w:rPr>
                <w:sz w:val="20"/>
                <w:szCs w:val="20"/>
                <w:color w:val="auto"/>
              </w:rPr>
            </w:pPr>
            <w:r>
              <w:rPr>
                <w:rFonts w:ascii="Arial" w:cs="Arial" w:eastAsia="Arial" w:hAnsi="Arial"/>
                <w:sz w:val="18"/>
                <w:szCs w:val="18"/>
                <w:b w:val="1"/>
                <w:bCs w:val="1"/>
                <w:color w:val="auto"/>
              </w:rPr>
              <w:t>Kapoor</w:t>
            </w:r>
          </w:p>
        </w:tc>
        <w:tc>
          <w:tcPr>
            <w:tcW w:w="1440" w:type="dxa"/>
            <w:vAlign w:val="bottom"/>
            <w:shd w:val="clear" w:color="auto" w:fill="F0F8FF"/>
          </w:tcPr>
          <w:p>
            <w:pPr>
              <w:ind w:left="80"/>
              <w:spacing w:after="0"/>
              <w:rPr>
                <w:sz w:val="20"/>
                <w:szCs w:val="20"/>
                <w:color w:val="auto"/>
              </w:rPr>
            </w:pPr>
            <w:r>
              <w:rPr>
                <w:rFonts w:ascii="Arial" w:cs="Arial" w:eastAsia="Arial" w:hAnsi="Arial"/>
                <w:sz w:val="18"/>
                <w:szCs w:val="18"/>
                <w:b w:val="1"/>
                <w:bCs w:val="1"/>
                <w:color w:val="auto"/>
              </w:rPr>
              <w:t>Chhibbar</w:t>
            </w:r>
            <w:r>
              <w:rPr>
                <w:rFonts w:ascii="Arial" w:cs="Arial" w:eastAsia="Arial" w:hAnsi="Arial"/>
                <w:sz w:val="29"/>
                <w:szCs w:val="29"/>
                <w:b w:val="1"/>
                <w:bCs w:val="1"/>
                <w:color w:val="auto"/>
                <w:vertAlign w:val="superscript"/>
              </w:rPr>
              <w:t>(2)</w:t>
            </w:r>
          </w:p>
        </w:tc>
        <w:tc>
          <w:tcPr>
            <w:tcW w:w="134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Bagai</w:t>
            </w:r>
          </w:p>
        </w:tc>
        <w:tc>
          <w:tcPr>
            <w:tcW w:w="158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Miglani</w:t>
            </w:r>
          </w:p>
        </w:tc>
        <w:tc>
          <w:tcPr>
            <w:tcW w:w="1440" w:type="dxa"/>
            <w:vAlign w:val="bottom"/>
            <w:shd w:val="clear" w:color="auto" w:fill="F0F8FF"/>
          </w:tcPr>
          <w:p>
            <w:pPr>
              <w:ind w:left="80"/>
              <w:spacing w:after="0"/>
              <w:rPr>
                <w:sz w:val="20"/>
                <w:szCs w:val="20"/>
                <w:color w:val="auto"/>
              </w:rPr>
            </w:pPr>
            <w:r>
              <w:rPr>
                <w:rFonts w:ascii="Arial" w:cs="Arial" w:eastAsia="Arial" w:hAnsi="Arial"/>
                <w:sz w:val="18"/>
                <w:szCs w:val="18"/>
                <w:b w:val="1"/>
                <w:bCs w:val="1"/>
                <w:color w:val="auto"/>
              </w:rPr>
              <w:t>Bhalla</w:t>
            </w:r>
          </w:p>
        </w:tc>
        <w:tc>
          <w:tcPr>
            <w:tcW w:w="146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Meckey</w:t>
            </w:r>
          </w:p>
        </w:tc>
      </w:tr>
      <w:tr>
        <w:trPr>
          <w:trHeight w:val="324"/>
        </w:trPr>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Salary</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$720,000</w:t>
            </w:r>
          </w:p>
        </w:tc>
        <w:tc>
          <w:tcPr>
            <w:tcW w:w="1440" w:type="dxa"/>
            <w:vAlign w:val="bottom"/>
          </w:tcPr>
          <w:p>
            <w:pPr>
              <w:jc w:val="right"/>
              <w:spacing w:after="0"/>
              <w:rPr>
                <w:sz w:val="20"/>
                <w:szCs w:val="20"/>
                <w:color w:val="auto"/>
              </w:rPr>
            </w:pPr>
            <w:r>
              <w:rPr>
                <w:rFonts w:ascii="Arial" w:cs="Arial" w:eastAsia="Arial" w:hAnsi="Arial"/>
                <w:sz w:val="18"/>
                <w:szCs w:val="18"/>
                <w:color w:val="auto"/>
              </w:rPr>
              <w:t>$427,808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$311,554</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$450,000</w:t>
            </w:r>
          </w:p>
        </w:tc>
        <w:tc>
          <w:tcPr>
            <w:tcW w:w="1440" w:type="dxa"/>
            <w:vAlign w:val="bottom"/>
          </w:tcPr>
          <w:p>
            <w:pPr>
              <w:jc w:val="right"/>
              <w:spacing w:after="0"/>
              <w:rPr>
                <w:sz w:val="20"/>
                <w:szCs w:val="20"/>
                <w:color w:val="auto"/>
              </w:rPr>
            </w:pPr>
            <w:r>
              <w:rPr>
                <w:rFonts w:ascii="Arial" w:cs="Arial" w:eastAsia="Arial" w:hAnsi="Arial"/>
                <w:sz w:val="18"/>
                <w:szCs w:val="18"/>
                <w:color w:val="auto"/>
              </w:rPr>
              <w:t>$263,809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$425,000</w:t>
            </w:r>
          </w:p>
        </w:tc>
      </w:tr>
      <w:tr>
        <w:trPr>
          <w:trHeight w:val="94"/>
        </w:trPr>
        <w:tc>
          <w:tcPr>
            <w:tcW w:w="2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8"/>
        </w:trPr>
        <w:tc>
          <w:tcPr>
            <w:tcW w:w="252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Non-Equity Incentive Plan</w:t>
            </w:r>
          </w:p>
        </w:tc>
        <w:tc>
          <w:tcPr>
            <w:tcW w:w="1440" w:type="dxa"/>
            <w:vAlign w:val="bottom"/>
            <w:shd w:val="clear" w:color="auto" w:fill="F0F8FF"/>
          </w:tcPr>
          <w:p>
            <w:pPr>
              <w:spacing w:after="0"/>
              <w:rPr>
                <w:sz w:val="24"/>
                <w:szCs w:val="24"/>
                <w:color w:val="auto"/>
              </w:rPr>
            </w:pPr>
          </w:p>
        </w:tc>
        <w:tc>
          <w:tcPr>
            <w:tcW w:w="1440" w:type="dxa"/>
            <w:vAlign w:val="bottom"/>
            <w:shd w:val="clear" w:color="auto" w:fill="F0F8FF"/>
          </w:tcPr>
          <w:p>
            <w:pPr>
              <w:spacing w:after="0"/>
              <w:rPr>
                <w:sz w:val="24"/>
                <w:szCs w:val="24"/>
                <w:color w:val="auto"/>
              </w:rPr>
            </w:pPr>
          </w:p>
        </w:tc>
        <w:tc>
          <w:tcPr>
            <w:tcW w:w="1340" w:type="dxa"/>
            <w:vAlign w:val="bottom"/>
            <w:shd w:val="clear" w:color="auto" w:fill="F0F8FF"/>
          </w:tcPr>
          <w:p>
            <w:pPr>
              <w:spacing w:after="0"/>
              <w:rPr>
                <w:sz w:val="24"/>
                <w:szCs w:val="24"/>
                <w:color w:val="auto"/>
              </w:rPr>
            </w:pPr>
          </w:p>
        </w:tc>
        <w:tc>
          <w:tcPr>
            <w:tcW w:w="1580" w:type="dxa"/>
            <w:vAlign w:val="bottom"/>
            <w:shd w:val="clear" w:color="auto" w:fill="F0F8FF"/>
          </w:tcPr>
          <w:p>
            <w:pPr>
              <w:spacing w:after="0"/>
              <w:rPr>
                <w:sz w:val="24"/>
                <w:szCs w:val="24"/>
                <w:color w:val="auto"/>
              </w:rPr>
            </w:pPr>
          </w:p>
        </w:tc>
        <w:tc>
          <w:tcPr>
            <w:tcW w:w="1440" w:type="dxa"/>
            <w:vAlign w:val="bottom"/>
            <w:shd w:val="clear" w:color="auto" w:fill="F0F8FF"/>
          </w:tcPr>
          <w:p>
            <w:pPr>
              <w:spacing w:after="0"/>
              <w:rPr>
                <w:sz w:val="24"/>
                <w:szCs w:val="24"/>
                <w:color w:val="auto"/>
              </w:rPr>
            </w:pPr>
          </w:p>
        </w:tc>
        <w:tc>
          <w:tcPr>
            <w:tcW w:w="1460" w:type="dxa"/>
            <w:vAlign w:val="bottom"/>
            <w:shd w:val="clear" w:color="auto" w:fill="F0F8FF"/>
          </w:tcPr>
          <w:p>
            <w:pPr>
              <w:spacing w:after="0"/>
              <w:rPr>
                <w:sz w:val="24"/>
                <w:szCs w:val="24"/>
                <w:color w:val="auto"/>
              </w:rPr>
            </w:pPr>
          </w:p>
        </w:tc>
      </w:tr>
      <w:tr>
        <w:trPr>
          <w:trHeight w:val="239"/>
        </w:trPr>
        <w:tc>
          <w:tcPr>
            <w:tcW w:w="252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Compensation</w:t>
            </w:r>
          </w:p>
        </w:tc>
        <w:tc>
          <w:tcPr>
            <w:tcW w:w="144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1,304,453</w:t>
            </w:r>
          </w:p>
        </w:tc>
        <w:tc>
          <w:tcPr>
            <w:tcW w:w="1440" w:type="dxa"/>
            <w:vAlign w:val="bottom"/>
            <w:shd w:val="clear" w:color="auto" w:fill="F0F8FF"/>
          </w:tcPr>
          <w:p>
            <w:pPr>
              <w:jc w:val="right"/>
              <w:spacing w:after="0"/>
              <w:rPr>
                <w:sz w:val="20"/>
                <w:szCs w:val="20"/>
                <w:color w:val="auto"/>
              </w:rPr>
            </w:pPr>
            <w:r>
              <w:rPr>
                <w:rFonts w:ascii="Arial" w:cs="Arial" w:eastAsia="Arial" w:hAnsi="Arial"/>
                <w:sz w:val="18"/>
                <w:szCs w:val="18"/>
                <w:color w:val="auto"/>
              </w:rPr>
              <w:t>0</w:t>
            </w:r>
          </w:p>
        </w:tc>
        <w:tc>
          <w:tcPr>
            <w:tcW w:w="134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323,814</w:t>
            </w:r>
          </w:p>
        </w:tc>
        <w:tc>
          <w:tcPr>
            <w:tcW w:w="158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411,735</w:t>
            </w:r>
          </w:p>
        </w:tc>
        <w:tc>
          <w:tcPr>
            <w:tcW w:w="1440" w:type="dxa"/>
            <w:vAlign w:val="bottom"/>
            <w:shd w:val="clear" w:color="auto" w:fill="F0F8FF"/>
          </w:tcPr>
          <w:p>
            <w:pPr>
              <w:jc w:val="right"/>
              <w:spacing w:after="0"/>
              <w:rPr>
                <w:sz w:val="20"/>
                <w:szCs w:val="20"/>
                <w:color w:val="auto"/>
              </w:rPr>
            </w:pPr>
            <w:r>
              <w:rPr>
                <w:rFonts w:ascii="Arial" w:cs="Arial" w:eastAsia="Arial" w:hAnsi="Arial"/>
                <w:sz w:val="18"/>
                <w:szCs w:val="18"/>
                <w:color w:val="auto"/>
              </w:rPr>
              <w:t>285,636</w:t>
            </w:r>
          </w:p>
        </w:tc>
        <w:tc>
          <w:tcPr>
            <w:tcW w:w="146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364,320</w:t>
            </w:r>
          </w:p>
        </w:tc>
      </w:tr>
      <w:tr>
        <w:trPr>
          <w:trHeight w:val="94"/>
        </w:trPr>
        <w:tc>
          <w:tcPr>
            <w:tcW w:w="2520" w:type="dxa"/>
            <w:vAlign w:val="bottom"/>
            <w:shd w:val="clear" w:color="auto" w:fill="F0F8FF"/>
          </w:tcPr>
          <w:p>
            <w:pPr>
              <w:spacing w:after="0"/>
              <w:rPr>
                <w:sz w:val="8"/>
                <w:szCs w:val="8"/>
                <w:color w:val="auto"/>
              </w:rPr>
            </w:pPr>
          </w:p>
        </w:tc>
        <w:tc>
          <w:tcPr>
            <w:tcW w:w="1440" w:type="dxa"/>
            <w:vAlign w:val="bottom"/>
            <w:shd w:val="clear" w:color="auto" w:fill="F0F8FF"/>
          </w:tcPr>
          <w:p>
            <w:pPr>
              <w:spacing w:after="0"/>
              <w:rPr>
                <w:sz w:val="8"/>
                <w:szCs w:val="8"/>
                <w:color w:val="auto"/>
              </w:rPr>
            </w:pPr>
          </w:p>
        </w:tc>
        <w:tc>
          <w:tcPr>
            <w:tcW w:w="1440" w:type="dxa"/>
            <w:vAlign w:val="bottom"/>
            <w:shd w:val="clear" w:color="auto" w:fill="F0F8FF"/>
          </w:tcPr>
          <w:p>
            <w:pPr>
              <w:spacing w:after="0"/>
              <w:rPr>
                <w:sz w:val="8"/>
                <w:szCs w:val="8"/>
                <w:color w:val="auto"/>
              </w:rPr>
            </w:pPr>
          </w:p>
        </w:tc>
        <w:tc>
          <w:tcPr>
            <w:tcW w:w="1340" w:type="dxa"/>
            <w:vAlign w:val="bottom"/>
            <w:shd w:val="clear" w:color="auto" w:fill="F0F8FF"/>
          </w:tcPr>
          <w:p>
            <w:pPr>
              <w:spacing w:after="0"/>
              <w:rPr>
                <w:sz w:val="8"/>
                <w:szCs w:val="8"/>
                <w:color w:val="auto"/>
              </w:rPr>
            </w:pPr>
          </w:p>
        </w:tc>
        <w:tc>
          <w:tcPr>
            <w:tcW w:w="1580" w:type="dxa"/>
            <w:vAlign w:val="bottom"/>
            <w:shd w:val="clear" w:color="auto" w:fill="F0F8FF"/>
          </w:tcPr>
          <w:p>
            <w:pPr>
              <w:spacing w:after="0"/>
              <w:rPr>
                <w:sz w:val="8"/>
                <w:szCs w:val="8"/>
                <w:color w:val="auto"/>
              </w:rPr>
            </w:pPr>
          </w:p>
        </w:tc>
        <w:tc>
          <w:tcPr>
            <w:tcW w:w="1440" w:type="dxa"/>
            <w:vAlign w:val="bottom"/>
            <w:shd w:val="clear" w:color="auto" w:fill="F0F8FF"/>
          </w:tcPr>
          <w:p>
            <w:pPr>
              <w:spacing w:after="0"/>
              <w:rPr>
                <w:sz w:val="8"/>
                <w:szCs w:val="8"/>
                <w:color w:val="auto"/>
              </w:rPr>
            </w:pPr>
          </w:p>
        </w:tc>
        <w:tc>
          <w:tcPr>
            <w:tcW w:w="1460" w:type="dxa"/>
            <w:vAlign w:val="bottom"/>
            <w:shd w:val="clear" w:color="auto" w:fill="F0F8FF"/>
          </w:tcPr>
          <w:p>
            <w:pPr>
              <w:spacing w:after="0"/>
              <w:rPr>
                <w:sz w:val="8"/>
                <w:szCs w:val="8"/>
                <w:color w:val="auto"/>
              </w:rPr>
            </w:pPr>
          </w:p>
        </w:tc>
      </w:tr>
      <w:tr>
        <w:trPr>
          <w:trHeight w:val="324"/>
        </w:trPr>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Equity Awards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4,121,410</w:t>
            </w:r>
          </w:p>
        </w:tc>
        <w:tc>
          <w:tcPr>
            <w:tcW w:w="1440" w:type="dxa"/>
            <w:vAlign w:val="bottom"/>
          </w:tcPr>
          <w:p>
            <w:pPr>
              <w:jc w:val="right"/>
              <w:spacing w:after="0"/>
              <w:rPr>
                <w:sz w:val="20"/>
                <w:szCs w:val="20"/>
                <w:color w:val="auto"/>
              </w:rPr>
            </w:pPr>
            <w:r>
              <w:rPr>
                <w:rFonts w:ascii="Arial" w:cs="Arial" w:eastAsia="Arial" w:hAnsi="Arial"/>
                <w:sz w:val="18"/>
                <w:szCs w:val="18"/>
                <w:color w:val="auto"/>
              </w:rPr>
              <w:t>1,010,024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1,557,454</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880,294</w:t>
            </w:r>
          </w:p>
        </w:tc>
        <w:tc>
          <w:tcPr>
            <w:tcW w:w="1440" w:type="dxa"/>
            <w:vAlign w:val="bottom"/>
          </w:tcPr>
          <w:p>
            <w:pPr>
              <w:jc w:val="right"/>
              <w:spacing w:after="0"/>
              <w:rPr>
                <w:sz w:val="20"/>
                <w:szCs w:val="20"/>
                <w:color w:val="auto"/>
              </w:rPr>
            </w:pPr>
            <w:r>
              <w:rPr>
                <w:rFonts w:ascii="Arial" w:cs="Arial" w:eastAsia="Arial" w:hAnsi="Arial"/>
                <w:sz w:val="18"/>
                <w:szCs w:val="18"/>
                <w:color w:val="auto"/>
              </w:rPr>
              <w:t>973,685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765,547</w:t>
            </w:r>
          </w:p>
        </w:tc>
      </w:tr>
      <w:tr>
        <w:trPr>
          <w:trHeight w:val="94"/>
        </w:trPr>
        <w:tc>
          <w:tcPr>
            <w:tcW w:w="2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459"/>
        </w:trPr>
        <w:tc>
          <w:tcPr>
            <w:tcW w:w="252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Other Compensation</w:t>
            </w:r>
            <w:r>
              <w:rPr>
                <w:rFonts w:ascii="Arial" w:cs="Arial" w:eastAsia="Arial" w:hAnsi="Arial"/>
                <w:sz w:val="29"/>
                <w:szCs w:val="29"/>
                <w:b w:val="1"/>
                <w:bCs w:val="1"/>
                <w:color w:val="auto"/>
                <w:vertAlign w:val="superscript"/>
              </w:rPr>
              <w:t>(1)</w:t>
            </w:r>
          </w:p>
        </w:tc>
        <w:tc>
          <w:tcPr>
            <w:tcW w:w="144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49,354</w:t>
            </w:r>
          </w:p>
        </w:tc>
        <w:tc>
          <w:tcPr>
            <w:tcW w:w="1440" w:type="dxa"/>
            <w:vAlign w:val="bottom"/>
            <w:shd w:val="clear" w:color="auto" w:fill="F0F8FF"/>
          </w:tcPr>
          <w:p>
            <w:pPr>
              <w:jc w:val="right"/>
              <w:spacing w:after="0"/>
              <w:rPr>
                <w:sz w:val="20"/>
                <w:szCs w:val="20"/>
                <w:color w:val="auto"/>
              </w:rPr>
            </w:pPr>
            <w:r>
              <w:rPr>
                <w:rFonts w:ascii="Arial" w:cs="Arial" w:eastAsia="Arial" w:hAnsi="Arial"/>
                <w:sz w:val="18"/>
                <w:szCs w:val="18"/>
                <w:color w:val="auto"/>
              </w:rPr>
              <w:t>11,289</w:t>
            </w:r>
          </w:p>
        </w:tc>
        <w:tc>
          <w:tcPr>
            <w:tcW w:w="134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54,023</w:t>
            </w:r>
          </w:p>
        </w:tc>
        <w:tc>
          <w:tcPr>
            <w:tcW w:w="158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9,444</w:t>
            </w:r>
          </w:p>
        </w:tc>
        <w:tc>
          <w:tcPr>
            <w:tcW w:w="1440" w:type="dxa"/>
            <w:vAlign w:val="bottom"/>
            <w:shd w:val="clear" w:color="auto" w:fill="F0F8FF"/>
          </w:tcPr>
          <w:p>
            <w:pPr>
              <w:jc w:val="right"/>
              <w:spacing w:after="0"/>
              <w:rPr>
                <w:sz w:val="20"/>
                <w:szCs w:val="20"/>
                <w:color w:val="auto"/>
              </w:rPr>
            </w:pPr>
            <w:r>
              <w:rPr>
                <w:rFonts w:ascii="Arial" w:cs="Arial" w:eastAsia="Arial" w:hAnsi="Arial"/>
                <w:sz w:val="18"/>
                <w:szCs w:val="18"/>
                <w:color w:val="auto"/>
              </w:rPr>
              <w:t>45,554</w:t>
            </w:r>
          </w:p>
        </w:tc>
        <w:tc>
          <w:tcPr>
            <w:tcW w:w="1460" w:type="dxa"/>
            <w:vAlign w:val="bottom"/>
            <w:shd w:val="clear" w:color="auto" w:fill="F0F8FF"/>
          </w:tcPr>
          <w:p>
            <w:pPr>
              <w:jc w:val="right"/>
              <w:ind w:right="10"/>
              <w:spacing w:after="0"/>
              <w:rPr>
                <w:sz w:val="20"/>
                <w:szCs w:val="20"/>
                <w:color w:val="auto"/>
              </w:rPr>
            </w:pPr>
            <w:r>
              <w:rPr>
                <w:rFonts w:ascii="Arial" w:cs="Arial" w:eastAsia="Arial" w:hAnsi="Arial"/>
                <w:sz w:val="18"/>
                <w:szCs w:val="18"/>
                <w:color w:val="auto"/>
              </w:rPr>
              <w:t>9,444</w:t>
            </w:r>
          </w:p>
        </w:tc>
      </w:tr>
      <w:tr>
        <w:trPr>
          <w:trHeight w:val="324"/>
        </w:trPr>
        <w:tc>
          <w:tcPr>
            <w:tcW w:w="25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$6,195,217</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$1,449,121</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$2,246,845</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$1,751,473</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$1,568,683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$1,564,311</w:t>
            </w:r>
          </w:p>
        </w:tc>
      </w:tr>
    </w:tbl>
    <w:p>
      <w:pPr>
        <w:spacing w:after="0" w:line="315" w:lineRule="exact"/>
        <w:rPr>
          <w:sz w:val="20"/>
          <w:szCs w:val="20"/>
          <w:color w:val="auto"/>
        </w:rPr>
      </w:pPr>
    </w:p>
    <w:p>
      <w:pPr>
        <w:jc w:val="both"/>
        <w:ind w:right="520" w:firstLine="8"/>
        <w:spacing w:after="0" w:line="249" w:lineRule="auto"/>
        <w:tabs>
          <w:tab w:leader="none" w:pos="216" w:val="left"/>
        </w:tabs>
        <w:numPr>
          <w:ilvl w:val="0"/>
          <w:numId w:val="12"/>
        </w:numPr>
        <w:rPr>
          <w:rFonts w:ascii="Arial" w:cs="Arial" w:eastAsia="Arial" w:hAnsi="Arial"/>
          <w:sz w:val="14"/>
          <w:szCs w:val="14"/>
          <w:color w:val="262626"/>
        </w:rPr>
      </w:pPr>
      <w:r>
        <w:rPr>
          <w:rFonts w:ascii="Arial" w:cs="Arial" w:eastAsia="Arial" w:hAnsi="Arial"/>
          <w:sz w:val="14"/>
          <w:szCs w:val="14"/>
          <w:color w:val="262626"/>
        </w:rPr>
        <w:t>For each named executive officer,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2019 is provided in the “Summary Compensation Table for Fiscal Year 2019” beginning on page [62].</w:t>
      </w:r>
    </w:p>
    <w:p>
      <w:pPr>
        <w:spacing w:after="0" w:line="146" w:lineRule="exact"/>
        <w:rPr>
          <w:rFonts w:ascii="Arial" w:cs="Arial" w:eastAsia="Arial" w:hAnsi="Arial"/>
          <w:sz w:val="14"/>
          <w:szCs w:val="14"/>
          <w:color w:val="262626"/>
        </w:rPr>
      </w:pPr>
    </w:p>
    <w:p>
      <w:pPr>
        <w:ind w:left="220" w:hanging="212"/>
        <w:spacing w:after="0"/>
        <w:tabs>
          <w:tab w:leader="none" w:pos="220" w:val="left"/>
        </w:tabs>
        <w:numPr>
          <w:ilvl w:val="0"/>
          <w:numId w:val="12"/>
        </w:numPr>
        <w:rPr>
          <w:rFonts w:ascii="Arial" w:cs="Arial" w:eastAsia="Arial" w:hAnsi="Arial"/>
          <w:sz w:val="14"/>
          <w:szCs w:val="14"/>
          <w:color w:val="262626"/>
        </w:rPr>
      </w:pPr>
      <w:r>
        <w:rPr>
          <w:rFonts w:ascii="Arial" w:cs="Arial" w:eastAsia="Arial" w:hAnsi="Arial"/>
          <w:sz w:val="14"/>
          <w:szCs w:val="14"/>
          <w:color w:val="262626"/>
        </w:rPr>
        <w:t>Mr. Chhibbar’s last working day at the Company was December 13, 2019.</w:t>
      </w:r>
    </w:p>
    <w:p>
      <w:pPr>
        <w:spacing w:after="0" w:line="198" w:lineRule="exact"/>
        <w:rPr>
          <w:sz w:val="20"/>
          <w:szCs w:val="20"/>
          <w:color w:val="auto"/>
        </w:rPr>
      </w:pPr>
    </w:p>
    <w:p>
      <w:pPr>
        <w:ind w:right="180"/>
        <w:spacing w:after="0"/>
        <w:rPr>
          <w:sz w:val="20"/>
          <w:szCs w:val="20"/>
          <w:color w:val="auto"/>
        </w:rPr>
      </w:pPr>
      <w:r>
        <w:rPr>
          <w:rFonts w:ascii="Arial" w:cs="Arial" w:eastAsia="Arial" w:hAnsi="Arial"/>
          <w:sz w:val="18"/>
          <w:szCs w:val="18"/>
          <w:color w:val="262626"/>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beginning on page 42 for a complete description of our 2018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440"/>
        <w:spacing w:after="0"/>
        <w:tabs>
          <w:tab w:leader="none" w:pos="109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62626"/>
        </w:rPr>
        <w:t>Below are a few highlights of our executive compensation:</w:t>
      </w:r>
    </w:p>
    <w:p>
      <w:pPr>
        <w:spacing w:after="0" w:line="176" w:lineRule="exact"/>
        <w:rPr>
          <w:sz w:val="20"/>
          <w:szCs w:val="20"/>
          <w:color w:val="auto"/>
        </w:rPr>
      </w:pPr>
    </w:p>
    <w:p>
      <w:pPr>
        <w:ind w:left="660" w:right="160" w:hanging="328"/>
        <w:spacing w:after="0" w:line="247" w:lineRule="auto"/>
        <w:tabs>
          <w:tab w:leader="none" w:pos="660" w:val="left"/>
        </w:tabs>
        <w:numPr>
          <w:ilvl w:val="0"/>
          <w:numId w:val="13"/>
        </w:numPr>
        <w:rPr>
          <w:rFonts w:ascii="Arial" w:cs="Arial" w:eastAsia="Arial" w:hAnsi="Arial"/>
          <w:sz w:val="18"/>
          <w:szCs w:val="18"/>
          <w:color w:val="FF6503"/>
        </w:rPr>
      </w:pPr>
      <w:r>
        <w:rPr>
          <w:rFonts w:ascii="Arial" w:cs="Arial" w:eastAsia="Arial" w:hAnsi="Arial"/>
          <w:sz w:val="18"/>
          <w:szCs w:val="18"/>
          <w:b w:val="1"/>
          <w:bCs w:val="1"/>
          <w:color w:val="262626"/>
        </w:rPr>
        <w:t>Compensation Philosophy</w:t>
      </w:r>
      <w:r>
        <w:rPr>
          <w:rFonts w:ascii="Arial" w:cs="Arial" w:eastAsia="Arial" w:hAnsi="Arial"/>
          <w:sz w:val="18"/>
          <w:szCs w:val="18"/>
          <w:color w:val="262626"/>
        </w:rPr>
        <w:t>: Our executive compensation philosophy is focused on pay-for-performance and is designed to reflect</w:t>
      </w:r>
      <w:r>
        <w:rPr>
          <w:rFonts w:ascii="Arial" w:cs="Arial" w:eastAsia="Arial" w:hAnsi="Arial"/>
          <w:sz w:val="18"/>
          <w:szCs w:val="18"/>
          <w:b w:val="1"/>
          <w:bCs w:val="1"/>
          <w:color w:val="262626"/>
        </w:rPr>
        <w:t xml:space="preserve"> </w:t>
      </w:r>
      <w:r>
        <w:rPr>
          <w:rFonts w:ascii="Arial" w:cs="Arial" w:eastAsia="Arial" w:hAnsi="Arial"/>
          <w:sz w:val="18"/>
          <w:szCs w:val="18"/>
          <w:color w:val="262626"/>
        </w:rPr>
        <w:t>appropriate governance practices aligned with the needs of our business, and includes, among others, the following features: clawback policy; stock ownership policy; no excessive perquisites; no tax gross-ups; and an anti-hedging and anti-pledging policy. See “Executive Compensation Program, Practices and Policies” beginning on page 46 below.</w:t>
      </w:r>
    </w:p>
    <w:p>
      <w:pPr>
        <w:spacing w:after="0" w:line="160" w:lineRule="exact"/>
        <w:rPr>
          <w:rFonts w:ascii="Arial" w:cs="Arial" w:eastAsia="Arial" w:hAnsi="Arial"/>
          <w:sz w:val="18"/>
          <w:szCs w:val="18"/>
          <w:color w:val="FF6503"/>
        </w:rPr>
      </w:pPr>
    </w:p>
    <w:p>
      <w:pPr>
        <w:ind w:left="660" w:right="80" w:hanging="328"/>
        <w:spacing w:after="0" w:line="253" w:lineRule="auto"/>
        <w:tabs>
          <w:tab w:leader="none" w:pos="660" w:val="left"/>
        </w:tabs>
        <w:numPr>
          <w:ilvl w:val="0"/>
          <w:numId w:val="13"/>
        </w:numPr>
        <w:rPr>
          <w:rFonts w:ascii="Arial" w:cs="Arial" w:eastAsia="Arial" w:hAnsi="Arial"/>
          <w:sz w:val="18"/>
          <w:szCs w:val="18"/>
          <w:color w:val="FF6503"/>
        </w:rPr>
      </w:pPr>
      <w:r>
        <w:rPr>
          <w:rFonts w:ascii="Arial" w:cs="Arial" w:eastAsia="Arial" w:hAnsi="Arial"/>
          <w:sz w:val="18"/>
          <w:szCs w:val="18"/>
          <w:b w:val="1"/>
          <w:bCs w:val="1"/>
          <w:color w:val="262626"/>
        </w:rPr>
        <w:t>97% Say-on-Pay Approval of 2018 Compensation</w:t>
      </w:r>
      <w:r>
        <w:rPr>
          <w:rFonts w:ascii="Arial" w:cs="Arial" w:eastAsia="Arial" w:hAnsi="Arial"/>
          <w:sz w:val="18"/>
          <w:szCs w:val="18"/>
          <w:color w:val="262626"/>
        </w:rPr>
        <w:t>: At our 2019 Annual Meeting of Stockholders, our stockholders approved, on a</w:t>
      </w:r>
      <w:r>
        <w:rPr>
          <w:rFonts w:ascii="Arial" w:cs="Arial" w:eastAsia="Arial" w:hAnsi="Arial"/>
          <w:sz w:val="18"/>
          <w:szCs w:val="18"/>
          <w:b w:val="1"/>
          <w:bCs w:val="1"/>
          <w:color w:val="262626"/>
        </w:rPr>
        <w:t xml:space="preserve"> </w:t>
      </w:r>
      <w:r>
        <w:rPr>
          <w:rFonts w:ascii="Arial" w:cs="Arial" w:eastAsia="Arial" w:hAnsi="Arial"/>
          <w:sz w:val="18"/>
          <w:szCs w:val="18"/>
          <w:color w:val="262626"/>
        </w:rPr>
        <w:t>non-binding advisory basis, the compensation paid to our named executive officers for fiscal year 2018. Approximately 97% of the votes present in person or by proxy voted in favor of fiscal year 2018 compensation.</w:t>
      </w:r>
    </w:p>
    <w:p>
      <w:pPr>
        <w:spacing w:after="0" w:line="155" w:lineRule="exact"/>
        <w:rPr>
          <w:rFonts w:ascii="Arial" w:cs="Arial" w:eastAsia="Arial" w:hAnsi="Arial"/>
          <w:sz w:val="18"/>
          <w:szCs w:val="18"/>
          <w:color w:val="FF6503"/>
        </w:rPr>
      </w:pPr>
    </w:p>
    <w:p>
      <w:pPr>
        <w:ind w:left="660" w:hanging="328"/>
        <w:spacing w:after="0" w:line="271" w:lineRule="auto"/>
        <w:tabs>
          <w:tab w:leader="none" w:pos="660" w:val="left"/>
        </w:tabs>
        <w:numPr>
          <w:ilvl w:val="0"/>
          <w:numId w:val="13"/>
        </w:numPr>
        <w:rPr>
          <w:rFonts w:ascii="Arial" w:cs="Arial" w:eastAsia="Arial" w:hAnsi="Arial"/>
          <w:sz w:val="18"/>
          <w:szCs w:val="18"/>
          <w:color w:val="FF6503"/>
        </w:rPr>
      </w:pPr>
      <w:r>
        <w:rPr>
          <w:rFonts w:ascii="Arial" w:cs="Arial" w:eastAsia="Arial" w:hAnsi="Arial"/>
          <w:sz w:val="18"/>
          <w:szCs w:val="18"/>
          <w:b w:val="1"/>
          <w:bCs w:val="1"/>
          <w:color w:val="262626"/>
        </w:rPr>
        <w:t>Annual Bonus Program Based Upon Financial Performance Criteria</w:t>
      </w:r>
      <w:r>
        <w:rPr>
          <w:rFonts w:ascii="Arial" w:cs="Arial" w:eastAsia="Arial" w:hAnsi="Arial"/>
          <w:sz w:val="18"/>
          <w:szCs w:val="18"/>
          <w:color w:val="262626"/>
        </w:rPr>
        <w:t>: Our Compensation Committee approved the continued use</w:t>
      </w:r>
      <w:r>
        <w:rPr>
          <w:rFonts w:ascii="Arial" w:cs="Arial" w:eastAsia="Arial" w:hAnsi="Arial"/>
          <w:sz w:val="18"/>
          <w:szCs w:val="18"/>
          <w:b w:val="1"/>
          <w:bCs w:val="1"/>
          <w:color w:val="262626"/>
        </w:rPr>
        <w:t xml:space="preserve"> </w:t>
      </w:r>
      <w:r>
        <w:rPr>
          <w:rFonts w:ascii="Arial" w:cs="Arial" w:eastAsia="Arial" w:hAnsi="Arial"/>
          <w:sz w:val="18"/>
          <w:szCs w:val="18"/>
          <w:color w:val="262626"/>
        </w:rPr>
        <w:t>of our annual bonus program, which was based upon the following performance criteria:</w:t>
      </w:r>
    </w:p>
    <w:p>
      <w:pPr>
        <w:spacing w:after="0" w:line="157" w:lineRule="exact"/>
        <w:rPr>
          <w:rFonts w:ascii="Arial" w:cs="Arial" w:eastAsia="Arial" w:hAnsi="Arial"/>
          <w:sz w:val="18"/>
          <w:szCs w:val="18"/>
          <w:color w:val="FF6503"/>
        </w:rPr>
      </w:pPr>
    </w:p>
    <w:p>
      <w:pPr>
        <w:ind w:left="980" w:hanging="324"/>
        <w:spacing w:after="0"/>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color w:val="auto"/>
        </w:rPr>
        <w:t>Company Wide Metrics – Adjusted earnings per share (“EPS”) and revenue</w:t>
      </w:r>
    </w:p>
    <w:p>
      <w:pPr>
        <w:ind w:left="980" w:hanging="324"/>
        <w:spacing w:after="0" w:line="234" w:lineRule="auto"/>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color w:val="auto"/>
        </w:rPr>
        <w:t>Business Line Metrics – Revenue and Business Operating Income (BOI)</w:t>
      </w:r>
    </w:p>
    <w:p>
      <w:pPr>
        <w:ind w:left="980" w:hanging="324"/>
        <w:spacing w:after="0"/>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color w:val="auto"/>
        </w:rPr>
        <w:t>Individual Metrics – Linked to areas of performance that are specific to each executive</w:t>
      </w:r>
    </w:p>
    <w:p>
      <w:pPr>
        <w:spacing w:after="0" w:line="176" w:lineRule="exact"/>
        <w:rPr>
          <w:rFonts w:ascii="Arial" w:cs="Arial" w:eastAsia="Arial" w:hAnsi="Arial"/>
          <w:sz w:val="18"/>
          <w:szCs w:val="18"/>
          <w:color w:val="FF6503"/>
        </w:rPr>
      </w:pPr>
    </w:p>
    <w:p>
      <w:pPr>
        <w:ind w:left="660" w:right="420" w:hanging="328"/>
        <w:spacing w:after="0" w:line="253" w:lineRule="auto"/>
        <w:tabs>
          <w:tab w:leader="none" w:pos="660" w:val="left"/>
        </w:tabs>
        <w:numPr>
          <w:ilvl w:val="0"/>
          <w:numId w:val="13"/>
        </w:numPr>
        <w:rPr>
          <w:rFonts w:ascii="Arial" w:cs="Arial" w:eastAsia="Arial" w:hAnsi="Arial"/>
          <w:sz w:val="18"/>
          <w:szCs w:val="18"/>
          <w:color w:val="FF6503"/>
        </w:rPr>
      </w:pPr>
      <w:r>
        <w:rPr>
          <w:rFonts w:ascii="Arial" w:cs="Arial" w:eastAsia="Arial" w:hAnsi="Arial"/>
          <w:sz w:val="18"/>
          <w:szCs w:val="18"/>
          <w:b w:val="1"/>
          <w:bCs w:val="1"/>
          <w:color w:val="262626"/>
        </w:rPr>
        <w:t>Long-Term Equity Incentive Program</w:t>
      </w:r>
      <w:r>
        <w:rPr>
          <w:rFonts w:ascii="Arial" w:cs="Arial" w:eastAsia="Arial" w:hAnsi="Arial"/>
          <w:sz w:val="18"/>
          <w:szCs w:val="18"/>
          <w:color w:val="262626"/>
        </w:rPr>
        <w:t>: We also continued our equity incentive program, which includes granting a mix of time-vested restricted stock units and performance-based restricted stock units. The performance-based restricted stock units were comprised of:</w:t>
      </w:r>
    </w:p>
    <w:p>
      <w:pPr>
        <w:spacing w:after="0" w:line="172" w:lineRule="exact"/>
        <w:rPr>
          <w:rFonts w:ascii="Arial" w:cs="Arial" w:eastAsia="Arial" w:hAnsi="Arial"/>
          <w:sz w:val="18"/>
          <w:szCs w:val="18"/>
          <w:color w:val="FF6503"/>
        </w:rPr>
      </w:pPr>
    </w:p>
    <w:p>
      <w:pPr>
        <w:ind w:left="980" w:hanging="324"/>
        <w:spacing w:after="0"/>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color w:val="auto"/>
        </w:rPr>
        <w:t>Relative total stockholder return-linked restricted stock units, and</w:t>
      </w:r>
    </w:p>
    <w:p>
      <w:pPr>
        <w:ind w:left="980" w:hanging="324"/>
        <w:spacing w:after="0"/>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color w:val="auto"/>
        </w:rPr>
        <w:t>Revenue-linked restricted stock units.</w:t>
      </w:r>
    </w:p>
    <w:p>
      <w:pPr>
        <w:spacing w:after="0" w:line="176" w:lineRule="exact"/>
        <w:rPr>
          <w:rFonts w:ascii="Arial" w:cs="Arial" w:eastAsia="Arial" w:hAnsi="Arial"/>
          <w:sz w:val="18"/>
          <w:szCs w:val="18"/>
          <w:color w:val="FF6503"/>
        </w:rPr>
      </w:pPr>
    </w:p>
    <w:p>
      <w:pPr>
        <w:ind w:left="660" w:hanging="328"/>
        <w:spacing w:after="0"/>
        <w:tabs>
          <w:tab w:leader="none" w:pos="660" w:val="left"/>
        </w:tabs>
        <w:numPr>
          <w:ilvl w:val="0"/>
          <w:numId w:val="13"/>
        </w:numPr>
        <w:rPr>
          <w:rFonts w:ascii="Arial" w:cs="Arial" w:eastAsia="Arial" w:hAnsi="Arial"/>
          <w:sz w:val="18"/>
          <w:szCs w:val="18"/>
          <w:color w:val="FF6503"/>
        </w:rPr>
      </w:pPr>
      <w:r>
        <w:rPr>
          <w:rFonts w:ascii="Arial" w:cs="Arial" w:eastAsia="Arial" w:hAnsi="Arial"/>
          <w:sz w:val="18"/>
          <w:szCs w:val="18"/>
          <w:b w:val="1"/>
          <w:bCs w:val="1"/>
          <w:color w:val="auto"/>
        </w:rPr>
        <w:t>2019 Performance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62626"/>
        </w:rPr>
        <w:t>We delivered the following revenue and Adjusted EPS (as described below) performance in 2019</w:t>
      </w:r>
      <w:r>
        <w:rPr>
          <w:rFonts w:ascii="Arial" w:cs="Arial" w:eastAsia="Arial" w:hAnsi="Arial"/>
          <w:sz w:val="18"/>
          <w:szCs w:val="18"/>
          <w:color w:val="auto"/>
        </w:rPr>
        <w:t>.</w:t>
      </w:r>
    </w:p>
    <w:p>
      <w:pPr>
        <w:spacing w:after="0" w:line="198" w:lineRule="exact"/>
        <w:rPr>
          <w:rFonts w:ascii="Arial" w:cs="Arial" w:eastAsia="Arial" w:hAnsi="Arial"/>
          <w:sz w:val="18"/>
          <w:szCs w:val="18"/>
          <w:color w:val="FF6503"/>
        </w:rPr>
      </w:pPr>
    </w:p>
    <w:p>
      <w:pPr>
        <w:ind w:left="980" w:hanging="324"/>
        <w:spacing w:after="0" w:line="243" w:lineRule="auto"/>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b w:val="1"/>
          <w:bCs w:val="1"/>
          <w:color w:val="auto"/>
        </w:rPr>
        <w:t xml:space="preserve">Annual Incentive Program: </w:t>
      </w:r>
      <w:r>
        <w:rPr>
          <w:rFonts w:ascii="Arial" w:cs="Arial" w:eastAsia="Arial" w:hAnsi="Arial"/>
          <w:sz w:val="18"/>
          <w:szCs w:val="18"/>
          <w:color w:val="auto"/>
        </w:rPr>
        <w:t>As measured under our annual incentive plan, we delivered 104.1% of our Adjusted EPS target</w:t>
      </w:r>
      <w:r>
        <w:rPr>
          <w:rFonts w:ascii="Arial" w:cs="Arial" w:eastAsia="Arial" w:hAnsi="Arial"/>
          <w:sz w:val="18"/>
          <w:szCs w:val="18"/>
          <w:b w:val="1"/>
          <w:bCs w:val="1"/>
          <w:color w:val="auto"/>
        </w:rPr>
        <w:t xml:space="preserve"> </w:t>
      </w:r>
      <w:r>
        <w:rPr>
          <w:rFonts w:ascii="Arial" w:cs="Arial" w:eastAsia="Arial" w:hAnsi="Arial"/>
          <w:sz w:val="18"/>
          <w:szCs w:val="18"/>
          <w:color w:val="auto"/>
        </w:rPr>
        <w:t>and 99.2% of our revenue performance target resulting in annual incentive payouts to our named executive officers, ranging from 114% of target performance to 124% of target performance.</w:t>
      </w:r>
    </w:p>
    <w:p>
      <w:pPr>
        <w:ind w:left="980" w:hanging="324"/>
        <w:spacing w:after="0" w:line="238" w:lineRule="auto"/>
        <w:tabs>
          <w:tab w:leader="none" w:pos="980" w:val="left"/>
        </w:tabs>
        <w:numPr>
          <w:ilvl w:val="1"/>
          <w:numId w:val="13"/>
        </w:numPr>
        <w:rPr>
          <w:rFonts w:ascii="Arial" w:cs="Arial" w:eastAsia="Arial" w:hAnsi="Arial"/>
          <w:sz w:val="18"/>
          <w:szCs w:val="18"/>
          <w:color w:val="FF6503"/>
        </w:rPr>
      </w:pPr>
      <w:r>
        <w:rPr>
          <w:rFonts w:ascii="Arial" w:cs="Arial" w:eastAsia="Arial" w:hAnsi="Arial"/>
          <w:sz w:val="18"/>
          <w:szCs w:val="18"/>
          <w:b w:val="1"/>
          <w:bCs w:val="1"/>
          <w:color w:val="auto"/>
        </w:rPr>
        <w:t xml:space="preserve">Equity Incentive Program: </w:t>
      </w:r>
      <w:r>
        <w:rPr>
          <w:rFonts w:ascii="Arial" w:cs="Arial" w:eastAsia="Arial" w:hAnsi="Arial"/>
          <w:sz w:val="18"/>
          <w:szCs w:val="18"/>
          <w:color w:val="auto"/>
        </w:rPr>
        <w:t>This was the third and final performance year for the 2017 performance-based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We achieved 102.61% of the revenue target for the revenue-linked restricted stock units resulting in 126.14% of target funding of those grants. The Company’s TSR performance was at the 51.2 percentile amongst its peer group, resulting in the executives earning 104.07% of the 2017 relative TSR-linked restricted stock units pursuant to the terms of the original grant resulting in vesting of shares at 115.11% of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440"/>
        <w:spacing w:after="0"/>
        <w:tabs>
          <w:tab w:leader="none" w:pos="109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Compensation Mix</w:t>
      </w:r>
    </w:p>
    <w:p>
      <w:pPr>
        <w:spacing w:after="0" w:line="190" w:lineRule="exact"/>
        <w:rPr>
          <w:sz w:val="20"/>
          <w:szCs w:val="20"/>
          <w:color w:val="auto"/>
        </w:rPr>
      </w:pPr>
    </w:p>
    <w:tbl>
      <w:tblPr>
        <w:tblLayout w:type="fixed"/>
        <w:tblInd w:w="2080" w:type="dxa"/>
        <w:tblCellMar>
          <w:top w:w="0" w:type="dxa"/>
          <w:left w:w="0" w:type="dxa"/>
          <w:bottom w:w="0" w:type="dxa"/>
          <w:right w:w="0" w:type="dxa"/>
        </w:tblCellMar>
      </w:tblPr>
      <w:tr>
        <w:trPr>
          <w:trHeight w:val="297"/>
        </w:trPr>
        <w:tc>
          <w:tcPr>
            <w:tcW w:w="3480" w:type="dxa"/>
            <w:vAlign w:val="bottom"/>
          </w:tcPr>
          <w:p>
            <w:pPr>
              <w:jc w:val="center"/>
              <w:ind w:right="754"/>
              <w:spacing w:after="0"/>
              <w:rPr>
                <w:sz w:val="20"/>
                <w:szCs w:val="20"/>
                <w:color w:val="auto"/>
              </w:rPr>
            </w:pPr>
            <w:r>
              <w:rPr>
                <w:rFonts w:ascii="Arial" w:cs="Arial" w:eastAsia="Arial" w:hAnsi="Arial"/>
                <w:sz w:val="25"/>
                <w:szCs w:val="25"/>
                <w:b w:val="1"/>
                <w:bCs w:val="1"/>
                <w:color w:val="auto"/>
              </w:rPr>
              <w:t>Vice Chairman &amp; CEO</w:t>
            </w:r>
          </w:p>
        </w:tc>
        <w:tc>
          <w:tcPr>
            <w:tcW w:w="3740" w:type="dxa"/>
            <w:vAlign w:val="bottom"/>
          </w:tcPr>
          <w:p>
            <w:pPr>
              <w:jc w:val="center"/>
              <w:ind w:left="772"/>
              <w:spacing w:after="0"/>
              <w:rPr>
                <w:sz w:val="20"/>
                <w:szCs w:val="20"/>
                <w:color w:val="auto"/>
              </w:rPr>
            </w:pPr>
            <w:r>
              <w:rPr>
                <w:rFonts w:ascii="Arial" w:cs="Arial" w:eastAsia="Arial" w:hAnsi="Arial"/>
                <w:sz w:val="25"/>
                <w:szCs w:val="25"/>
                <w:b w:val="1"/>
                <w:bCs w:val="1"/>
                <w:color w:val="auto"/>
              </w:rPr>
              <w:t>NEO Compensation Mix</w:t>
            </w:r>
          </w:p>
        </w:tc>
      </w:tr>
      <w:tr>
        <w:trPr>
          <w:trHeight w:val="336"/>
        </w:trPr>
        <w:tc>
          <w:tcPr>
            <w:tcW w:w="3480" w:type="dxa"/>
            <w:vAlign w:val="bottom"/>
          </w:tcPr>
          <w:p>
            <w:pPr>
              <w:jc w:val="center"/>
              <w:ind w:right="754"/>
              <w:spacing w:after="0"/>
              <w:rPr>
                <w:sz w:val="20"/>
                <w:szCs w:val="20"/>
                <w:color w:val="auto"/>
              </w:rPr>
            </w:pPr>
            <w:r>
              <w:rPr>
                <w:rFonts w:ascii="Arial" w:cs="Arial" w:eastAsia="Arial" w:hAnsi="Arial"/>
                <w:sz w:val="25"/>
                <w:szCs w:val="25"/>
                <w:b w:val="1"/>
                <w:bCs w:val="1"/>
                <w:color w:val="auto"/>
              </w:rPr>
              <w:t>Compensation Mix</w:t>
            </w:r>
          </w:p>
        </w:tc>
        <w:tc>
          <w:tcPr>
            <w:tcW w:w="3740" w:type="dxa"/>
            <w:vAlign w:val="bottom"/>
          </w:tcPr>
          <w:p>
            <w:pPr>
              <w:jc w:val="center"/>
              <w:ind w:left="772"/>
              <w:spacing w:after="0"/>
              <w:rPr>
                <w:sz w:val="20"/>
                <w:szCs w:val="20"/>
                <w:color w:val="auto"/>
              </w:rPr>
            </w:pPr>
            <w:r>
              <w:rPr>
                <w:rFonts w:ascii="Arial" w:cs="Arial" w:eastAsia="Arial" w:hAnsi="Arial"/>
                <w:sz w:val="18"/>
                <w:szCs w:val="18"/>
                <w:color w:val="auto"/>
                <w:w w:val="99"/>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123190</wp:posOffset>
            </wp:positionV>
            <wp:extent cx="5391785" cy="256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1785" cy="256286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40"/>
        <w:spacing w:after="0"/>
        <w:rPr>
          <w:sz w:val="20"/>
          <w:szCs w:val="20"/>
          <w:color w:val="auto"/>
        </w:rPr>
      </w:pPr>
      <w:r>
        <w:rPr>
          <w:rFonts w:ascii="Arial" w:cs="Arial" w:eastAsia="Arial" w:hAnsi="Arial"/>
          <w:sz w:val="36"/>
          <w:szCs w:val="36"/>
          <w:b w:val="1"/>
          <w:bCs w:val="1"/>
          <w:color w:val="0A5497"/>
        </w:rPr>
        <w:t xml:space="preserve">● </w:t>
      </w:r>
      <w:r>
        <w:rPr>
          <w:rFonts w:ascii="Arial" w:cs="Arial" w:eastAsia="Arial" w:hAnsi="Arial"/>
          <w:sz w:val="17"/>
          <w:szCs w:val="17"/>
          <w:b w:val="1"/>
          <w:bCs w:val="1"/>
          <w:color w:val="000000"/>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36"/>
          <w:szCs w:val="36"/>
          <w:b w:val="1"/>
          <w:bCs w:val="1"/>
          <w:color w:val="0093FF"/>
        </w:rPr>
        <w:t xml:space="preserve">● </w:t>
      </w:r>
      <w:r>
        <w:rPr>
          <w:rFonts w:ascii="Arial" w:cs="Arial" w:eastAsia="Arial" w:hAnsi="Arial"/>
          <w:sz w:val="17"/>
          <w:szCs w:val="17"/>
          <w:b w:val="1"/>
          <w:bCs w:val="1"/>
          <w:color w:val="000000"/>
        </w:rPr>
        <w:t>Annual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80"/>
        <w:spacing w:after="0"/>
        <w:rPr>
          <w:sz w:val="20"/>
          <w:szCs w:val="20"/>
          <w:color w:val="auto"/>
        </w:rPr>
      </w:pPr>
      <w:r>
        <w:rPr>
          <w:rFonts w:ascii="Arial" w:cs="Arial" w:eastAsia="Arial" w:hAnsi="Arial"/>
          <w:sz w:val="36"/>
          <w:szCs w:val="36"/>
          <w:b w:val="1"/>
          <w:bCs w:val="1"/>
          <w:color w:val="E7F4FF"/>
        </w:rPr>
        <w:t xml:space="preserve">● </w:t>
      </w:r>
      <w:r>
        <w:rPr>
          <w:rFonts w:ascii="Arial" w:cs="Arial" w:eastAsia="Arial" w:hAnsi="Arial"/>
          <w:sz w:val="17"/>
          <w:szCs w:val="17"/>
          <w:b w:val="1"/>
          <w:bCs w:val="1"/>
          <w:color w:val="000000"/>
        </w:rPr>
        <w:t>Equity (RUSs &amp; PRSUs)</w:t>
      </w:r>
    </w:p>
    <w:p>
      <w:pPr>
        <w:spacing w:after="0" w:line="352" w:lineRule="exact"/>
        <w:rPr>
          <w:sz w:val="20"/>
          <w:szCs w:val="20"/>
          <w:color w:val="auto"/>
        </w:rPr>
      </w:pPr>
    </w:p>
    <w:p>
      <w:pPr>
        <w:sectPr>
          <w:pgSz w:w="11900" w:h="16838" w:orient="portrait"/>
          <w:cols w:equalWidth="0" w:num="3">
            <w:col w:w="3880" w:space="720"/>
            <w:col w:w="1840" w:space="720"/>
            <w:col w:w="3880"/>
          </w:cols>
          <w:pgMar w:left="320" w:top="1440" w:right="5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62626"/>
        </w:rPr>
        <w:t>*Base Salary also includes 1% of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type w:val="continuous"/>
        </w:sectPr>
      </w:pPr>
    </w:p>
    <w:bookmarkStart w:id="17" w:name="page18"/>
    <w:bookmarkEnd w:id="17"/>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ANNUAL MEETING Q&amp;A</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Who Is Providing this Proxy Statement?</w:t>
      </w:r>
    </w:p>
    <w:p>
      <w:pPr>
        <w:spacing w:after="0" w:line="1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62626"/>
        </w:rPr>
        <w:t xml:space="preserve">This Proxy Statement is being furnished to you in connection with the solicitation by the board of directors of ExlService Holdings, Inc., a Delaware corporation (“us,” “we,” “our” or the “Company”), of proxies to be used at our 2020 Annual Meeting of Stockholders (the “Annual Meeting”) to be held in virtual format only via live audio webcast at the website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262626"/>
        </w:rPr>
        <w:t>, at 8:30 AM, Eastern Time, and any adjournments or postponements thereof.</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How Are the Proxy Materials Being Made Available?</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262626"/>
        </w:rPr>
        <w:t xml:space="preserve">Our Notice of Annual Meeting, proxy statement and form of proxy card are each available at </w:t>
      </w:r>
      <w:r>
        <w:rPr>
          <w:rFonts w:ascii="Arial" w:cs="Arial" w:eastAsia="Arial" w:hAnsi="Arial"/>
          <w:sz w:val="18"/>
          <w:szCs w:val="18"/>
          <w:b w:val="1"/>
          <w:bCs w:val="1"/>
          <w:color w:val="262626"/>
        </w:rPr>
        <w:t>www.proxyvote.com</w:t>
      </w:r>
      <w:r>
        <w:rPr>
          <w:rFonts w:ascii="Arial" w:cs="Arial" w:eastAsia="Arial" w:hAnsi="Arial"/>
          <w:sz w:val="18"/>
          <w:szCs w:val="18"/>
          <w:color w:val="262626"/>
        </w:rPr>
        <w:t>. You may access these materials and provide your proxy by following the instructions provided in the Internet Notice.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When Will the Internet Notice Be Sent?</w:t>
      </w:r>
    </w:p>
    <w:p>
      <w:pPr>
        <w:spacing w:after="0" w:line="14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262626"/>
        </w:rPr>
        <w:t>We anticipate the Internet Notice will be sent to stockholders on or about April 24, 2020. This proxy statement and the form of proxy relating to the Annual Meeting will be made available via the Internet to stockholders on or prior to the date that the Internet Notice is first sent.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Who Can Vote?</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Only stockholders who own shares of our common stock at the close of business on April 17, 2020, the record date for the Annual Meeting, can vote at the Annual Meeting. As of the close of business on April 17, 2020, the record date, we had 34,316,121 shares of common stock outstanding and entitled to vote. Each holder of common stock is entitled to one vote for each share held as of the record date for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Is Cumulative Voting Applicable in the Election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262626"/>
        </w:rPr>
        <w:t>There is no cumulative voting in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How Do I Vote My Shares?</w:t>
      </w:r>
    </w:p>
    <w:p>
      <w:pPr>
        <w:spacing w:after="0" w:line="14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262626"/>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60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14, 2020.</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262626"/>
        </w:rPr>
        <w:t>You also have the right to vote electronically at the Annual Meeting if you decide to attend. Our board of directors recommends that you vote by Internet, phone or mail as it is not practical for most stockholders to attend the Annual Meeting. If you are a “stockholder of record,” you may vote your shares electronically at the Annual Meeting. If you hold your shares in “street name,” you must obtain a proxy from your broker, bank, trustee or nominee giving you the right to vote the shares electronically at the Annual Meeting or your vote at the Annual Meeting will not be counted.</w:t>
      </w:r>
    </w:p>
    <w:p>
      <w:pPr>
        <w:spacing w:after="0" w:line="1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62626"/>
        </w:rPr>
        <w:t>You will not be able to vote your shares unless you use one of the methods described above to designate a proxy or you vote electronically at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Can I Revoke My Proxy?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262626"/>
        </w:rPr>
        <w:t>You can revoke your proxy at any time before it is exercised in any of the following ways:</w:t>
      </w:r>
    </w:p>
    <w:p>
      <w:pPr>
        <w:spacing w:after="0" w:line="19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FF6503"/>
        </w:rPr>
      </w:pPr>
      <w:r>
        <w:rPr>
          <w:rFonts w:ascii="Arial" w:cs="Arial" w:eastAsia="Arial" w:hAnsi="Arial"/>
          <w:sz w:val="18"/>
          <w:szCs w:val="18"/>
          <w:color w:val="262626"/>
        </w:rPr>
        <w:t>by voting electronically at the Annual Meeting;</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4"/>
        </w:numPr>
        <w:rPr>
          <w:rFonts w:ascii="Arial" w:cs="Arial" w:eastAsia="Arial" w:hAnsi="Arial"/>
          <w:sz w:val="18"/>
          <w:szCs w:val="18"/>
          <w:color w:val="FF6503"/>
        </w:rPr>
      </w:pPr>
      <w:r>
        <w:rPr>
          <w:rFonts w:ascii="Arial" w:cs="Arial" w:eastAsia="Arial" w:hAnsi="Arial"/>
          <w:sz w:val="18"/>
          <w:szCs w:val="18"/>
          <w:color w:val="262626"/>
        </w:rPr>
        <w:t>by submitting written notice of revocation to the inspector of elections prior to the Annual Meeting; or</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4"/>
        </w:numPr>
        <w:rPr>
          <w:rFonts w:ascii="Arial" w:cs="Arial" w:eastAsia="Arial" w:hAnsi="Arial"/>
          <w:sz w:val="18"/>
          <w:szCs w:val="18"/>
          <w:color w:val="FF6503"/>
        </w:rPr>
      </w:pPr>
      <w:r>
        <w:rPr>
          <w:rFonts w:ascii="Arial" w:cs="Arial" w:eastAsia="Arial" w:hAnsi="Arial"/>
          <w:sz w:val="18"/>
          <w:szCs w:val="18"/>
          <w:color w:val="262626"/>
        </w:rPr>
        <w:t>by submitting another properly executed proxy of a later date to the inspector of elections prior to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How Is a Quorum Established at the Annual Meeting?</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7"/>
          <w:szCs w:val="17"/>
          <w:color w:val="262626"/>
        </w:rPr>
        <w:t xml:space="preserve">A quorum, which is a majority of the issued and outstanding shares of our common stock as of the record date of April 17, 2020,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 </w:t>
      </w:r>
      <w:r>
        <w:rPr>
          <w:rFonts w:ascii="Arial" w:cs="Arial" w:eastAsia="Arial" w:hAnsi="Arial"/>
          <w:sz w:val="17"/>
          <w:szCs w:val="17"/>
          <w:color w:val="000000"/>
        </w:rPr>
        <w:t>Virtual attendance at our Annual Meeting constitutes presence in person for purposes of quorum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What Is a “Broker Non-Vote”?</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vote your shares on “non-routine” proposals, which include, at the Annual Meeting, the election of directors and approval on an advisory (non-binding) basis of the compensation of our named executive officers. As a result, a “broker non-vote” occurs. However, without your instructions, your broker has discretionary authority to vote your shares with respect to “routine” proposals only, which include, at the Annual Meeting, the ratification of the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140"/>
        <w:spacing w:after="0" w:line="261" w:lineRule="auto"/>
        <w:rPr>
          <w:sz w:val="20"/>
          <w:szCs w:val="20"/>
          <w:color w:val="auto"/>
        </w:rPr>
      </w:pPr>
      <w:r>
        <w:rPr>
          <w:rFonts w:ascii="Arial" w:cs="Arial" w:eastAsia="Arial" w:hAnsi="Arial"/>
          <w:sz w:val="22"/>
          <w:szCs w:val="22"/>
          <w:b w:val="1"/>
          <w:bCs w:val="1"/>
          <w:color w:val="0093FF"/>
        </w:rPr>
        <w:t>How Many Votes Are Needed to Approve Each Proposal and What Is the Effect of Abstentions and/or Broker Non-Votes?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 xml:space="preserve">Under our Fifth Amended and Restated By-Laws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will tender to the board of directors his or her resignation as a director. You may cast your vote in favor of electing all of the nominees as directors, against one or more nominees, or abstain from voting your shares. For purposes of the vote on Proposal 1, abstentions and broker non-votes will have no effect on the results of the vote. </w:t>
      </w:r>
      <w:r>
        <w:rPr>
          <w:rFonts w:ascii="Arial" w:cs="Arial" w:eastAsia="Arial" w:hAnsi="Arial"/>
          <w:sz w:val="18"/>
          <w:szCs w:val="18"/>
          <w:color w:val="000000"/>
        </w:rPr>
        <w:t>Virtual attendance at our Annual Meeting constitutes presence</w:t>
      </w:r>
      <w:r>
        <w:rPr>
          <w:rFonts w:ascii="Arial" w:cs="Arial" w:eastAsia="Arial" w:hAnsi="Arial"/>
          <w:sz w:val="18"/>
          <w:szCs w:val="18"/>
          <w:color w:val="262626"/>
        </w:rPr>
        <w:t xml:space="preserve"> </w:t>
      </w:r>
      <w:r>
        <w:rPr>
          <w:rFonts w:ascii="Arial" w:cs="Arial" w:eastAsia="Arial" w:hAnsi="Arial"/>
          <w:sz w:val="18"/>
          <w:szCs w:val="18"/>
          <w:color w:val="000000"/>
        </w:rPr>
        <w:t>in person for purposes of voting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262626"/>
        </w:rPr>
        <w:t>The ratification of the appointment of our independent registered public accounting firm, the advisory (non-binding)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 2 (ratification of the appointment of our independent registered public accounting firm), Proposal 3 (advisory (non-binding) vote on executive compensation), and such other items properly presented and to be acted upon at the Annual Meeting, abstentions will have the effect of a vote against these proposals. Broker non-votes will have the effect of a vote against Proposal 3, but because Proposal 2 is a “routine” proposal where brokers have discretionary authority to vote in the absence of instruction, there will be no broker non-votes.</w:t>
      </w:r>
    </w:p>
    <w:p>
      <w:pPr>
        <w:spacing w:after="0" w:line="1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62626"/>
        </w:rPr>
        <w:t>If you submit your proxy, but do not mark your voting preference, the proxy holders will vote your shares (i) FOR the election of all six nominees for director, (ii) FOR the ratification of the appointment of our independent registered public accounting firm, (iii) FOR the approval on an advisory (non-binding) basis of the compensation of our named executive officers, and (iv) as described below, in the judgment of the proxy holder on any other matters properly presented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Are There Other Matters to Be Acted Upon at the Meeting?</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What About Adjournments and Postponements?</w:t>
      </w:r>
    </w:p>
    <w:p>
      <w:pPr>
        <w:spacing w:after="0" w:line="14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262626"/>
        </w:rPr>
        <w:t>Any action on the items of business described above may be considered at the Annual Meeting at the time and on the date specified above or at any time and date to which the Annual Meeting is properly adjourned or postponed.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Who Pays For Solicitation of Proxies?</w:t>
      </w:r>
    </w:p>
    <w:p>
      <w:pPr>
        <w:spacing w:after="0" w:line="143" w:lineRule="exact"/>
        <w:rPr>
          <w:sz w:val="20"/>
          <w:szCs w:val="20"/>
          <w:color w:val="auto"/>
        </w:rPr>
      </w:pPr>
    </w:p>
    <w:p>
      <w:pPr>
        <w:ind w:right="80"/>
        <w:spacing w:after="0"/>
        <w:rPr>
          <w:sz w:val="20"/>
          <w:szCs w:val="20"/>
          <w:color w:val="auto"/>
        </w:rPr>
      </w:pPr>
      <w:r>
        <w:rPr>
          <w:rFonts w:ascii="Arial" w:cs="Arial" w:eastAsia="Arial" w:hAnsi="Arial"/>
          <w:sz w:val="18"/>
          <w:szCs w:val="18"/>
          <w:color w:val="262626"/>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180"/>
        <w:spacing w:after="0" w:line="261" w:lineRule="auto"/>
        <w:rPr>
          <w:sz w:val="20"/>
          <w:szCs w:val="20"/>
          <w:color w:val="auto"/>
        </w:rPr>
      </w:pPr>
      <w:r>
        <w:rPr>
          <w:rFonts w:ascii="Arial" w:cs="Arial" w:eastAsia="Arial" w:hAnsi="Arial"/>
          <w:sz w:val="22"/>
          <w:szCs w:val="22"/>
          <w:b w:val="1"/>
          <w:bCs w:val="1"/>
          <w:color w:val="0093FF"/>
        </w:rPr>
        <w:t>How Can I Attend the Annual Meeting and why is the Company holding the Annual Meeting in a Virtual-Only Format?</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262626"/>
        </w:rPr>
        <w:t>We have monitored the coronavirus/COVID-19 situation closely and have determined that holding an in-person annual meeting could pose a risk to the health and safety of our stockholders, employees, and directors, and will instead hold a Virtual Annual Meeting rather than a meeting in New York or at any physical location.</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 xml:space="preserve">To attend and participate in the Virtual Annual Meeting, stockholders will need to access the live audio webcast of the meeting. To do so, stockholders of record will need to visit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262626"/>
        </w:rPr>
        <w:t xml:space="preserve"> and use their 16-digit Control Number provided in the Internet Notice to log in to this website, and beneficial owners of shares held in street name will need to follow the instructions provided by the broker, bank or other nominee that holds their shares. We encourage stockholders to log in to this website and access the webcast before the Virtual Annual Meeting’s start time. Further instructions on how to attend, participate in and vote at the Virtual Annual Meeting, including how to demonstrate your ownership of our stock as of the record date, are available at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262626"/>
        </w:rPr>
        <w:t>. Please note you will only be able to attend, participate and vote in the meeting using this</w:t>
      </w:r>
      <w:r>
        <w:rPr>
          <w:rFonts w:ascii="Arial" w:cs="Arial" w:eastAsia="Arial" w:hAnsi="Arial"/>
          <w:sz w:val="18"/>
          <w:szCs w:val="18"/>
          <w:color w:val="0563C1"/>
        </w:rPr>
        <w:t xml:space="preserve"> </w:t>
      </w:r>
      <w:r>
        <w:rPr>
          <w:rFonts w:ascii="Arial" w:cs="Arial" w:eastAsia="Arial" w:hAnsi="Arial"/>
          <w:sz w:val="18"/>
          <w:szCs w:val="18"/>
          <w:color w:val="262626"/>
        </w:rPr>
        <w:t>website.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How Do I Submit Questions at the Annual Meeting?</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262626"/>
        </w:rPr>
        <w:t xml:space="preserve">We are committed to ensuring that our stockholders will be afforded the same rights and opportunities to participate in our Virtual Annual Meeting as they would at a meeting held at a physical location. You will be able to submit questions during the Annual Meeting by visiting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262626"/>
        </w:rPr>
        <w:t>. We will try to answer as many stockholder-submitted questions as time permits that comply</w:t>
      </w:r>
      <w:r>
        <w:rPr>
          <w:rFonts w:ascii="Arial" w:cs="Arial" w:eastAsia="Arial" w:hAnsi="Arial"/>
          <w:sz w:val="18"/>
          <w:szCs w:val="18"/>
          <w:color w:val="0563C1"/>
        </w:rPr>
        <w:t xml:space="preserve"> </w:t>
      </w:r>
      <w:r>
        <w:rPr>
          <w:rFonts w:ascii="Arial" w:cs="Arial" w:eastAsia="Arial" w:hAnsi="Arial"/>
          <w:sz w:val="18"/>
          <w:szCs w:val="18"/>
          <w:color w:val="262626"/>
        </w:rPr>
        <w:t>with the meeting rules of conduct as determined by the chairman of the meeting. However, we reserve the right to edit profanity or other inappropriate language, or to exclude questions that are not pertinent to meeting matters or that are otherwise inappropriate. If we receive substantially similar questions, we will group such questions together and provide a single response to avoid repetition.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Will the Annual Meeting be Recorded?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262626"/>
        </w:rPr>
        <w:t xml:space="preserve">A recording of the Annual Meeting will be available online at </w:t>
      </w:r>
      <w:r>
        <w:rPr>
          <w:rFonts w:ascii="Arial" w:cs="Arial" w:eastAsia="Arial" w:hAnsi="Arial"/>
          <w:sz w:val="18"/>
          <w:szCs w:val="18"/>
          <w:u w:val="single" w:color="auto"/>
          <w:color w:val="0563C1"/>
        </w:rPr>
        <w:t>http://ir.exlservice.com</w:t>
      </w:r>
      <w:r>
        <w:rPr>
          <w:rFonts w:ascii="Arial" w:cs="Arial" w:eastAsia="Arial" w:hAnsi="Arial"/>
          <w:sz w:val="18"/>
          <w:szCs w:val="18"/>
          <w:color w:val="262626"/>
        </w:rPr>
        <w:t xml:space="preserve"> for approximately 12 months following the meeting date.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What if I Have Technical Difficulties or Trouble Accessing the Annual Meeting?</w:t>
      </w:r>
    </w:p>
    <w:p>
      <w:pPr>
        <w:spacing w:after="0" w:line="143" w:lineRule="exact"/>
        <w:rPr>
          <w:sz w:val="20"/>
          <w:szCs w:val="20"/>
          <w:color w:val="auto"/>
        </w:rPr>
      </w:pPr>
    </w:p>
    <w:p>
      <w:pPr>
        <w:ind w:right="20"/>
        <w:spacing w:after="0"/>
        <w:rPr>
          <w:sz w:val="20"/>
          <w:szCs w:val="20"/>
          <w:color w:val="auto"/>
        </w:rPr>
      </w:pPr>
      <w:r>
        <w:rPr>
          <w:rFonts w:ascii="Arial" w:cs="Arial" w:eastAsia="Arial" w:hAnsi="Arial"/>
          <w:sz w:val="18"/>
          <w:szCs w:val="18"/>
          <w:color w:val="262626"/>
        </w:rPr>
        <w:t xml:space="preserve">We will have technicians ready to assist you with any technical difficulties you may have accessing the live webcast of the Annual Meeting. A technical support phone number will be posted on </w:t>
      </w:r>
      <w:r>
        <w:rPr>
          <w:rFonts w:ascii="Arial" w:cs="Arial" w:eastAsia="Arial" w:hAnsi="Arial"/>
          <w:sz w:val="18"/>
          <w:szCs w:val="18"/>
          <w:u w:val="single" w:color="auto"/>
          <w:color w:val="0563C1"/>
        </w:rPr>
        <w:t>www.virtualshareholdermeeting.com/EXLS2020</w:t>
      </w:r>
      <w:r>
        <w:rPr>
          <w:rFonts w:ascii="Arial" w:cs="Arial" w:eastAsia="Arial" w:hAnsi="Arial"/>
          <w:sz w:val="18"/>
          <w:szCs w:val="18"/>
          <w:color w:val="262626"/>
        </w:rPr>
        <w:t xml:space="preserve"> that you may call if you experience technical difficulties during the check-in process or during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What If I Have Further Questions?</w:t>
      </w:r>
    </w:p>
    <w:p>
      <w:pPr>
        <w:spacing w:after="0" w:line="14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262626"/>
        </w:rPr>
        <w:t>If you have any further questions about voting your shares or attending the Annual Meeting, please call our Investor Relations Department at (212) 624-5913.</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Important</w:t>
      </w:r>
    </w:p>
    <w:p>
      <w:pPr>
        <w:spacing w:after="0" w:line="14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262626"/>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508635</wp:posOffset>
            </wp:positionV>
            <wp:extent cx="600075"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0B5497"/>
        </w:rPr>
        <w:t>OUR BOARD OF DIRECTORS</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18"/>
          <w:szCs w:val="18"/>
          <w:color w:val="262626"/>
        </w:rPr>
        <w:t>Our board of directors, which currently consists of ten directors, historically was divided into three classes. Beginning at the annual meeting of stockholders held in 2019, each director is elected to serve a one-year term at each year’s annual meeting of stockholders.* The current composition of our board of directors is as follows: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Director Nominees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FF6503"/>
        </w:rPr>
        <w:t>Former Class I and Class II — Term expires 2020</w:t>
      </w:r>
    </w:p>
    <w:p>
      <w:pPr>
        <w:sectPr>
          <w:pgSz w:w="11900" w:h="16838" w:orient="portrait"/>
          <w:cols w:equalWidth="0" w:num="1">
            <w:col w:w="11060"/>
          </w:cols>
          <w:pgMar w:left="320" w:top="1440" w:right="519" w:bottom="1440" w:gutter="0" w:footer="0" w:header="0"/>
        </w:sectPr>
      </w:pPr>
    </w:p>
    <w:p>
      <w:pPr>
        <w:spacing w:after="0" w:line="202"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857250" cy="857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-116205</wp:posOffset>
            </wp:positionV>
            <wp:extent cx="857250" cy="857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 w:lineRule="exact"/>
        <w:rPr>
          <w:sz w:val="20"/>
          <w:szCs w:val="20"/>
          <w:color w:val="auto"/>
        </w:rPr>
      </w:pPr>
    </w:p>
    <w:p>
      <w:pPr>
        <w:jc w:val="center"/>
        <w:ind w:left="160"/>
        <w:spacing w:after="0"/>
        <w:rPr>
          <w:sz w:val="20"/>
          <w:szCs w:val="20"/>
          <w:color w:val="auto"/>
        </w:rPr>
      </w:pPr>
      <w:r>
        <w:rPr>
          <w:rFonts w:ascii="Arial" w:cs="Arial" w:eastAsia="Arial" w:hAnsi="Arial"/>
          <w:sz w:val="17"/>
          <w:szCs w:val="17"/>
          <w:color w:val="auto"/>
        </w:rPr>
        <w:t>Vice Chairman and CEO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w:t>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David Kelso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857250" cy="857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Clyde Ostler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-109220</wp:posOffset>
            </wp:positionV>
            <wp:extent cx="857250" cy="857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32" w:lineRule="exact"/>
        <w:rPr>
          <w:sz w:val="20"/>
          <w:szCs w:val="20"/>
          <w:color w:val="auto"/>
        </w:rPr>
      </w:pPr>
    </w:p>
    <w:p>
      <w:pPr>
        <w:ind w:left="1920" w:right="1560"/>
        <w:spacing w:after="0" w:line="274" w:lineRule="auto"/>
        <w:rPr>
          <w:sz w:val="20"/>
          <w:szCs w:val="20"/>
          <w:color w:val="auto"/>
        </w:rPr>
      </w:pPr>
      <w:r>
        <w:rPr>
          <w:rFonts w:ascii="Arial" w:cs="Arial" w:eastAsia="Arial" w:hAnsi="Arial"/>
          <w:sz w:val="17"/>
          <w:szCs w:val="17"/>
          <w:color w:val="auto"/>
        </w:rPr>
        <w:t>Independent Director and Chair of the Nominating and Governance Committee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340"/>
        <w:spacing w:after="0" w:line="246" w:lineRule="auto"/>
        <w:rPr>
          <w:sz w:val="20"/>
          <w:szCs w:val="20"/>
          <w:color w:val="auto"/>
        </w:rPr>
      </w:pPr>
      <w:r>
        <w:rPr>
          <w:rFonts w:ascii="Arial" w:cs="Arial" w:eastAsia="Arial" w:hAnsi="Arial"/>
          <w:sz w:val="18"/>
          <w:szCs w:val="18"/>
          <w:color w:val="auto"/>
        </w:rPr>
        <w:t>Independent Director and Chair of the Audit Committee</w:t>
      </w:r>
    </w:p>
    <w:p>
      <w:pPr>
        <w:spacing w:after="0" w:line="222"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385"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Anne Minto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857250" cy="857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Jaynie Studenmund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-116205</wp:posOffset>
            </wp:positionV>
            <wp:extent cx="857250" cy="857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 w:lineRule="exact"/>
        <w:rPr>
          <w:sz w:val="20"/>
          <w:szCs w:val="20"/>
          <w:color w:val="auto"/>
        </w:rPr>
      </w:pPr>
    </w:p>
    <w:p>
      <w:pPr>
        <w:ind w:left="1920" w:right="1760"/>
        <w:spacing w:after="0" w:line="246" w:lineRule="auto"/>
        <w:rPr>
          <w:sz w:val="20"/>
          <w:szCs w:val="20"/>
          <w:color w:val="auto"/>
        </w:rPr>
      </w:pPr>
      <w:r>
        <w:rPr>
          <w:rFonts w:ascii="Arial" w:cs="Arial" w:eastAsia="Arial" w:hAnsi="Arial"/>
          <w:sz w:val="18"/>
          <w:szCs w:val="18"/>
          <w:color w:val="auto"/>
        </w:rPr>
        <w:t>Independent Director and Chair of the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w:t>
      </w:r>
    </w:p>
    <w:p>
      <w:pPr>
        <w:spacing w:after="0" w:line="428"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FF6503"/>
        </w:rPr>
        <w:t>Class III — Term expires 2021</w:t>
      </w:r>
    </w:p>
    <w:p>
      <w:pPr>
        <w:sectPr>
          <w:pgSz w:w="11900" w:h="16838" w:orient="portrait"/>
          <w:cols w:equalWidth="0" w:num="1">
            <w:col w:w="11060"/>
          </w:cols>
          <w:pgMar w:left="320" w:top="1440" w:right="519" w:bottom="1440" w:gutter="0" w:footer="0" w:header="0"/>
          <w:type w:val="continuous"/>
        </w:sect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Deborah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57250" cy="857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Nitin Sahney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-47625</wp:posOffset>
            </wp:positionV>
            <wp:extent cx="857250" cy="857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w:t>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Vikram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57250" cy="857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Garen Staglin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-47625</wp:posOffset>
            </wp:positionV>
            <wp:extent cx="857250" cy="8572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Independent Director and</w:t>
      </w:r>
    </w:p>
    <w:p>
      <w:pPr>
        <w:spacing w:after="0"/>
        <w:rPr>
          <w:sz w:val="20"/>
          <w:szCs w:val="20"/>
          <w:color w:val="auto"/>
        </w:rPr>
      </w:pPr>
      <w:r>
        <w:rPr>
          <w:rFonts w:ascii="Arial" w:cs="Arial" w:eastAsia="Arial" w:hAnsi="Arial"/>
          <w:sz w:val="18"/>
          <w:szCs w:val="18"/>
          <w:color w:val="auto"/>
        </w:rPr>
        <w:t>Chair of the Board</w:t>
      </w:r>
    </w:p>
    <w:p>
      <w:pPr>
        <w:spacing w:after="0" w:line="200" w:lineRule="exact"/>
        <w:rPr>
          <w:sz w:val="20"/>
          <w:szCs w:val="20"/>
          <w:color w:val="auto"/>
        </w:rPr>
      </w:pPr>
    </w:p>
    <w:p>
      <w:pPr>
        <w:sectPr>
          <w:pgSz w:w="11900" w:h="16838" w:orient="portrait"/>
          <w:cols w:equalWidth="0" w:num="2">
            <w:col w:w="6680" w:space="720"/>
            <w:col w:w="3660"/>
          </w:cols>
          <w:pgMar w:left="32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firstLine="8"/>
        <w:spacing w:after="0" w:line="238" w:lineRule="auto"/>
        <w:tabs>
          <w:tab w:leader="none" w:pos="120" w:val="left"/>
        </w:tabs>
        <w:numPr>
          <w:ilvl w:val="0"/>
          <w:numId w:val="15"/>
        </w:numPr>
        <w:rPr>
          <w:rFonts w:ascii="Arial" w:cs="Arial" w:eastAsia="Arial" w:hAnsi="Arial"/>
          <w:sz w:val="18"/>
          <w:szCs w:val="18"/>
          <w:color w:val="262626"/>
        </w:rPr>
      </w:pPr>
      <w:r>
        <w:rPr>
          <w:rFonts w:ascii="Arial" w:cs="Arial" w:eastAsia="Arial" w:hAnsi="Arial"/>
          <w:sz w:val="18"/>
          <w:szCs w:val="18"/>
          <w:color w:val="262626"/>
        </w:rPr>
        <w:t>As approved by the Company’s stockholders at the 2019 Annual Meeting of Stockholders, the board of directors began to be declassified over a three-year phase-out period. All director nominees whose terms expire at the Annual Meeting, including the former Class I directors elected at the 2019 Annual Meeting of Stockholders and the former Class II directors, will be, if elected by our stockholders, elected to hold office for a term of one year, or until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0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ind w:right="540"/>
        <w:spacing w:after="0"/>
        <w:rPr>
          <w:sz w:val="20"/>
          <w:szCs w:val="20"/>
          <w:color w:val="auto"/>
        </w:rPr>
      </w:pPr>
      <w:r>
        <w:rPr>
          <w:rFonts w:ascii="Arial" w:cs="Arial" w:eastAsia="Arial" w:hAnsi="Arial"/>
          <w:sz w:val="18"/>
          <w:szCs w:val="18"/>
          <w:color w:val="262626"/>
        </w:rPr>
        <w:t>successors are duly elected and qualified in accordance with our by-laws. At the 2021 Annual Meeting of Stockholders, all director nominees elected by our stockholders will be elected to hold office for a term of one year, or until their successors are duly elected and qualified in accordance with our by-laws, and the classification of the Board of Directors will terminate in its entirety.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62626"/>
        </w:rPr>
        <w:t>**Mr. Pandit was appointed to the board as a Class III director under the terms of an Investment Agreement as described on page 85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2020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134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13487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Former Class I and Class II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5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Rohit Kapoor</w:t>
            </w: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Som Mittal</w:t>
            </w:r>
          </w:p>
        </w:tc>
      </w:tr>
      <w:tr>
        <w:trPr>
          <w:trHeight w:val="405"/>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Vice Chairman and CEO and Director</w:t>
            </w: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Independent Director</w:t>
            </w:r>
          </w:p>
        </w:tc>
      </w:tr>
      <w:tr>
        <w:trPr>
          <w:trHeight w:val="94"/>
        </w:trPr>
        <w:tc>
          <w:tcPr>
            <w:tcW w:w="564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r>
      <w:tr>
        <w:trPr>
          <w:trHeight w:val="318"/>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David Kelso</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Clyde Ostler</w:t>
            </w:r>
          </w:p>
        </w:tc>
      </w:tr>
      <w:tr>
        <w:trPr>
          <w:trHeight w:val="391"/>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Independent Director and Chair of the Nominating</w:t>
            </w: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Independent Director and</w:t>
            </w:r>
          </w:p>
        </w:tc>
      </w:tr>
      <w:tr>
        <w:trPr>
          <w:trHeight w:val="217"/>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and Governance Committee</w:t>
            </w: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Chair of the Audit Committee</w:t>
            </w:r>
          </w:p>
        </w:tc>
      </w:tr>
      <w:tr>
        <w:trPr>
          <w:trHeight w:val="94"/>
        </w:trPr>
        <w:tc>
          <w:tcPr>
            <w:tcW w:w="564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r>
      <w:tr>
        <w:trPr>
          <w:trHeight w:val="318"/>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Anne Minto</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Jaynie Studenmund</w:t>
            </w:r>
          </w:p>
        </w:tc>
      </w:tr>
      <w:tr>
        <w:trPr>
          <w:trHeight w:val="391"/>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Independent Director and</w:t>
            </w: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Independent Director</w:t>
            </w:r>
          </w:p>
        </w:tc>
      </w:tr>
      <w:tr>
        <w:trPr>
          <w:trHeight w:val="217"/>
        </w:trPr>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Chair of the Compensation Committee</w:t>
            </w:r>
          </w:p>
        </w:tc>
        <w:tc>
          <w:tcPr>
            <w:tcW w:w="5600" w:type="dxa"/>
            <w:vAlign w:val="bottom"/>
          </w:tcPr>
          <w:p>
            <w:pPr>
              <w:spacing w:after="0"/>
              <w:rPr>
                <w:sz w:val="18"/>
                <w:szCs w:val="18"/>
                <w:color w:val="auto"/>
              </w:rPr>
            </w:pPr>
          </w:p>
        </w:tc>
      </w:tr>
      <w:tr>
        <w:trPr>
          <w:trHeight w:val="94"/>
        </w:trPr>
        <w:tc>
          <w:tcPr>
            <w:tcW w:w="564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r>
    </w:tbl>
    <w:p>
      <w:pPr>
        <w:spacing w:after="0" w:line="20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262626"/>
        </w:rPr>
        <w:t>Upon the recommendation of our Nominating and Governance Committee, we are pleased to propose six of our existing directors, who were formerly our Class I and Class II directors, as nominees for election as directors at the Annual Meeting.</w:t>
      </w:r>
    </w:p>
    <w:p>
      <w:pPr>
        <w:spacing w:after="0" w:line="183"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262626"/>
        </w:rPr>
        <w:t>We believe that our director nominees and continuing directors, individually and together as a whole, possess the requisite skills, experience and qualifications necessary to maintain an effective board to serve the best interests of the Company and its stockholders.</w:t>
      </w:r>
    </w:p>
    <w:p>
      <w:pPr>
        <w:sectPr>
          <w:pgSz w:w="11900" w:h="16838" w:orient="portrait"/>
          <w:cols w:equalWidth="0" w:num="1">
            <w:col w:w="11240"/>
          </w:cols>
          <w:pgMar w:left="320" w:top="1440"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Director Qualifications</w:t>
      </w:r>
    </w:p>
    <w:p>
      <w:pPr>
        <w:spacing w:after="0" w:line="224" w:lineRule="exact"/>
        <w:rPr>
          <w:sz w:val="20"/>
          <w:szCs w:val="20"/>
          <w:color w:val="auto"/>
        </w:rPr>
      </w:pPr>
    </w:p>
    <w:p>
      <w:pPr>
        <w:ind w:right="233"/>
        <w:spacing w:after="0" w:line="236" w:lineRule="auto"/>
        <w:rPr>
          <w:sz w:val="20"/>
          <w:szCs w:val="20"/>
          <w:color w:val="auto"/>
        </w:rPr>
      </w:pPr>
      <w:r>
        <w:rPr>
          <w:rFonts w:ascii="Arial" w:cs="Arial" w:eastAsia="Arial" w:hAnsi="Arial"/>
          <w:sz w:val="18"/>
          <w:szCs w:val="18"/>
          <w:color w:val="262626"/>
        </w:rPr>
        <w:t>The board of directors considers it paramount to achieving excellence in corporate governance to assemble a board of directors that, taken together, has the skills, qualifications, experience and attributes appropriate for functioning as the board of directors of our Company and working productively with management. The Nominating and Governance Committee of the Board is responsible for recommending nominees that are qualified and that bring a diverse set of skills and qualifications to oversee the Company effectively.</w:t>
      </w:r>
    </w:p>
    <w:p>
      <w:pPr>
        <w:spacing w:after="0" w:line="193" w:lineRule="exact"/>
        <w:rPr>
          <w:sz w:val="20"/>
          <w:szCs w:val="20"/>
          <w:color w:val="auto"/>
        </w:rPr>
      </w:pPr>
    </w:p>
    <w:p>
      <w:pPr>
        <w:ind w:right="153"/>
        <w:spacing w:after="0" w:line="237" w:lineRule="auto"/>
        <w:rPr>
          <w:sz w:val="20"/>
          <w:szCs w:val="20"/>
          <w:color w:val="auto"/>
        </w:rPr>
      </w:pPr>
      <w:r>
        <w:rPr>
          <w:rFonts w:ascii="Arial" w:cs="Arial" w:eastAsia="Arial" w:hAnsi="Arial"/>
          <w:sz w:val="18"/>
          <w:szCs w:val="18"/>
          <w:color w:val="262626"/>
        </w:rPr>
        <w:t>The Nominating and Governance Committee has not formally established any minimum qualifications for director candidates. However, in light of our business, the primary areas of experience, qualifications and attributes typically sought by the Nominating and Governance Committee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360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87"/>
        <w:spacing w:after="0"/>
        <w:rPr>
          <w:sz w:val="20"/>
          <w:szCs w:val="20"/>
          <w:color w:val="auto"/>
        </w:rPr>
      </w:pPr>
      <w:r>
        <w:rPr>
          <w:rFonts w:ascii="Arial" w:cs="Arial" w:eastAsia="Arial" w:hAnsi="Arial"/>
          <w:sz w:val="18"/>
          <w:szCs w:val="18"/>
          <w:b w:val="1"/>
          <w:bCs w:val="1"/>
          <w:color w:val="FFFFFF"/>
        </w:rPr>
        <w:t>Key 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-193675</wp:posOffset>
            </wp:positionV>
            <wp:extent cx="3420110" cy="2339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0110" cy="2339975"/>
                    </a:xfrm>
                    <a:prstGeom prst="rect">
                      <a:avLst/>
                    </a:prstGeom>
                    <a:noFill/>
                  </pic:spPr>
                </pic:pic>
              </a:graphicData>
            </a:graphic>
          </wp:anchor>
        </w:drawing>
      </w:r>
    </w:p>
    <w:p>
      <w:pPr>
        <w:jc w:val="right"/>
        <w:ind w:right="1340"/>
        <w:spacing w:after="0"/>
        <w:rPr>
          <w:sz w:val="20"/>
          <w:szCs w:val="20"/>
          <w:color w:val="auto"/>
        </w:rPr>
      </w:pPr>
      <w:r>
        <w:rPr>
          <w:rFonts w:ascii="Arial" w:cs="Arial" w:eastAsia="Arial" w:hAnsi="Arial"/>
          <w:sz w:val="18"/>
          <w:szCs w:val="18"/>
          <w:b w:val="1"/>
          <w:bCs w:val="1"/>
          <w:color w:val="FFFFFF"/>
        </w:rPr>
        <w:t>We Look for in Board Nominees</w:t>
      </w:r>
    </w:p>
    <w:p>
      <w:pPr>
        <w:spacing w:after="0" w:line="306" w:lineRule="exact"/>
        <w:rPr>
          <w:sz w:val="20"/>
          <w:szCs w:val="20"/>
          <w:color w:val="auto"/>
        </w:rPr>
      </w:pPr>
    </w:p>
    <w:p>
      <w:pPr>
        <w:ind w:left="427" w:hanging="414"/>
        <w:spacing w:after="0"/>
        <w:tabs>
          <w:tab w:leader="none" w:pos="427" w:val="left"/>
        </w:tabs>
        <w:numPr>
          <w:ilvl w:val="1"/>
          <w:numId w:val="16"/>
        </w:numPr>
        <w:rPr>
          <w:rFonts w:ascii="Arial" w:cs="Arial" w:eastAsia="Arial" w:hAnsi="Arial"/>
          <w:sz w:val="18"/>
          <w:szCs w:val="18"/>
          <w:color w:val="0093FF"/>
        </w:rPr>
      </w:pPr>
      <w:r>
        <w:rPr>
          <w:rFonts w:ascii="Arial" w:cs="Arial" w:eastAsia="Arial" w:hAnsi="Arial"/>
          <w:sz w:val="18"/>
          <w:szCs w:val="18"/>
          <w:color w:val="auto"/>
        </w:rPr>
        <w:t>Strategic sense</w:t>
      </w:r>
    </w:p>
    <w:p>
      <w:pPr>
        <w:spacing w:after="0" w:line="198" w:lineRule="exact"/>
        <w:rPr>
          <w:rFonts w:ascii="Arial" w:cs="Arial" w:eastAsia="Arial" w:hAnsi="Arial"/>
          <w:sz w:val="18"/>
          <w:szCs w:val="18"/>
          <w:color w:val="0093FF"/>
        </w:rPr>
      </w:pPr>
    </w:p>
    <w:p>
      <w:pPr>
        <w:ind w:left="427" w:hanging="414"/>
        <w:spacing w:after="0"/>
        <w:tabs>
          <w:tab w:leader="none" w:pos="427" w:val="left"/>
        </w:tabs>
        <w:numPr>
          <w:ilvl w:val="1"/>
          <w:numId w:val="16"/>
        </w:numPr>
        <w:rPr>
          <w:rFonts w:ascii="Arial" w:cs="Arial" w:eastAsia="Arial" w:hAnsi="Arial"/>
          <w:sz w:val="18"/>
          <w:szCs w:val="18"/>
          <w:color w:val="0093FF"/>
        </w:rPr>
      </w:pPr>
      <w:r>
        <w:rPr>
          <w:rFonts w:ascii="Arial" w:cs="Arial" w:eastAsia="Arial" w:hAnsi="Arial"/>
          <w:sz w:val="18"/>
          <w:szCs w:val="18"/>
          <w:color w:val="auto"/>
        </w:rPr>
        <w:t>Critical and innovative thinking</w:t>
      </w:r>
    </w:p>
    <w:p>
      <w:pPr>
        <w:spacing w:after="0" w:line="198" w:lineRule="exact"/>
        <w:rPr>
          <w:rFonts w:ascii="Arial" w:cs="Arial" w:eastAsia="Arial" w:hAnsi="Arial"/>
          <w:sz w:val="18"/>
          <w:szCs w:val="18"/>
          <w:color w:val="0093FF"/>
        </w:rPr>
      </w:pPr>
    </w:p>
    <w:p>
      <w:pPr>
        <w:ind w:left="427" w:hanging="414"/>
        <w:spacing w:after="0"/>
        <w:tabs>
          <w:tab w:leader="none" w:pos="427" w:val="left"/>
        </w:tabs>
        <w:numPr>
          <w:ilvl w:val="1"/>
          <w:numId w:val="16"/>
        </w:numPr>
        <w:rPr>
          <w:rFonts w:ascii="Arial" w:cs="Arial" w:eastAsia="Arial" w:hAnsi="Arial"/>
          <w:sz w:val="18"/>
          <w:szCs w:val="18"/>
          <w:color w:val="0093FF"/>
        </w:rPr>
      </w:pPr>
      <w:r>
        <w:rPr>
          <w:rFonts w:ascii="Arial" w:cs="Arial" w:eastAsia="Arial" w:hAnsi="Arial"/>
          <w:sz w:val="18"/>
          <w:szCs w:val="18"/>
          <w:color w:val="auto"/>
        </w:rPr>
        <w:t>High ethical standards and integrity</w:t>
      </w:r>
    </w:p>
    <w:p>
      <w:pPr>
        <w:spacing w:after="0" w:line="198" w:lineRule="exact"/>
        <w:rPr>
          <w:rFonts w:ascii="Arial" w:cs="Arial" w:eastAsia="Arial" w:hAnsi="Arial"/>
          <w:sz w:val="18"/>
          <w:szCs w:val="18"/>
          <w:color w:val="0093FF"/>
        </w:rPr>
      </w:pPr>
    </w:p>
    <w:p>
      <w:pPr>
        <w:ind w:left="427" w:hanging="414"/>
        <w:spacing w:after="0"/>
        <w:tabs>
          <w:tab w:leader="none" w:pos="427" w:val="left"/>
        </w:tabs>
        <w:numPr>
          <w:ilvl w:val="1"/>
          <w:numId w:val="16"/>
        </w:numPr>
        <w:rPr>
          <w:rFonts w:ascii="Arial" w:cs="Arial" w:eastAsia="Arial" w:hAnsi="Arial"/>
          <w:sz w:val="18"/>
          <w:szCs w:val="18"/>
          <w:color w:val="0093FF"/>
        </w:rPr>
      </w:pPr>
      <w:r>
        <w:rPr>
          <w:rFonts w:ascii="Arial" w:cs="Arial" w:eastAsia="Arial" w:hAnsi="Arial"/>
          <w:sz w:val="18"/>
          <w:szCs w:val="18"/>
          <w:color w:val="auto"/>
        </w:rPr>
        <w:t>Mutual respect for other Board members</w:t>
      </w:r>
    </w:p>
    <w:p>
      <w:pPr>
        <w:spacing w:after="0" w:line="198" w:lineRule="exact"/>
        <w:rPr>
          <w:rFonts w:ascii="Arial" w:cs="Arial" w:eastAsia="Arial" w:hAnsi="Arial"/>
          <w:sz w:val="18"/>
          <w:szCs w:val="18"/>
          <w:color w:val="0093FF"/>
        </w:rPr>
      </w:pPr>
    </w:p>
    <w:p>
      <w:pPr>
        <w:ind w:left="427" w:hanging="414"/>
        <w:spacing w:after="0"/>
        <w:tabs>
          <w:tab w:leader="none" w:pos="427" w:val="left"/>
        </w:tabs>
        <w:numPr>
          <w:ilvl w:val="1"/>
          <w:numId w:val="16"/>
        </w:numPr>
        <w:rPr>
          <w:rFonts w:ascii="Arial" w:cs="Arial" w:eastAsia="Arial" w:hAnsi="Arial"/>
          <w:sz w:val="18"/>
          <w:szCs w:val="18"/>
          <w:color w:val="0093FF"/>
        </w:rPr>
      </w:pPr>
      <w:r>
        <w:rPr>
          <w:rFonts w:ascii="Arial" w:cs="Arial" w:eastAsia="Arial" w:hAnsi="Arial"/>
          <w:sz w:val="18"/>
          <w:szCs w:val="18"/>
          <w:color w:val="auto"/>
        </w:rPr>
        <w:t>Ability to debate constructively</w:t>
      </w:r>
    </w:p>
    <w:p>
      <w:pPr>
        <w:spacing w:after="0" w:line="198" w:lineRule="exact"/>
        <w:rPr>
          <w:rFonts w:ascii="Arial" w:cs="Arial" w:eastAsia="Arial" w:hAnsi="Arial"/>
          <w:sz w:val="18"/>
          <w:szCs w:val="18"/>
          <w:color w:val="0093FF"/>
        </w:rPr>
      </w:pPr>
    </w:p>
    <w:p>
      <w:pPr>
        <w:ind w:left="427" w:hanging="414"/>
        <w:spacing w:after="0"/>
        <w:tabs>
          <w:tab w:leader="none" w:pos="427" w:val="left"/>
        </w:tabs>
        <w:numPr>
          <w:ilvl w:val="1"/>
          <w:numId w:val="16"/>
        </w:numPr>
        <w:rPr>
          <w:rFonts w:ascii="Arial" w:cs="Arial" w:eastAsia="Arial" w:hAnsi="Arial"/>
          <w:sz w:val="18"/>
          <w:szCs w:val="18"/>
          <w:color w:val="0093FF"/>
        </w:rPr>
      </w:pPr>
      <w:r>
        <w:rPr>
          <w:rFonts w:ascii="Arial" w:cs="Arial" w:eastAsia="Arial" w:hAnsi="Arial"/>
          <w:sz w:val="18"/>
          <w:szCs w:val="18"/>
          <w:color w:val="auto"/>
        </w:rPr>
        <w:t>Candid, assertive, open minded</w:t>
      </w:r>
    </w:p>
    <w:p>
      <w:pPr>
        <w:spacing w:after="0" w:line="198" w:lineRule="exact"/>
        <w:rPr>
          <w:rFonts w:ascii="Arial" w:cs="Arial" w:eastAsia="Arial" w:hAnsi="Arial"/>
          <w:sz w:val="18"/>
          <w:szCs w:val="18"/>
          <w:color w:val="0093FF"/>
        </w:rPr>
      </w:pPr>
    </w:p>
    <w:p>
      <w:pPr>
        <w:ind w:left="407" w:hanging="407"/>
        <w:spacing w:after="0"/>
        <w:tabs>
          <w:tab w:leader="none" w:pos="407" w:val="left"/>
        </w:tabs>
        <w:numPr>
          <w:ilvl w:val="0"/>
          <w:numId w:val="16"/>
        </w:numPr>
        <w:rPr>
          <w:rFonts w:ascii="Arial" w:cs="Arial" w:eastAsia="Arial" w:hAnsi="Arial"/>
          <w:sz w:val="18"/>
          <w:szCs w:val="18"/>
          <w:color w:val="0093FF"/>
        </w:rPr>
      </w:pPr>
      <w:r>
        <w:rPr>
          <w:rFonts w:ascii="Arial" w:cs="Arial" w:eastAsia="Arial" w:hAnsi="Arial"/>
          <w:sz w:val="18"/>
          <w:szCs w:val="18"/>
          <w:color w:val="auto"/>
        </w:rPr>
        <w:t>Availability and commitment to serve</w:t>
      </w:r>
    </w:p>
    <w:p>
      <w:pPr>
        <w:spacing w:after="0" w:line="200" w:lineRule="exact"/>
        <w:rPr>
          <w:sz w:val="20"/>
          <w:szCs w:val="20"/>
          <w:color w:val="auto"/>
        </w:rPr>
      </w:pPr>
    </w:p>
    <w:p>
      <w:pPr>
        <w:sectPr>
          <w:pgSz w:w="11900" w:h="16838" w:orient="portrait"/>
          <w:cols w:equalWidth="0" w:num="2">
            <w:col w:w="5453" w:space="720"/>
            <w:col w:w="5067"/>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5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Executive Leadership</w:t>
      </w:r>
    </w:p>
    <w:p>
      <w:pPr>
        <w:spacing w:after="0" w:line="220" w:lineRule="exact"/>
        <w:rPr>
          <w:sz w:val="20"/>
          <w:szCs w:val="20"/>
          <w:color w:val="auto"/>
        </w:rPr>
      </w:pPr>
    </w:p>
    <w:p>
      <w:pPr>
        <w:ind w:left="1680" w:right="260"/>
        <w:spacing w:after="0" w:line="246" w:lineRule="auto"/>
        <w:rPr>
          <w:sz w:val="20"/>
          <w:szCs w:val="20"/>
          <w:color w:val="auto"/>
        </w:rPr>
      </w:pPr>
      <w:r>
        <w:rPr>
          <w:rFonts w:ascii="Arial" w:cs="Arial" w:eastAsia="Arial" w:hAnsi="Arial"/>
          <w:sz w:val="18"/>
          <w:szCs w:val="18"/>
          <w:color w:val="auto"/>
        </w:rPr>
        <w:t>Experience holding significant leadership positions, including as a CEO or head of a significant business, to help us drive business strategy, growth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168275</wp:posOffset>
            </wp:positionV>
            <wp:extent cx="642620" cy="8572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620" cy="8572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Finance and Accounting</w:t>
      </w:r>
    </w:p>
    <w:p>
      <w:pPr>
        <w:spacing w:after="0" w:line="22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Experience with finance, accounting or financial reporting processes, to help drive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366395</wp:posOffset>
            </wp:positionV>
            <wp:extent cx="642620" cy="5911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6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Global Experience</w:t>
      </w:r>
    </w:p>
    <w:p>
      <w:pPr>
        <w:spacing w:after="0" w:line="220" w:lineRule="exact"/>
        <w:rPr>
          <w:sz w:val="20"/>
          <w:szCs w:val="20"/>
          <w:color w:val="auto"/>
        </w:rPr>
      </w:pPr>
    </w:p>
    <w:p>
      <w:pPr>
        <w:ind w:left="1680" w:right="840"/>
        <w:spacing w:after="0" w:line="246" w:lineRule="auto"/>
        <w:rPr>
          <w:sz w:val="20"/>
          <w:szCs w:val="20"/>
          <w:color w:val="auto"/>
        </w:rPr>
      </w:pPr>
      <w:r>
        <w:rPr>
          <w:rFonts w:ascii="Arial" w:cs="Arial" w:eastAsia="Arial" w:hAnsi="Arial"/>
          <w:sz w:val="18"/>
          <w:szCs w:val="18"/>
          <w:color w:val="auto"/>
        </w:rPr>
        <w:t>Experience working outside of the United States or with multinational companies, to help facilitate our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160020</wp:posOffset>
            </wp:positionV>
            <wp:extent cx="642620" cy="557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620" cy="557530"/>
                    </a:xfrm>
                    <a:prstGeom prst="rect">
                      <a:avLst/>
                    </a:prstGeom>
                    <a:noFill/>
                  </pic:spPr>
                </pic:pic>
              </a:graphicData>
            </a:graphic>
          </wp:anchor>
        </w:drawing>
      </w:r>
    </w:p>
    <w:p>
      <w:pPr>
        <w:spacing w:after="0" w:line="24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Board Experience</w:t>
      </w:r>
    </w:p>
    <w:p>
      <w:pPr>
        <w:spacing w:after="0" w:line="220" w:lineRule="exact"/>
        <w:rPr>
          <w:sz w:val="20"/>
          <w:szCs w:val="20"/>
          <w:color w:val="auto"/>
        </w:rPr>
      </w:pPr>
    </w:p>
    <w:p>
      <w:pPr>
        <w:ind w:left="1680" w:right="480"/>
        <w:spacing w:after="0" w:line="246" w:lineRule="auto"/>
        <w:rPr>
          <w:sz w:val="20"/>
          <w:szCs w:val="20"/>
          <w:color w:val="auto"/>
        </w:rPr>
      </w:pPr>
      <w:r>
        <w:rPr>
          <w:rFonts w:ascii="Arial" w:cs="Arial" w:eastAsia="Arial" w:hAnsi="Arial"/>
          <w:sz w:val="18"/>
          <w:szCs w:val="18"/>
          <w:color w:val="auto"/>
        </w:rPr>
        <w:t>Understanding of public company board of director and fiduciary duties, to help provide perspective on corporate governance best practices and related matters.</w:t>
      </w: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Client and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20320</wp:posOffset>
            </wp:positionV>
            <wp:extent cx="642620" cy="3511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620" cy="351155"/>
                    </a:xfrm>
                    <a:prstGeom prst="rect">
                      <a:avLst/>
                    </a:prstGeom>
                    <a:noFill/>
                  </pic:spPr>
                </pic:pic>
              </a:graphicData>
            </a:graphic>
          </wp:anchor>
        </w:drawing>
      </w:r>
    </w:p>
    <w:p>
      <w:pPr>
        <w:spacing w:after="0" w:line="200" w:lineRule="exact"/>
        <w:rPr>
          <w:sz w:val="20"/>
          <w:szCs w:val="20"/>
          <w:color w:val="auto"/>
        </w:rPr>
      </w:pPr>
    </w:p>
    <w:p>
      <w:pPr>
        <w:ind w:left="1680" w:right="20"/>
        <w:spacing w:after="0"/>
        <w:rPr>
          <w:sz w:val="20"/>
          <w:szCs w:val="20"/>
          <w:color w:val="auto"/>
        </w:rPr>
      </w:pPr>
      <w:r>
        <w:rPr>
          <w:rFonts w:ascii="Arial" w:cs="Arial" w:eastAsia="Arial" w:hAnsi="Arial"/>
          <w:sz w:val="18"/>
          <w:szCs w:val="18"/>
          <w:color w:val="auto"/>
        </w:rPr>
        <w:t>Experience with our key client industries, including insurance, healthcare, banking and financial services, finance/accounting, and our other capabilities, to help deepen our knowledge of our key industry verticals and markets in which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120650</wp:posOffset>
            </wp:positionV>
            <wp:extent cx="642620" cy="574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620" cy="574040"/>
                    </a:xfrm>
                    <a:prstGeom prst="rect">
                      <a:avLst/>
                    </a:prstGeom>
                    <a:noFill/>
                  </pic:spPr>
                </pic:pic>
              </a:graphicData>
            </a:graphic>
          </wp:anchor>
        </w:drawing>
      </w:r>
    </w:p>
    <w:p>
      <w:pPr>
        <w:spacing w:after="0" w:line="2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Risk Oversight / Management</w:t>
      </w:r>
    </w:p>
    <w:p>
      <w:pPr>
        <w:spacing w:after="0" w:line="22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Experience assessing and overseeing the overall risk profile of multinational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229235</wp:posOffset>
            </wp:positionV>
            <wp:extent cx="642620" cy="642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620" cy="6426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Human Capital Management</w:t>
      </w:r>
    </w:p>
    <w:p>
      <w:pPr>
        <w:spacing w:after="0" w:line="220" w:lineRule="exact"/>
        <w:rPr>
          <w:sz w:val="20"/>
          <w:szCs w:val="20"/>
          <w:color w:val="auto"/>
        </w:rPr>
      </w:pPr>
    </w:p>
    <w:p>
      <w:pPr>
        <w:ind w:left="1680" w:right="120"/>
        <w:spacing w:after="0" w:line="246" w:lineRule="auto"/>
        <w:rPr>
          <w:sz w:val="20"/>
          <w:szCs w:val="20"/>
          <w:color w:val="auto"/>
        </w:rPr>
      </w:pPr>
      <w:r>
        <w:rPr>
          <w:rFonts w:ascii="Arial" w:cs="Arial" w:eastAsia="Arial" w:hAnsi="Arial"/>
          <w:sz w:val="18"/>
          <w:szCs w:val="18"/>
          <w:color w:val="auto"/>
        </w:rPr>
        <w:t>Experience in management and development of human capital, including management of a large workforce, diversity and inclusion, talent development, workplace health and safety, compensation and other human capital issues.</w:t>
      </w:r>
    </w:p>
    <w:p>
      <w:pPr>
        <w:spacing w:after="0" w:line="200" w:lineRule="exact"/>
        <w:rPr>
          <w:sz w:val="20"/>
          <w:szCs w:val="20"/>
          <w:color w:val="auto"/>
        </w:rPr>
      </w:pPr>
    </w:p>
    <w:p>
      <w:pPr>
        <w:spacing w:after="0" w:line="294"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In addition to satisfying these general qualifications considered by the Nominating and Governance Committee in connection with a director nomination, Vikram S. Pandit was appointed to the Board on October 4, 2018 as a Class III director pursuant to the terms of an Investment Agreement, dated as of October 1, 2018 (the “Investment Agreement”), between the Company and Orogen Echo LLC, an affiliate of The Orogen Group LLC (the “Purchaser”). The Investment Agreement was entered into in connection with our issuance to the Purchaser of $150,000,000 in aggregate principal amount of 3.50% Convertible Senior Notes due October 1, 2024 (the “notes”). For so long as the Purchaser has the right to nominate a director to the Board under the Investment Agreement, we have, subject to the terms of the Investment Agreement, agreed to include such person in our list of nominees for election to our board of directors at each of our annual meetings of stockholders at which directors are to be elected, and to use our reasonable best efforts to cause the election of such person to our board of directors. The Purchaser’s right to nominate a director will terminate if Purchaser and its affiliates beneficially own less than 50% of the number of shares of our common stock deemed beneficially owned by the Purchaser and its affiliates immediately following the issuance of the notes (which, for purposes of the Investment Agreement, includes shares of our common stock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3600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4" w:name="page25"/>
    <w:bookmarkEnd w:id="24"/>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363220</wp:posOffset>
            </wp:positionV>
            <wp:extent cx="600075"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Board of Directors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The names, ages and principal occupations (which have continued for at least the past five years unless otherwise indicated) and other information, including the specific experience, qualifications, attributes or skills that led to the conclusion that such person should serve as a director of the Company, with respect to each of the nominees and continuing directors are set forth below. There are no family relationships among any of our directors or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Nominees for Election at the Annual Meeting</w:t>
      </w:r>
    </w:p>
    <w:p>
      <w:pPr>
        <w:spacing w:after="0" w:line="198" w:lineRule="exact"/>
        <w:rPr>
          <w:sz w:val="20"/>
          <w:szCs w:val="20"/>
          <w:color w:val="auto"/>
        </w:rPr>
      </w:pPr>
    </w:p>
    <w:p>
      <w:pPr>
        <w:ind w:left="120"/>
        <w:spacing w:after="0"/>
        <w:tabs>
          <w:tab w:leader="none" w:pos="8500" w:val="left"/>
        </w:tabs>
        <w:rPr>
          <w:sz w:val="20"/>
          <w:szCs w:val="20"/>
          <w:color w:val="auto"/>
        </w:rPr>
      </w:pPr>
      <w:r>
        <w:rPr>
          <w:rFonts w:ascii="Arial" w:cs="Arial" w:eastAsia="Arial" w:hAnsi="Arial"/>
          <w:sz w:val="32"/>
          <w:szCs w:val="32"/>
          <w:b w:val="1"/>
          <w:bCs w:val="1"/>
          <w:color w:val="FFFFFF"/>
        </w:rPr>
        <w:t>Rohit Kapoor</w:t>
      </w:r>
      <w:r>
        <w:rPr>
          <w:sz w:val="20"/>
          <w:szCs w:val="20"/>
          <w:color w:val="auto"/>
        </w:rPr>
        <w:tab/>
      </w:r>
      <w:r>
        <w:rPr>
          <w:rFonts w:ascii="Arial" w:cs="Arial" w:eastAsia="Arial" w:hAnsi="Arial"/>
          <w:sz w:val="32"/>
          <w:szCs w:val="32"/>
          <w:b w:val="1"/>
          <w:bCs w:val="1"/>
          <w:color w:val="FFFFFF"/>
        </w:rPr>
        <w:t>Independent: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6120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2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color w:val="FFFFFF"/>
        </w:rPr>
        <w:t>Director since November 2002 Vice Chairman and CEO since April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Age: 55— co-founded EXL Inc. in April 1999 and has served as our Vice Chairman and CEO since April 2012 and as a director since November 2002. He previously served as our President and CEO from May 2008 to March 2012. Mr. Kapoor’s business experience and directorships are detailed below. The Company has concluded that, in connection with Mr. Kapoor’s experience as a founder and current role as CEO of the Company, Mr. Kapoor should serve as a director.</w:t>
      </w:r>
    </w:p>
    <w:p>
      <w:pPr>
        <w:spacing w:after="0" w:line="2259" w:lineRule="exact"/>
        <w:rPr>
          <w:sz w:val="20"/>
          <w:szCs w:val="20"/>
          <w:color w:val="auto"/>
        </w:rPr>
      </w:pPr>
    </w:p>
    <w:p>
      <w:pPr>
        <w:sectPr>
          <w:pgSz w:w="11900" w:h="16838" w:orient="portrait"/>
          <w:cols w:equalWidth="0" w:num="2">
            <w:col w:w="2700" w:space="440"/>
            <w:col w:w="8000"/>
          </w:cols>
          <w:pgMar w:left="320" w:top="1440"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Business Experience at the Company</w:t>
      </w:r>
    </w:p>
    <w:p>
      <w:pPr>
        <w:spacing w:after="0" w:line="207" w:lineRule="exact"/>
        <w:rPr>
          <w:sz w:val="20"/>
          <w:szCs w:val="20"/>
          <w:color w:val="auto"/>
        </w:rPr>
      </w:pPr>
    </w:p>
    <w:p>
      <w:pPr>
        <w:ind w:left="760" w:hanging="317"/>
        <w:spacing w:after="0"/>
        <w:tabs>
          <w:tab w:leader="none" w:pos="760" w:val="left"/>
        </w:tabs>
        <w:numPr>
          <w:ilvl w:val="0"/>
          <w:numId w:val="17"/>
        </w:numPr>
        <w:rPr>
          <w:rFonts w:ascii="Arial" w:cs="Arial" w:eastAsia="Arial" w:hAnsi="Arial"/>
          <w:sz w:val="18"/>
          <w:szCs w:val="18"/>
          <w:color w:val="0093FF"/>
        </w:rPr>
      </w:pPr>
      <w:r>
        <w:rPr>
          <w:rFonts w:ascii="Arial" w:cs="Arial" w:eastAsia="Arial" w:hAnsi="Arial"/>
          <w:sz w:val="18"/>
          <w:szCs w:val="18"/>
          <w:color w:val="auto"/>
        </w:rPr>
        <w:t>Vice Chairman and CEO (2012 – present)</w:t>
      </w:r>
    </w:p>
    <w:p>
      <w:pPr>
        <w:spacing w:after="0" w:line="184" w:lineRule="exact"/>
        <w:rPr>
          <w:rFonts w:ascii="Arial" w:cs="Arial" w:eastAsia="Arial" w:hAnsi="Arial"/>
          <w:sz w:val="18"/>
          <w:szCs w:val="18"/>
          <w:color w:val="0093FF"/>
        </w:rPr>
      </w:pPr>
    </w:p>
    <w:p>
      <w:pPr>
        <w:ind w:left="760" w:hanging="317"/>
        <w:spacing w:after="0"/>
        <w:tabs>
          <w:tab w:leader="none" w:pos="760" w:val="left"/>
        </w:tabs>
        <w:numPr>
          <w:ilvl w:val="0"/>
          <w:numId w:val="17"/>
        </w:numPr>
        <w:rPr>
          <w:rFonts w:ascii="Arial" w:cs="Arial" w:eastAsia="Arial" w:hAnsi="Arial"/>
          <w:sz w:val="18"/>
          <w:szCs w:val="18"/>
          <w:color w:val="0093FF"/>
        </w:rPr>
      </w:pPr>
      <w:r>
        <w:rPr>
          <w:rFonts w:ascii="Arial" w:cs="Arial" w:eastAsia="Arial" w:hAnsi="Arial"/>
          <w:sz w:val="18"/>
          <w:szCs w:val="18"/>
          <w:color w:val="auto"/>
        </w:rPr>
        <w:t>President and CEO (2008 – 2012)</w:t>
      </w:r>
    </w:p>
    <w:p>
      <w:pPr>
        <w:spacing w:after="0" w:line="184" w:lineRule="exact"/>
        <w:rPr>
          <w:rFonts w:ascii="Arial" w:cs="Arial" w:eastAsia="Arial" w:hAnsi="Arial"/>
          <w:sz w:val="18"/>
          <w:szCs w:val="18"/>
          <w:color w:val="0093FF"/>
        </w:rPr>
      </w:pPr>
    </w:p>
    <w:p>
      <w:pPr>
        <w:ind w:left="760" w:hanging="317"/>
        <w:spacing w:after="0"/>
        <w:tabs>
          <w:tab w:leader="none" w:pos="760" w:val="left"/>
        </w:tabs>
        <w:numPr>
          <w:ilvl w:val="0"/>
          <w:numId w:val="17"/>
        </w:numPr>
        <w:rPr>
          <w:rFonts w:ascii="Arial" w:cs="Arial" w:eastAsia="Arial" w:hAnsi="Arial"/>
          <w:sz w:val="18"/>
          <w:szCs w:val="18"/>
          <w:color w:val="0093FF"/>
        </w:rPr>
      </w:pPr>
      <w:r>
        <w:rPr>
          <w:rFonts w:ascii="Arial" w:cs="Arial" w:eastAsia="Arial" w:hAnsi="Arial"/>
          <w:sz w:val="18"/>
          <w:szCs w:val="18"/>
          <w:color w:val="auto"/>
        </w:rPr>
        <w:t>Various senior leadership roles, including CFO and COO (2000 – 2008)</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Business Experience</w:t>
      </w:r>
    </w:p>
    <w:p>
      <w:pPr>
        <w:spacing w:after="0" w:line="207" w:lineRule="exact"/>
        <w:rPr>
          <w:sz w:val="20"/>
          <w:szCs w:val="20"/>
          <w:color w:val="auto"/>
        </w:rPr>
      </w:pPr>
    </w:p>
    <w:p>
      <w:pPr>
        <w:ind w:left="760" w:hanging="317"/>
        <w:spacing w:after="0"/>
        <w:tabs>
          <w:tab w:leader="none" w:pos="760" w:val="left"/>
        </w:tabs>
        <w:numPr>
          <w:ilvl w:val="0"/>
          <w:numId w:val="18"/>
        </w:numPr>
        <w:rPr>
          <w:rFonts w:ascii="Arial" w:cs="Arial" w:eastAsia="Arial" w:hAnsi="Arial"/>
          <w:sz w:val="18"/>
          <w:szCs w:val="18"/>
          <w:color w:val="0093FF"/>
        </w:rPr>
      </w:pPr>
      <w:r>
        <w:rPr>
          <w:rFonts w:ascii="Arial" w:cs="Arial" w:eastAsia="Arial" w:hAnsi="Arial"/>
          <w:sz w:val="18"/>
          <w:szCs w:val="18"/>
          <w:color w:val="auto"/>
        </w:rPr>
        <w:t>Business head, Deutsche Bank, a financial services provider (1999-2000)</w:t>
      </w:r>
    </w:p>
    <w:p>
      <w:pPr>
        <w:spacing w:after="0" w:line="184" w:lineRule="exact"/>
        <w:rPr>
          <w:rFonts w:ascii="Arial" w:cs="Arial" w:eastAsia="Arial" w:hAnsi="Arial"/>
          <w:sz w:val="18"/>
          <w:szCs w:val="18"/>
          <w:color w:val="0093FF"/>
        </w:rPr>
      </w:pPr>
    </w:p>
    <w:p>
      <w:pPr>
        <w:ind w:left="760" w:hanging="317"/>
        <w:spacing w:after="0"/>
        <w:tabs>
          <w:tab w:leader="none" w:pos="760" w:val="left"/>
        </w:tabs>
        <w:numPr>
          <w:ilvl w:val="0"/>
          <w:numId w:val="18"/>
        </w:numPr>
        <w:rPr>
          <w:rFonts w:ascii="Arial" w:cs="Arial" w:eastAsia="Arial" w:hAnsi="Arial"/>
          <w:sz w:val="18"/>
          <w:szCs w:val="18"/>
          <w:color w:val="0093FF"/>
        </w:rPr>
      </w:pPr>
      <w:r>
        <w:rPr>
          <w:rFonts w:ascii="Arial" w:cs="Arial" w:eastAsia="Arial" w:hAnsi="Arial"/>
          <w:sz w:val="18"/>
          <w:szCs w:val="18"/>
          <w:color w:val="auto"/>
        </w:rPr>
        <w:t>Various capacities at Bank of America in the United States and Asia, including India (1991-1999)</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07" w:lineRule="exact"/>
        <w:rPr>
          <w:sz w:val="20"/>
          <w:szCs w:val="20"/>
          <w:color w:val="auto"/>
        </w:rPr>
      </w:pPr>
    </w:p>
    <w:p>
      <w:pPr>
        <w:ind w:left="760" w:hanging="317"/>
        <w:spacing w:after="0"/>
        <w:tabs>
          <w:tab w:leader="none" w:pos="760" w:val="left"/>
        </w:tabs>
        <w:numPr>
          <w:ilvl w:val="0"/>
          <w:numId w:val="19"/>
        </w:numPr>
        <w:rPr>
          <w:rFonts w:ascii="Arial" w:cs="Arial" w:eastAsia="Arial" w:hAnsi="Arial"/>
          <w:sz w:val="18"/>
          <w:szCs w:val="18"/>
          <w:color w:val="0093FF"/>
        </w:rPr>
      </w:pPr>
      <w:r>
        <w:rPr>
          <w:rFonts w:ascii="Arial" w:cs="Arial" w:eastAsia="Arial" w:hAnsi="Arial"/>
          <w:sz w:val="18"/>
          <w:szCs w:val="18"/>
          <w:color w:val="auto"/>
        </w:rPr>
        <w:t>Director and member of the audit committee, CA Technologies, Inc., a software services company (NASDAQ: CA) (2002 – 2018)</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07" w:lineRule="exact"/>
        <w:rPr>
          <w:sz w:val="20"/>
          <w:szCs w:val="20"/>
          <w:color w:val="auto"/>
        </w:rPr>
      </w:pPr>
    </w:p>
    <w:p>
      <w:pPr>
        <w:ind w:left="760" w:hanging="317"/>
        <w:spacing w:after="0"/>
        <w:tabs>
          <w:tab w:leader="none" w:pos="760" w:val="left"/>
        </w:tabs>
        <w:numPr>
          <w:ilvl w:val="0"/>
          <w:numId w:val="20"/>
        </w:numPr>
        <w:rPr>
          <w:rFonts w:ascii="Arial" w:cs="Arial" w:eastAsia="Arial" w:hAnsi="Arial"/>
          <w:sz w:val="18"/>
          <w:szCs w:val="18"/>
          <w:color w:val="0093FF"/>
        </w:rPr>
      </w:pPr>
      <w:r>
        <w:rPr>
          <w:rFonts w:ascii="Arial" w:cs="Arial" w:eastAsia="Arial" w:hAnsi="Arial"/>
          <w:sz w:val="18"/>
          <w:szCs w:val="18"/>
          <w:color w:val="auto"/>
        </w:rPr>
        <w:t>Chairman, National Association of Software and Services Companies (“NASSCOM”) BPM Council.</w:t>
      </w:r>
    </w:p>
    <w:p>
      <w:pPr>
        <w:spacing w:after="0" w:line="184" w:lineRule="exact"/>
        <w:rPr>
          <w:rFonts w:ascii="Arial" w:cs="Arial" w:eastAsia="Arial" w:hAnsi="Arial"/>
          <w:sz w:val="18"/>
          <w:szCs w:val="18"/>
          <w:color w:val="0093FF"/>
        </w:rPr>
      </w:pPr>
    </w:p>
    <w:p>
      <w:pPr>
        <w:ind w:left="760" w:hanging="317"/>
        <w:spacing w:after="0"/>
        <w:tabs>
          <w:tab w:leader="none" w:pos="760" w:val="left"/>
        </w:tabs>
        <w:numPr>
          <w:ilvl w:val="0"/>
          <w:numId w:val="20"/>
        </w:numPr>
        <w:rPr>
          <w:rFonts w:ascii="Arial" w:cs="Arial" w:eastAsia="Arial" w:hAnsi="Arial"/>
          <w:sz w:val="18"/>
          <w:szCs w:val="18"/>
          <w:color w:val="0093FF"/>
        </w:rPr>
      </w:pPr>
      <w:r>
        <w:rPr>
          <w:rFonts w:ascii="Arial" w:cs="Arial" w:eastAsia="Arial" w:hAnsi="Arial"/>
          <w:sz w:val="18"/>
          <w:szCs w:val="18"/>
          <w:color w:val="auto"/>
        </w:rPr>
        <w:t>Member, Board of Directors, America India Foundation (AIF)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ind w:right="100"/>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73640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736409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49"/>
        </w:trPr>
        <w:tc>
          <w:tcPr>
            <w:tcW w:w="276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David B. Kelso</w:t>
            </w:r>
          </w:p>
        </w:tc>
        <w:tc>
          <w:tcPr>
            <w:tcW w:w="8460" w:type="dxa"/>
            <w:vAlign w:val="bottom"/>
            <w:shd w:val="clear" w:color="auto" w:fill="0093FF"/>
          </w:tcPr>
          <w:p>
            <w:pPr>
              <w:ind w:left="560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276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July 2006</w:t>
            </w:r>
          </w:p>
        </w:tc>
        <w:tc>
          <w:tcPr>
            <w:tcW w:w="8460" w:type="dxa"/>
            <w:vAlign w:val="bottom"/>
            <w:shd w:val="clear" w:color="auto" w:fill="0093FF"/>
          </w:tcPr>
          <w:p>
            <w:pPr>
              <w:spacing w:after="0"/>
              <w:rPr>
                <w:sz w:val="24"/>
                <w:szCs w:val="24"/>
                <w:color w:val="auto"/>
              </w:rPr>
            </w:pPr>
          </w:p>
        </w:tc>
      </w:tr>
      <w:tr>
        <w:trPr>
          <w:trHeight w:val="620"/>
        </w:trPr>
        <w:tc>
          <w:tcPr>
            <w:tcW w:w="2760" w:type="dxa"/>
            <w:vAlign w:val="bottom"/>
          </w:tcPr>
          <w:p>
            <w:pPr>
              <w:spacing w:after="0"/>
              <w:rPr>
                <w:sz w:val="24"/>
                <w:szCs w:val="24"/>
                <w:color w:val="auto"/>
              </w:rPr>
            </w:pPr>
          </w:p>
        </w:tc>
        <w:tc>
          <w:tcPr>
            <w:tcW w:w="8460" w:type="dxa"/>
            <w:vAlign w:val="bottom"/>
          </w:tcPr>
          <w:p>
            <w:pPr>
              <w:ind w:left="380"/>
              <w:spacing w:after="0"/>
              <w:rPr>
                <w:sz w:val="20"/>
                <w:szCs w:val="20"/>
                <w:color w:val="auto"/>
              </w:rPr>
            </w:pPr>
            <w:r>
              <w:rPr>
                <w:rFonts w:ascii="Arial" w:cs="Arial" w:eastAsia="Arial" w:hAnsi="Arial"/>
                <w:sz w:val="18"/>
                <w:szCs w:val="18"/>
                <w:color w:val="auto"/>
              </w:rPr>
              <w:t>Age: 67—is a financial advisor for Kelso Advisory Services, a company he started in 2003. Mr.</w:t>
            </w:r>
          </w:p>
        </w:tc>
      </w:tr>
      <w:tr>
        <w:trPr>
          <w:trHeight w:val="203"/>
        </w:trPr>
        <w:tc>
          <w:tcPr>
            <w:tcW w:w="2760" w:type="dxa"/>
            <w:vAlign w:val="bottom"/>
          </w:tcPr>
          <w:p>
            <w:pPr>
              <w:spacing w:after="0"/>
              <w:rPr>
                <w:sz w:val="17"/>
                <w:szCs w:val="17"/>
                <w:color w:val="auto"/>
              </w:rPr>
            </w:pPr>
          </w:p>
        </w:tc>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Kelso’s business experience and directorships are detailed below. The Company has concluded,</w:t>
            </w:r>
          </w:p>
        </w:tc>
      </w:tr>
      <w:tr>
        <w:trPr>
          <w:trHeight w:val="203"/>
        </w:trPr>
        <w:tc>
          <w:tcPr>
            <w:tcW w:w="2760" w:type="dxa"/>
            <w:vAlign w:val="bottom"/>
          </w:tcPr>
          <w:p>
            <w:pPr>
              <w:spacing w:after="0"/>
              <w:rPr>
                <w:sz w:val="17"/>
                <w:szCs w:val="17"/>
                <w:color w:val="auto"/>
              </w:rPr>
            </w:pPr>
          </w:p>
        </w:tc>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based in part on Mr. Kelso’s business experience with Inductis, his management and operating</w:t>
            </w:r>
          </w:p>
        </w:tc>
      </w:tr>
      <w:tr>
        <w:trPr>
          <w:trHeight w:val="203"/>
        </w:trPr>
        <w:tc>
          <w:tcPr>
            <w:tcW w:w="2760" w:type="dxa"/>
            <w:vAlign w:val="bottom"/>
          </w:tcPr>
          <w:p>
            <w:pPr>
              <w:spacing w:after="0"/>
              <w:rPr>
                <w:sz w:val="17"/>
                <w:szCs w:val="17"/>
                <w:color w:val="auto"/>
              </w:rPr>
            </w:pPr>
          </w:p>
        </w:tc>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experience at major public companies, his expertise in finance, strategy and investments, and his</w:t>
            </w:r>
          </w:p>
        </w:tc>
      </w:tr>
      <w:tr>
        <w:trPr>
          <w:trHeight w:val="217"/>
        </w:trPr>
        <w:tc>
          <w:tcPr>
            <w:tcW w:w="2760" w:type="dxa"/>
            <w:vAlign w:val="bottom"/>
          </w:tcPr>
          <w:p>
            <w:pPr>
              <w:spacing w:after="0"/>
              <w:rPr>
                <w:sz w:val="18"/>
                <w:szCs w:val="18"/>
                <w:color w:val="auto"/>
              </w:rPr>
            </w:pPr>
          </w:p>
        </w:tc>
        <w:tc>
          <w:tcPr>
            <w:tcW w:w="8460" w:type="dxa"/>
            <w:vAlign w:val="bottom"/>
          </w:tcPr>
          <w:p>
            <w:pPr>
              <w:ind w:left="380"/>
              <w:spacing w:after="0"/>
              <w:rPr>
                <w:sz w:val="20"/>
                <w:szCs w:val="20"/>
                <w:color w:val="auto"/>
              </w:rPr>
            </w:pPr>
            <w:r>
              <w:rPr>
                <w:rFonts w:ascii="Arial" w:cs="Arial" w:eastAsia="Arial" w:hAnsi="Arial"/>
                <w:sz w:val="18"/>
                <w:szCs w:val="18"/>
                <w:color w:val="auto"/>
              </w:rPr>
              <w:t>board and committee service at other global companies, that Mr. Kelso should serve as a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21"/>
        </w:numPr>
        <w:rPr>
          <w:rFonts w:ascii="Arial" w:cs="Arial" w:eastAsia="Arial" w:hAnsi="Arial"/>
          <w:sz w:val="18"/>
          <w:szCs w:val="18"/>
          <w:color w:val="0093FF"/>
        </w:rPr>
      </w:pPr>
      <w:r>
        <w:rPr>
          <w:rFonts w:ascii="Arial" w:cs="Arial" w:eastAsia="Arial" w:hAnsi="Arial"/>
          <w:sz w:val="18"/>
          <w:szCs w:val="18"/>
          <w:color w:val="auto"/>
        </w:rPr>
        <w:t>Audit*, Nominating and Governance (Chair)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hanging="317"/>
        <w:spacing w:after="0"/>
        <w:tabs>
          <w:tab w:leader="none" w:pos="760" w:val="left"/>
        </w:tabs>
        <w:numPr>
          <w:ilvl w:val="0"/>
          <w:numId w:val="22"/>
        </w:numPr>
        <w:rPr>
          <w:rFonts w:ascii="Arial" w:cs="Arial" w:eastAsia="Arial" w:hAnsi="Arial"/>
          <w:sz w:val="18"/>
          <w:szCs w:val="18"/>
          <w:color w:val="0093FF"/>
        </w:rPr>
      </w:pPr>
      <w:r>
        <w:rPr>
          <w:rFonts w:ascii="Arial" w:cs="Arial" w:eastAsia="Arial" w:hAnsi="Arial"/>
          <w:sz w:val="18"/>
          <w:szCs w:val="18"/>
          <w:color w:val="auto"/>
        </w:rPr>
        <w:t>Financial Advisor, Kelso Advisory Services (2003 – present)</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22"/>
        </w:numPr>
        <w:rPr>
          <w:rFonts w:ascii="Arial" w:cs="Arial" w:eastAsia="Arial" w:hAnsi="Arial"/>
          <w:sz w:val="18"/>
          <w:szCs w:val="18"/>
          <w:color w:val="0093FF"/>
        </w:rPr>
      </w:pPr>
      <w:r>
        <w:rPr>
          <w:rFonts w:ascii="Arial" w:cs="Arial" w:eastAsia="Arial" w:hAnsi="Arial"/>
          <w:sz w:val="18"/>
          <w:szCs w:val="18"/>
          <w:color w:val="auto"/>
        </w:rPr>
        <w:t>Senior Advisor, Inductis, Inc., a strategy and analytics company, until its acquisition by the Company (June 2004 – June 2006)</w:t>
      </w:r>
    </w:p>
    <w:p>
      <w:pPr>
        <w:spacing w:after="0" w:line="198" w:lineRule="exact"/>
        <w:rPr>
          <w:rFonts w:ascii="Arial" w:cs="Arial" w:eastAsia="Arial" w:hAnsi="Arial"/>
          <w:sz w:val="18"/>
          <w:szCs w:val="18"/>
          <w:color w:val="0093FF"/>
        </w:rPr>
      </w:pPr>
    </w:p>
    <w:p>
      <w:pPr>
        <w:ind w:left="760" w:right="300" w:hanging="317"/>
        <w:spacing w:after="0" w:line="246" w:lineRule="auto"/>
        <w:tabs>
          <w:tab w:leader="none" w:pos="744" w:val="left"/>
        </w:tabs>
        <w:numPr>
          <w:ilvl w:val="0"/>
          <w:numId w:val="22"/>
        </w:numPr>
        <w:rPr>
          <w:rFonts w:ascii="Arial" w:cs="Arial" w:eastAsia="Arial" w:hAnsi="Arial"/>
          <w:sz w:val="18"/>
          <w:szCs w:val="18"/>
          <w:color w:val="0093FF"/>
        </w:rPr>
      </w:pPr>
      <w:r>
        <w:rPr>
          <w:rFonts w:ascii="Arial" w:cs="Arial" w:eastAsia="Arial" w:hAnsi="Arial"/>
          <w:sz w:val="18"/>
          <w:szCs w:val="18"/>
          <w:color w:val="auto"/>
        </w:rPr>
        <w:t>Chairman, Aetna Life Insurance Co., Executive Vice President, Strategy and Finance and member of the Office of the Chairman for Aetna, Inc., a managed healthcare company (2001 – 2003)</w:t>
      </w:r>
    </w:p>
    <w:p>
      <w:pPr>
        <w:spacing w:after="0" w:line="183" w:lineRule="exact"/>
        <w:rPr>
          <w:rFonts w:ascii="Arial" w:cs="Arial" w:eastAsia="Arial" w:hAnsi="Arial"/>
          <w:sz w:val="18"/>
          <w:szCs w:val="18"/>
          <w:color w:val="0093FF"/>
        </w:rPr>
      </w:pPr>
    </w:p>
    <w:p>
      <w:pPr>
        <w:ind w:left="760" w:right="560" w:hanging="317"/>
        <w:spacing w:after="0" w:line="246" w:lineRule="auto"/>
        <w:tabs>
          <w:tab w:leader="none" w:pos="744" w:val="left"/>
        </w:tabs>
        <w:numPr>
          <w:ilvl w:val="0"/>
          <w:numId w:val="22"/>
        </w:numPr>
        <w:rPr>
          <w:rFonts w:ascii="Arial" w:cs="Arial" w:eastAsia="Arial" w:hAnsi="Arial"/>
          <w:sz w:val="18"/>
          <w:szCs w:val="18"/>
          <w:color w:val="0093FF"/>
        </w:rPr>
      </w:pPr>
      <w:r>
        <w:rPr>
          <w:rFonts w:ascii="Arial" w:cs="Arial" w:eastAsia="Arial" w:hAnsi="Arial"/>
          <w:sz w:val="18"/>
          <w:szCs w:val="18"/>
          <w:color w:val="auto"/>
        </w:rPr>
        <w:t>Executive Vice President, Chief Financial Officer and Managing Director, Chubb Corporation, a property and casualty insurer (1996-2001)</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right="1140" w:hanging="317"/>
        <w:spacing w:after="0" w:line="246" w:lineRule="auto"/>
        <w:tabs>
          <w:tab w:leader="none" w:pos="744" w:val="left"/>
        </w:tabs>
        <w:numPr>
          <w:ilvl w:val="0"/>
          <w:numId w:val="23"/>
        </w:numPr>
        <w:rPr>
          <w:rFonts w:ascii="Arial" w:cs="Arial" w:eastAsia="Arial" w:hAnsi="Arial"/>
          <w:sz w:val="18"/>
          <w:szCs w:val="18"/>
          <w:color w:val="0093FF"/>
        </w:rPr>
      </w:pPr>
      <w:r>
        <w:rPr>
          <w:rFonts w:ascii="Arial" w:cs="Arial" w:eastAsia="Arial" w:hAnsi="Arial"/>
          <w:sz w:val="18"/>
          <w:szCs w:val="18"/>
          <w:color w:val="auto"/>
        </w:rPr>
        <w:t>Director and member of audit committee and finance &amp; investment committee, Assurant, Inc., a global provider of risk management products and services (NYSE: AIZ) (2007 – 2015)</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left="760" w:right="140" w:hanging="317"/>
        <w:spacing w:after="0" w:line="246" w:lineRule="auto"/>
        <w:tabs>
          <w:tab w:leader="none" w:pos="744" w:val="left"/>
        </w:tabs>
        <w:numPr>
          <w:ilvl w:val="0"/>
          <w:numId w:val="24"/>
        </w:numPr>
        <w:rPr>
          <w:rFonts w:ascii="Arial" w:cs="Arial" w:eastAsia="Arial" w:hAnsi="Arial"/>
          <w:sz w:val="18"/>
          <w:szCs w:val="18"/>
          <w:color w:val="0093FF"/>
        </w:rPr>
      </w:pPr>
      <w:r>
        <w:rPr>
          <w:rFonts w:ascii="Arial" w:cs="Arial" w:eastAsia="Arial" w:hAnsi="Arial"/>
          <w:sz w:val="18"/>
          <w:szCs w:val="18"/>
          <w:color w:val="auto"/>
        </w:rPr>
        <w:t>Lead independent director and chair of the audit, nominating and valuation committees, Sound Shore Fund, an equity mutual fund (2006 – present)</w:t>
      </w:r>
    </w:p>
    <w:p>
      <w:pPr>
        <w:spacing w:after="0" w:line="250" w:lineRule="exact"/>
        <w:rPr>
          <w:rFonts w:ascii="Arial" w:cs="Arial" w:eastAsia="Arial" w:hAnsi="Arial"/>
          <w:sz w:val="18"/>
          <w:szCs w:val="18"/>
          <w:color w:val="0093FF"/>
        </w:rPr>
      </w:pPr>
    </w:p>
    <w:p>
      <w:pPr>
        <w:ind w:left="760" w:hanging="317"/>
        <w:spacing w:after="0"/>
        <w:tabs>
          <w:tab w:leader="none" w:pos="760" w:val="left"/>
        </w:tabs>
        <w:numPr>
          <w:ilvl w:val="0"/>
          <w:numId w:val="24"/>
        </w:numPr>
        <w:rPr>
          <w:rFonts w:ascii="Arial" w:cs="Arial" w:eastAsia="Arial" w:hAnsi="Arial"/>
          <w:sz w:val="18"/>
          <w:szCs w:val="18"/>
          <w:color w:val="0093FF"/>
        </w:rPr>
      </w:pPr>
      <w:r>
        <w:rPr>
          <w:rFonts w:ascii="Arial" w:cs="Arial" w:eastAsia="Arial" w:hAnsi="Arial"/>
          <w:sz w:val="18"/>
          <w:szCs w:val="18"/>
          <w:color w:val="auto"/>
        </w:rPr>
        <w:t>Director, Aspen Holdings Limited, a property and casualty reinsurance company (2005 – 2011)</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20" w:lineRule="exact"/>
        <w:rPr>
          <w:sz w:val="20"/>
          <w:szCs w:val="20"/>
          <w:color w:val="auto"/>
        </w:rPr>
      </w:pPr>
    </w:p>
    <w:p>
      <w:pPr>
        <w:ind w:right="2400" w:firstLine="443"/>
        <w:spacing w:after="0" w:line="559" w:lineRule="auto"/>
        <w:tabs>
          <w:tab w:leader="none" w:pos="743" w:val="left"/>
        </w:tabs>
        <w:numPr>
          <w:ilvl w:val="0"/>
          <w:numId w:val="25"/>
        </w:numPr>
        <w:rPr>
          <w:rFonts w:ascii="Arial" w:cs="Arial" w:eastAsia="Arial" w:hAnsi="Arial"/>
          <w:sz w:val="18"/>
          <w:szCs w:val="18"/>
          <w:color w:val="0093FF"/>
        </w:rPr>
      </w:pPr>
      <w:r>
        <w:rPr>
          <w:rFonts w:ascii="Arial" w:cs="Arial" w:eastAsia="Arial" w:hAnsi="Arial"/>
          <w:sz w:val="18"/>
          <w:szCs w:val="18"/>
          <w:color w:val="auto"/>
        </w:rPr>
        <w:t xml:space="preserve">Board of Trustees, Darden School Foundation of the University of Virginia Darden School of Business </w:t>
      </w:r>
      <w:r>
        <w:rPr>
          <w:rFonts w:ascii="Arial" w:cs="Arial" w:eastAsia="Arial" w:hAnsi="Arial"/>
          <w:sz w:val="18"/>
          <w:szCs w:val="18"/>
          <w:color w:val="262626"/>
        </w:rPr>
        <w:t>*Audit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3600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74"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7629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762952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449"/>
        </w:trPr>
        <w:tc>
          <w:tcPr>
            <w:tcW w:w="274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Anne E. Minto</w:t>
            </w:r>
          </w:p>
        </w:tc>
        <w:tc>
          <w:tcPr>
            <w:tcW w:w="8480" w:type="dxa"/>
            <w:vAlign w:val="bottom"/>
            <w:shd w:val="clear" w:color="auto" w:fill="0093FF"/>
          </w:tcPr>
          <w:p>
            <w:pPr>
              <w:ind w:left="562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274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March 2013</w:t>
            </w:r>
          </w:p>
        </w:tc>
        <w:tc>
          <w:tcPr>
            <w:tcW w:w="8480" w:type="dxa"/>
            <w:vAlign w:val="bottom"/>
            <w:shd w:val="clear" w:color="auto" w:fill="0093FF"/>
          </w:tcPr>
          <w:p>
            <w:pPr>
              <w:spacing w:after="0"/>
              <w:rPr>
                <w:sz w:val="24"/>
                <w:szCs w:val="24"/>
                <w:color w:val="auto"/>
              </w:rPr>
            </w:pPr>
          </w:p>
        </w:tc>
      </w:tr>
      <w:tr>
        <w:trPr>
          <w:trHeight w:val="620"/>
        </w:trPr>
        <w:tc>
          <w:tcPr>
            <w:tcW w:w="2740" w:type="dxa"/>
            <w:vAlign w:val="bottom"/>
          </w:tcPr>
          <w:p>
            <w:pPr>
              <w:spacing w:after="0"/>
              <w:rPr>
                <w:sz w:val="24"/>
                <w:szCs w:val="24"/>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Age: 66—is a qualified lawyer and member of the Law Society of Scotland. Ms. Minto’s business</w:t>
            </w:r>
          </w:p>
        </w:tc>
      </w:tr>
      <w:tr>
        <w:trPr>
          <w:trHeight w:val="203"/>
        </w:trPr>
        <w:tc>
          <w:tcPr>
            <w:tcW w:w="2740" w:type="dxa"/>
            <w:vAlign w:val="bottom"/>
          </w:tcPr>
          <w:p>
            <w:pPr>
              <w:spacing w:after="0"/>
              <w:rPr>
                <w:sz w:val="17"/>
                <w:szCs w:val="17"/>
                <w:color w:val="auto"/>
              </w:rPr>
            </w:pPr>
          </w:p>
        </w:tc>
        <w:tc>
          <w:tcPr>
            <w:tcW w:w="8480" w:type="dxa"/>
            <w:vAlign w:val="bottom"/>
          </w:tcPr>
          <w:p>
            <w:pPr>
              <w:ind w:left="400"/>
              <w:spacing w:after="0" w:line="202" w:lineRule="exact"/>
              <w:rPr>
                <w:sz w:val="20"/>
                <w:szCs w:val="20"/>
                <w:color w:val="auto"/>
              </w:rPr>
            </w:pPr>
            <w:r>
              <w:rPr>
                <w:rFonts w:ascii="Arial" w:cs="Arial" w:eastAsia="Arial" w:hAnsi="Arial"/>
                <w:sz w:val="18"/>
                <w:szCs w:val="18"/>
                <w:color w:val="auto"/>
              </w:rPr>
              <w:t>experience and directorships are detailed below. The Company has concluded, based in part on Ms.</w:t>
            </w:r>
          </w:p>
        </w:tc>
      </w:tr>
      <w:tr>
        <w:trPr>
          <w:trHeight w:val="203"/>
        </w:trPr>
        <w:tc>
          <w:tcPr>
            <w:tcW w:w="2740" w:type="dxa"/>
            <w:vAlign w:val="bottom"/>
          </w:tcPr>
          <w:p>
            <w:pPr>
              <w:spacing w:after="0"/>
              <w:rPr>
                <w:sz w:val="17"/>
                <w:szCs w:val="17"/>
                <w:color w:val="auto"/>
              </w:rPr>
            </w:pPr>
          </w:p>
        </w:tc>
        <w:tc>
          <w:tcPr>
            <w:tcW w:w="8480" w:type="dxa"/>
            <w:vAlign w:val="bottom"/>
          </w:tcPr>
          <w:p>
            <w:pPr>
              <w:ind w:left="400"/>
              <w:spacing w:after="0" w:line="202" w:lineRule="exact"/>
              <w:rPr>
                <w:sz w:val="20"/>
                <w:szCs w:val="20"/>
                <w:color w:val="auto"/>
              </w:rPr>
            </w:pPr>
            <w:r>
              <w:rPr>
                <w:rFonts w:ascii="Arial" w:cs="Arial" w:eastAsia="Arial" w:hAnsi="Arial"/>
                <w:sz w:val="18"/>
                <w:szCs w:val="18"/>
                <w:color w:val="auto"/>
              </w:rPr>
              <w:t>Minto’s extensive experience as a member of international company boards and management in the</w:t>
            </w:r>
          </w:p>
        </w:tc>
      </w:tr>
      <w:tr>
        <w:trPr>
          <w:trHeight w:val="203"/>
        </w:trPr>
        <w:tc>
          <w:tcPr>
            <w:tcW w:w="2740" w:type="dxa"/>
            <w:vAlign w:val="bottom"/>
          </w:tcPr>
          <w:p>
            <w:pPr>
              <w:spacing w:after="0"/>
              <w:rPr>
                <w:sz w:val="17"/>
                <w:szCs w:val="17"/>
                <w:color w:val="auto"/>
              </w:rPr>
            </w:pPr>
          </w:p>
        </w:tc>
        <w:tc>
          <w:tcPr>
            <w:tcW w:w="8480" w:type="dxa"/>
            <w:vAlign w:val="bottom"/>
          </w:tcPr>
          <w:p>
            <w:pPr>
              <w:ind w:left="400"/>
              <w:spacing w:after="0" w:line="202" w:lineRule="exact"/>
              <w:rPr>
                <w:sz w:val="20"/>
                <w:szCs w:val="20"/>
                <w:color w:val="auto"/>
              </w:rPr>
            </w:pPr>
            <w:r>
              <w:rPr>
                <w:rFonts w:ascii="Arial" w:cs="Arial" w:eastAsia="Arial" w:hAnsi="Arial"/>
                <w:sz w:val="18"/>
                <w:szCs w:val="18"/>
                <w:color w:val="auto"/>
              </w:rPr>
              <w:t>human resources field, together with her knowledge and experience of the European business and</w:t>
            </w:r>
          </w:p>
        </w:tc>
      </w:tr>
      <w:tr>
        <w:trPr>
          <w:trHeight w:val="217"/>
        </w:trPr>
        <w:tc>
          <w:tcPr>
            <w:tcW w:w="2740" w:type="dxa"/>
            <w:vAlign w:val="bottom"/>
          </w:tcPr>
          <w:p>
            <w:pPr>
              <w:spacing w:after="0"/>
              <w:rPr>
                <w:sz w:val="18"/>
                <w:szCs w:val="18"/>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regulatory environment, that Ms. Minto should serve as a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26"/>
        </w:numPr>
        <w:rPr>
          <w:rFonts w:ascii="Arial" w:cs="Arial" w:eastAsia="Arial" w:hAnsi="Arial"/>
          <w:sz w:val="18"/>
          <w:szCs w:val="18"/>
          <w:color w:val="0093FF"/>
        </w:rPr>
      </w:pPr>
      <w:r>
        <w:rPr>
          <w:rFonts w:ascii="Arial" w:cs="Arial" w:eastAsia="Arial" w:hAnsi="Arial"/>
          <w:sz w:val="18"/>
          <w:szCs w:val="18"/>
          <w:color w:val="auto"/>
        </w:rPr>
        <w:t>Compensation (Chair), Nominating and Governance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hanging="317"/>
        <w:spacing w:after="0"/>
        <w:tabs>
          <w:tab w:leader="none" w:pos="760" w:val="left"/>
        </w:tabs>
        <w:numPr>
          <w:ilvl w:val="0"/>
          <w:numId w:val="27"/>
        </w:numPr>
        <w:rPr>
          <w:rFonts w:ascii="Arial" w:cs="Arial" w:eastAsia="Arial" w:hAnsi="Arial"/>
          <w:sz w:val="18"/>
          <w:szCs w:val="18"/>
          <w:color w:val="0093FF"/>
        </w:rPr>
      </w:pPr>
      <w:r>
        <w:rPr>
          <w:rFonts w:ascii="Arial" w:cs="Arial" w:eastAsia="Arial" w:hAnsi="Arial"/>
          <w:sz w:val="18"/>
          <w:szCs w:val="18"/>
          <w:color w:val="auto"/>
        </w:rPr>
        <w:t>Lawyer and member of Law Society of Scotland</w:t>
      </w:r>
    </w:p>
    <w:p>
      <w:pPr>
        <w:spacing w:after="0" w:line="198" w:lineRule="exact"/>
        <w:rPr>
          <w:rFonts w:ascii="Arial" w:cs="Arial" w:eastAsia="Arial" w:hAnsi="Arial"/>
          <w:sz w:val="18"/>
          <w:szCs w:val="18"/>
          <w:color w:val="0093FF"/>
        </w:rPr>
      </w:pPr>
    </w:p>
    <w:p>
      <w:pPr>
        <w:ind w:left="760" w:right="820" w:hanging="317"/>
        <w:spacing w:after="0" w:line="246" w:lineRule="auto"/>
        <w:tabs>
          <w:tab w:leader="none" w:pos="744" w:val="left"/>
        </w:tabs>
        <w:numPr>
          <w:ilvl w:val="0"/>
          <w:numId w:val="27"/>
        </w:numPr>
        <w:rPr>
          <w:rFonts w:ascii="Arial" w:cs="Arial" w:eastAsia="Arial" w:hAnsi="Arial"/>
          <w:sz w:val="18"/>
          <w:szCs w:val="18"/>
          <w:color w:val="0093FF"/>
        </w:rPr>
      </w:pPr>
      <w:r>
        <w:rPr>
          <w:rFonts w:ascii="Arial" w:cs="Arial" w:eastAsia="Arial" w:hAnsi="Arial"/>
          <w:sz w:val="18"/>
          <w:szCs w:val="18"/>
          <w:color w:val="auto"/>
        </w:rPr>
        <w:t>Former Group Director, Human Resources and member of the executive committee, Centrica plc, an energy and services company (2002 – 2011)</w:t>
      </w:r>
    </w:p>
    <w:p>
      <w:pPr>
        <w:spacing w:after="0" w:line="183" w:lineRule="exact"/>
        <w:rPr>
          <w:rFonts w:ascii="Arial" w:cs="Arial" w:eastAsia="Arial" w:hAnsi="Arial"/>
          <w:sz w:val="18"/>
          <w:szCs w:val="18"/>
          <w:color w:val="0093FF"/>
        </w:rPr>
      </w:pPr>
    </w:p>
    <w:p>
      <w:pPr>
        <w:ind w:left="760" w:hanging="317"/>
        <w:spacing w:after="0"/>
        <w:tabs>
          <w:tab w:leader="none" w:pos="760" w:val="left"/>
        </w:tabs>
        <w:numPr>
          <w:ilvl w:val="0"/>
          <w:numId w:val="27"/>
        </w:numPr>
        <w:rPr>
          <w:rFonts w:ascii="Arial" w:cs="Arial" w:eastAsia="Arial" w:hAnsi="Arial"/>
          <w:sz w:val="18"/>
          <w:szCs w:val="18"/>
          <w:color w:val="0093FF"/>
        </w:rPr>
      </w:pPr>
      <w:r>
        <w:rPr>
          <w:rFonts w:ascii="Arial" w:cs="Arial" w:eastAsia="Arial" w:hAnsi="Arial"/>
          <w:sz w:val="18"/>
          <w:szCs w:val="18"/>
          <w:color w:val="auto"/>
        </w:rPr>
        <w:t>Prior senior management roles at Shell UK and Smiths Group plc</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right="280" w:hanging="317"/>
        <w:spacing w:after="0" w:line="246" w:lineRule="auto"/>
        <w:tabs>
          <w:tab w:leader="none" w:pos="744" w:val="left"/>
        </w:tabs>
        <w:numPr>
          <w:ilvl w:val="0"/>
          <w:numId w:val="28"/>
        </w:numPr>
        <w:rPr>
          <w:rFonts w:ascii="Arial" w:cs="Arial" w:eastAsia="Arial" w:hAnsi="Arial"/>
          <w:sz w:val="18"/>
          <w:szCs w:val="18"/>
          <w:color w:val="0093FF"/>
        </w:rPr>
      </w:pPr>
      <w:r>
        <w:rPr>
          <w:rFonts w:ascii="Arial" w:cs="Arial" w:eastAsia="Arial" w:hAnsi="Arial"/>
          <w:sz w:val="18"/>
          <w:szCs w:val="18"/>
          <w:color w:val="auto"/>
        </w:rPr>
        <w:t>Director, chairman of the remuneration committee and member of the audit and nomination committees, Tate &amp; Lyle plc, a global provider of specialty food products (LSE: TATE) (2012 – present)</w:t>
      </w:r>
    </w:p>
    <w:p>
      <w:pPr>
        <w:spacing w:after="0" w:line="183" w:lineRule="exact"/>
        <w:rPr>
          <w:rFonts w:ascii="Arial" w:cs="Arial" w:eastAsia="Arial" w:hAnsi="Arial"/>
          <w:sz w:val="18"/>
          <w:szCs w:val="18"/>
          <w:color w:val="0093FF"/>
        </w:rPr>
      </w:pPr>
    </w:p>
    <w:p>
      <w:pPr>
        <w:ind w:left="760" w:right="280" w:hanging="317"/>
        <w:spacing w:after="0" w:line="246" w:lineRule="auto"/>
        <w:tabs>
          <w:tab w:leader="none" w:pos="744" w:val="left"/>
        </w:tabs>
        <w:numPr>
          <w:ilvl w:val="0"/>
          <w:numId w:val="28"/>
        </w:numPr>
        <w:rPr>
          <w:rFonts w:ascii="Arial" w:cs="Arial" w:eastAsia="Arial" w:hAnsi="Arial"/>
          <w:sz w:val="18"/>
          <w:szCs w:val="18"/>
          <w:color w:val="0093FF"/>
        </w:rPr>
      </w:pPr>
      <w:r>
        <w:rPr>
          <w:rFonts w:ascii="Arial" w:cs="Arial" w:eastAsia="Arial" w:hAnsi="Arial"/>
          <w:sz w:val="18"/>
          <w:szCs w:val="18"/>
          <w:color w:val="auto"/>
        </w:rPr>
        <w:t>Director, chairman of the remuneration committee and member of the nomination and governance committee, Shire plc, a global biopharmaceutical company (NASDAQ: SHPG, LSE: SHP) (2010 – 2019)</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20" w:lineRule="exact"/>
        <w:rPr>
          <w:sz w:val="20"/>
          <w:szCs w:val="20"/>
          <w:color w:val="auto"/>
        </w:rPr>
      </w:pPr>
    </w:p>
    <w:p>
      <w:pPr>
        <w:ind w:left="760" w:hanging="317"/>
        <w:spacing w:after="0"/>
        <w:tabs>
          <w:tab w:leader="none" w:pos="760" w:val="left"/>
        </w:tabs>
        <w:numPr>
          <w:ilvl w:val="0"/>
          <w:numId w:val="29"/>
        </w:numPr>
        <w:rPr>
          <w:rFonts w:ascii="Arial" w:cs="Arial" w:eastAsia="Arial" w:hAnsi="Arial"/>
          <w:sz w:val="18"/>
          <w:szCs w:val="18"/>
          <w:color w:val="0093FF"/>
        </w:rPr>
      </w:pPr>
      <w:r>
        <w:rPr>
          <w:rFonts w:ascii="Arial" w:cs="Arial" w:eastAsia="Arial" w:hAnsi="Arial"/>
          <w:sz w:val="18"/>
          <w:szCs w:val="18"/>
          <w:color w:val="auto"/>
        </w:rPr>
        <w:t>Non-executive director, Court of the University of Aberdeen</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29"/>
        </w:numPr>
        <w:rPr>
          <w:rFonts w:ascii="Arial" w:cs="Arial" w:eastAsia="Arial" w:hAnsi="Arial"/>
          <w:sz w:val="18"/>
          <w:szCs w:val="18"/>
          <w:color w:val="0093FF"/>
        </w:rPr>
      </w:pPr>
      <w:r>
        <w:rPr>
          <w:rFonts w:ascii="Arial" w:cs="Arial" w:eastAsia="Arial" w:hAnsi="Arial"/>
          <w:sz w:val="18"/>
          <w:szCs w:val="18"/>
          <w:color w:val="auto"/>
        </w:rPr>
        <w:t>Chairman, University Policy and Resources Committee and University of Aberdeen Development Trust</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29"/>
        </w:numPr>
        <w:rPr>
          <w:rFonts w:ascii="Arial" w:cs="Arial" w:eastAsia="Arial" w:hAnsi="Arial"/>
          <w:sz w:val="18"/>
          <w:szCs w:val="18"/>
          <w:color w:val="0093FF"/>
        </w:rPr>
      </w:pPr>
      <w:r>
        <w:rPr>
          <w:rFonts w:ascii="Arial" w:cs="Arial" w:eastAsia="Arial" w:hAnsi="Arial"/>
          <w:sz w:val="18"/>
          <w:szCs w:val="18"/>
          <w:color w:val="auto"/>
        </w:rPr>
        <w:t>Fellow, Chartered Institute of Personnel &amp; Development and the City and Guilds of London Institute</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29"/>
        </w:numPr>
        <w:rPr>
          <w:rFonts w:ascii="Arial" w:cs="Arial" w:eastAsia="Arial" w:hAnsi="Arial"/>
          <w:sz w:val="18"/>
          <w:szCs w:val="18"/>
          <w:color w:val="0093FF"/>
        </w:rPr>
      </w:pPr>
      <w:r>
        <w:rPr>
          <w:rFonts w:ascii="Arial" w:cs="Arial" w:eastAsia="Arial" w:hAnsi="Arial"/>
          <w:sz w:val="18"/>
          <w:szCs w:val="18"/>
          <w:color w:val="auto"/>
        </w:rPr>
        <w:t>Fellow, Chartered Institute of Management</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29"/>
        </w:numPr>
        <w:rPr>
          <w:rFonts w:ascii="Arial" w:cs="Arial" w:eastAsia="Arial" w:hAnsi="Arial"/>
          <w:sz w:val="18"/>
          <w:szCs w:val="18"/>
          <w:color w:val="0093FF"/>
        </w:rPr>
      </w:pPr>
      <w:r>
        <w:rPr>
          <w:rFonts w:ascii="Arial" w:cs="Arial" w:eastAsia="Arial" w:hAnsi="Arial"/>
          <w:sz w:val="18"/>
          <w:szCs w:val="18"/>
          <w:color w:val="auto"/>
        </w:rPr>
        <w:t>Former Deputy Director-General of the Engineering Employer’s Federation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3600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80"/>
        <w:spacing w:after="0"/>
        <w:tabs>
          <w:tab w:leader="none" w:pos="32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79381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79381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49"/>
        </w:trPr>
        <w:tc>
          <w:tcPr>
            <w:tcW w:w="292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Som Mittal</w:t>
            </w:r>
          </w:p>
        </w:tc>
        <w:tc>
          <w:tcPr>
            <w:tcW w:w="8300" w:type="dxa"/>
            <w:vAlign w:val="bottom"/>
            <w:shd w:val="clear" w:color="auto" w:fill="0093FF"/>
          </w:tcPr>
          <w:p>
            <w:pPr>
              <w:ind w:left="544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292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December 2013</w:t>
            </w:r>
          </w:p>
        </w:tc>
        <w:tc>
          <w:tcPr>
            <w:tcW w:w="8300" w:type="dxa"/>
            <w:vAlign w:val="bottom"/>
            <w:shd w:val="clear" w:color="auto" w:fill="0093FF"/>
          </w:tcPr>
          <w:p>
            <w:pPr>
              <w:spacing w:after="0"/>
              <w:rPr>
                <w:sz w:val="24"/>
                <w:szCs w:val="24"/>
                <w:color w:val="auto"/>
              </w:rPr>
            </w:pPr>
          </w:p>
        </w:tc>
      </w:tr>
      <w:tr>
        <w:trPr>
          <w:trHeight w:val="620"/>
        </w:trPr>
        <w:tc>
          <w:tcPr>
            <w:tcW w:w="2920" w:type="dxa"/>
            <w:vAlign w:val="bottom"/>
          </w:tcPr>
          <w:p>
            <w:pPr>
              <w:spacing w:after="0"/>
              <w:rPr>
                <w:sz w:val="24"/>
                <w:szCs w:val="24"/>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Age: 68—has held various corporate leadership roles in the IT industry since 1989 and has</w:t>
            </w:r>
          </w:p>
        </w:tc>
      </w:tr>
      <w:tr>
        <w:trPr>
          <w:trHeight w:val="203"/>
        </w:trPr>
        <w:tc>
          <w:tcPr>
            <w:tcW w:w="2920" w:type="dxa"/>
            <w:vAlign w:val="bottom"/>
          </w:tcPr>
          <w:p>
            <w:pPr>
              <w:spacing w:after="0"/>
              <w:rPr>
                <w:sz w:val="17"/>
                <w:szCs w:val="17"/>
                <w:color w:val="auto"/>
              </w:rPr>
            </w:pPr>
          </w:p>
        </w:tc>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extensive experience in the engineering and automotive sectors. His business experience and</w:t>
            </w:r>
          </w:p>
        </w:tc>
      </w:tr>
      <w:tr>
        <w:trPr>
          <w:trHeight w:val="203"/>
        </w:trPr>
        <w:tc>
          <w:tcPr>
            <w:tcW w:w="2920" w:type="dxa"/>
            <w:vAlign w:val="bottom"/>
          </w:tcPr>
          <w:p>
            <w:pPr>
              <w:spacing w:after="0"/>
              <w:rPr>
                <w:sz w:val="17"/>
                <w:szCs w:val="17"/>
                <w:color w:val="auto"/>
              </w:rPr>
            </w:pPr>
          </w:p>
        </w:tc>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directorships are detailed below. The Company has concluded, based in part on Mr. Mittal’s</w:t>
            </w:r>
          </w:p>
        </w:tc>
      </w:tr>
      <w:tr>
        <w:trPr>
          <w:trHeight w:val="203"/>
        </w:trPr>
        <w:tc>
          <w:tcPr>
            <w:tcW w:w="2920" w:type="dxa"/>
            <w:vAlign w:val="bottom"/>
          </w:tcPr>
          <w:p>
            <w:pPr>
              <w:spacing w:after="0"/>
              <w:rPr>
                <w:sz w:val="17"/>
                <w:szCs w:val="17"/>
                <w:color w:val="auto"/>
              </w:rPr>
            </w:pPr>
          </w:p>
        </w:tc>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business experience as President of NASSCOM and his knowledge of the global outsourcing</w:t>
            </w:r>
          </w:p>
        </w:tc>
      </w:tr>
      <w:tr>
        <w:trPr>
          <w:trHeight w:val="217"/>
        </w:trPr>
        <w:tc>
          <w:tcPr>
            <w:tcW w:w="29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industry, that Mr. Mittal should serve as a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30"/>
        </w:numPr>
        <w:rPr>
          <w:rFonts w:ascii="Arial" w:cs="Arial" w:eastAsia="Arial" w:hAnsi="Arial"/>
          <w:sz w:val="18"/>
          <w:szCs w:val="18"/>
          <w:color w:val="0093FF"/>
        </w:rPr>
      </w:pPr>
      <w:r>
        <w:rPr>
          <w:rFonts w:ascii="Arial" w:cs="Arial" w:eastAsia="Arial" w:hAnsi="Arial"/>
          <w:sz w:val="18"/>
          <w:szCs w:val="18"/>
          <w:color w:val="auto"/>
        </w:rPr>
        <w:t>Compensation, Nominating and Governance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hanging="317"/>
        <w:spacing w:after="0"/>
        <w:tabs>
          <w:tab w:leader="none" w:pos="760" w:val="left"/>
        </w:tabs>
        <w:numPr>
          <w:ilvl w:val="0"/>
          <w:numId w:val="31"/>
        </w:numPr>
        <w:rPr>
          <w:rFonts w:ascii="Arial" w:cs="Arial" w:eastAsia="Arial" w:hAnsi="Arial"/>
          <w:sz w:val="18"/>
          <w:szCs w:val="18"/>
          <w:color w:val="0093FF"/>
        </w:rPr>
      </w:pPr>
      <w:r>
        <w:rPr>
          <w:rFonts w:ascii="Arial" w:cs="Arial" w:eastAsia="Arial" w:hAnsi="Arial"/>
          <w:sz w:val="18"/>
          <w:szCs w:val="18"/>
          <w:color w:val="auto"/>
        </w:rPr>
        <w:t>Chairman and President, NASSCOM, a trade body for the IT and business process management industries in India (2008 – 2014)</w:t>
      </w:r>
    </w:p>
    <w:p>
      <w:pPr>
        <w:spacing w:after="0" w:line="130" w:lineRule="exact"/>
        <w:rPr>
          <w:rFonts w:ascii="Arial" w:cs="Arial" w:eastAsia="Arial" w:hAnsi="Arial"/>
          <w:sz w:val="18"/>
          <w:szCs w:val="18"/>
          <w:color w:val="0093FF"/>
        </w:rPr>
      </w:pPr>
    </w:p>
    <w:p>
      <w:pPr>
        <w:ind w:left="760" w:hanging="317"/>
        <w:spacing w:after="0"/>
        <w:tabs>
          <w:tab w:leader="none" w:pos="760" w:val="left"/>
        </w:tabs>
        <w:numPr>
          <w:ilvl w:val="0"/>
          <w:numId w:val="31"/>
        </w:numPr>
        <w:rPr>
          <w:rFonts w:ascii="Arial" w:cs="Arial" w:eastAsia="Arial" w:hAnsi="Arial"/>
          <w:sz w:val="18"/>
          <w:szCs w:val="18"/>
          <w:color w:val="0093FF"/>
        </w:rPr>
      </w:pPr>
      <w:r>
        <w:rPr>
          <w:rFonts w:ascii="Arial" w:cs="Arial" w:eastAsia="Arial" w:hAnsi="Arial"/>
          <w:sz w:val="18"/>
          <w:szCs w:val="18"/>
          <w:color w:val="auto"/>
        </w:rPr>
        <w:t>Prior leadership roles at Wipro, Digital, Compaq and HP</w:t>
      </w:r>
    </w:p>
    <w:p>
      <w:pPr>
        <w:spacing w:after="0" w:line="130" w:lineRule="exact"/>
        <w:rPr>
          <w:rFonts w:ascii="Arial" w:cs="Arial" w:eastAsia="Arial" w:hAnsi="Arial"/>
          <w:sz w:val="18"/>
          <w:szCs w:val="18"/>
          <w:color w:val="0093FF"/>
        </w:rPr>
      </w:pPr>
    </w:p>
    <w:p>
      <w:pPr>
        <w:ind w:left="760" w:hanging="317"/>
        <w:spacing w:after="0"/>
        <w:tabs>
          <w:tab w:leader="none" w:pos="760" w:val="left"/>
        </w:tabs>
        <w:numPr>
          <w:ilvl w:val="0"/>
          <w:numId w:val="31"/>
        </w:numPr>
        <w:rPr>
          <w:rFonts w:ascii="Arial" w:cs="Arial" w:eastAsia="Arial" w:hAnsi="Arial"/>
          <w:sz w:val="18"/>
          <w:szCs w:val="18"/>
          <w:color w:val="0093FF"/>
        </w:rPr>
      </w:pPr>
      <w:r>
        <w:rPr>
          <w:rFonts w:ascii="Arial" w:cs="Arial" w:eastAsia="Arial" w:hAnsi="Arial"/>
          <w:sz w:val="18"/>
          <w:szCs w:val="18"/>
          <w:color w:val="auto"/>
        </w:rPr>
        <w:t>Prior executive roles at Larsen and Tourbo, Escorts and Denso</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right="1160" w:hanging="317"/>
        <w:spacing w:after="0" w:line="246" w:lineRule="auto"/>
        <w:tabs>
          <w:tab w:leader="none" w:pos="744" w:val="left"/>
        </w:tabs>
        <w:numPr>
          <w:ilvl w:val="0"/>
          <w:numId w:val="32"/>
        </w:numPr>
        <w:rPr>
          <w:rFonts w:ascii="Arial" w:cs="Arial" w:eastAsia="Arial" w:hAnsi="Arial"/>
          <w:sz w:val="18"/>
          <w:szCs w:val="18"/>
          <w:color w:val="0093FF"/>
        </w:rPr>
      </w:pPr>
      <w:r>
        <w:rPr>
          <w:rFonts w:ascii="Arial" w:cs="Arial" w:eastAsia="Arial" w:hAnsi="Arial"/>
          <w:sz w:val="18"/>
          <w:szCs w:val="18"/>
          <w:color w:val="auto"/>
        </w:rPr>
        <w:t>Director and member of audit and risk management committee, Cyient Ltd., an engineering design services company (NSE:CYIENT) (2014 – present)</w:t>
      </w:r>
    </w:p>
    <w:p>
      <w:pPr>
        <w:spacing w:after="0" w:line="115" w:lineRule="exact"/>
        <w:rPr>
          <w:rFonts w:ascii="Arial" w:cs="Arial" w:eastAsia="Arial" w:hAnsi="Arial"/>
          <w:sz w:val="18"/>
          <w:szCs w:val="18"/>
          <w:color w:val="0093FF"/>
        </w:rPr>
      </w:pPr>
    </w:p>
    <w:p>
      <w:pPr>
        <w:ind w:left="760" w:right="560" w:hanging="317"/>
        <w:spacing w:after="0" w:line="246" w:lineRule="auto"/>
        <w:tabs>
          <w:tab w:leader="none" w:pos="744" w:val="left"/>
        </w:tabs>
        <w:numPr>
          <w:ilvl w:val="0"/>
          <w:numId w:val="32"/>
        </w:numPr>
        <w:rPr>
          <w:rFonts w:ascii="Arial" w:cs="Arial" w:eastAsia="Arial" w:hAnsi="Arial"/>
          <w:sz w:val="18"/>
          <w:szCs w:val="18"/>
          <w:color w:val="0093FF"/>
        </w:rPr>
      </w:pPr>
      <w:r>
        <w:rPr>
          <w:rFonts w:ascii="Arial" w:cs="Arial" w:eastAsia="Arial" w:hAnsi="Arial"/>
          <w:sz w:val="18"/>
          <w:szCs w:val="18"/>
          <w:color w:val="auto"/>
        </w:rPr>
        <w:t>Director and chairman of nomination and remuneration committee, Sheela Foam Ltd., a manufacturing company (NSE: SFL) (2016 – present)</w:t>
      </w:r>
    </w:p>
    <w:p>
      <w:pPr>
        <w:spacing w:after="0" w:line="115" w:lineRule="exact"/>
        <w:rPr>
          <w:rFonts w:ascii="Arial" w:cs="Arial" w:eastAsia="Arial" w:hAnsi="Arial"/>
          <w:sz w:val="18"/>
          <w:szCs w:val="18"/>
          <w:color w:val="0093FF"/>
        </w:rPr>
      </w:pPr>
    </w:p>
    <w:p>
      <w:pPr>
        <w:ind w:left="760" w:right="720" w:hanging="317"/>
        <w:spacing w:after="0" w:line="246" w:lineRule="auto"/>
        <w:tabs>
          <w:tab w:leader="none" w:pos="744" w:val="left"/>
        </w:tabs>
        <w:numPr>
          <w:ilvl w:val="0"/>
          <w:numId w:val="32"/>
        </w:numPr>
        <w:rPr>
          <w:rFonts w:ascii="Arial" w:cs="Arial" w:eastAsia="Arial" w:hAnsi="Arial"/>
          <w:sz w:val="18"/>
          <w:szCs w:val="18"/>
          <w:color w:val="0093FF"/>
        </w:rPr>
      </w:pPr>
      <w:r>
        <w:rPr>
          <w:rFonts w:ascii="Arial" w:cs="Arial" w:eastAsia="Arial" w:hAnsi="Arial"/>
          <w:sz w:val="18"/>
          <w:szCs w:val="18"/>
          <w:color w:val="auto"/>
        </w:rPr>
        <w:t>Director and chairman of customer service committee and IT strategy committee, member of nomination and remuneration committee and other committees, Axis Bank, Ltd., a financial services company (NSE:Axis) (2011 – 2019)</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left="760" w:right="280" w:hanging="317"/>
        <w:spacing w:after="0" w:line="246" w:lineRule="auto"/>
        <w:tabs>
          <w:tab w:leader="none" w:pos="744" w:val="left"/>
        </w:tabs>
        <w:numPr>
          <w:ilvl w:val="0"/>
          <w:numId w:val="33"/>
        </w:numPr>
        <w:rPr>
          <w:rFonts w:ascii="Arial" w:cs="Arial" w:eastAsia="Arial" w:hAnsi="Arial"/>
          <w:sz w:val="18"/>
          <w:szCs w:val="18"/>
          <w:color w:val="0093FF"/>
        </w:rPr>
      </w:pPr>
      <w:r>
        <w:rPr>
          <w:rFonts w:ascii="Arial" w:cs="Arial" w:eastAsia="Arial" w:hAnsi="Arial"/>
          <w:sz w:val="18"/>
          <w:szCs w:val="18"/>
          <w:color w:val="auto"/>
        </w:rPr>
        <w:t>Director, Tata SIA Airlines, Ltd., an Indian airline joint venture between TATA and Singapore Airlines with Indian and international operations (2015 – present)</w:t>
      </w:r>
    </w:p>
    <w:p>
      <w:pPr>
        <w:spacing w:after="0" w:line="115" w:lineRule="exact"/>
        <w:rPr>
          <w:rFonts w:ascii="Arial" w:cs="Arial" w:eastAsia="Arial" w:hAnsi="Arial"/>
          <w:sz w:val="18"/>
          <w:szCs w:val="18"/>
          <w:color w:val="0093FF"/>
        </w:rPr>
      </w:pPr>
    </w:p>
    <w:p>
      <w:pPr>
        <w:ind w:left="760" w:right="320" w:hanging="317"/>
        <w:spacing w:after="0"/>
        <w:tabs>
          <w:tab w:leader="none" w:pos="744" w:val="left"/>
        </w:tabs>
        <w:numPr>
          <w:ilvl w:val="0"/>
          <w:numId w:val="33"/>
        </w:numPr>
        <w:rPr>
          <w:rFonts w:ascii="Arial" w:cs="Arial" w:eastAsia="Arial" w:hAnsi="Arial"/>
          <w:sz w:val="18"/>
          <w:szCs w:val="18"/>
          <w:color w:val="0093FF"/>
        </w:rPr>
      </w:pPr>
      <w:r>
        <w:rPr>
          <w:rFonts w:ascii="Arial" w:cs="Arial" w:eastAsia="Arial" w:hAnsi="Arial"/>
          <w:sz w:val="18"/>
          <w:szCs w:val="18"/>
          <w:color w:val="auto"/>
        </w:rPr>
        <w:t>Non Executive Independent Director and Chairman, Vodafone India Services India Pvt Ltd., an Indian shared services company that is wholly owned, operated and controlled by Vodafone Group Plc (“Vodafone”) and provides information technology and networks services, among others, to Vodafone (2020 – present)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20" w:lineRule="exact"/>
        <w:rPr>
          <w:sz w:val="20"/>
          <w:szCs w:val="20"/>
          <w:color w:val="auto"/>
        </w:rPr>
      </w:pPr>
    </w:p>
    <w:p>
      <w:pPr>
        <w:ind w:left="760" w:hanging="317"/>
        <w:spacing w:after="0"/>
        <w:tabs>
          <w:tab w:leader="none" w:pos="760" w:val="left"/>
        </w:tabs>
        <w:numPr>
          <w:ilvl w:val="0"/>
          <w:numId w:val="34"/>
        </w:numPr>
        <w:rPr>
          <w:rFonts w:ascii="Arial" w:cs="Arial" w:eastAsia="Arial" w:hAnsi="Arial"/>
          <w:sz w:val="18"/>
          <w:szCs w:val="18"/>
          <w:color w:val="0093FF"/>
        </w:rPr>
      </w:pPr>
      <w:r>
        <w:rPr>
          <w:rFonts w:ascii="Arial" w:cs="Arial" w:eastAsia="Arial" w:hAnsi="Arial"/>
          <w:sz w:val="18"/>
          <w:szCs w:val="18"/>
          <w:color w:val="auto"/>
        </w:rPr>
        <w:t>Prior member, Board of Governors, Indian Institute of Corporate Affairs</w:t>
      </w:r>
    </w:p>
    <w:p>
      <w:pPr>
        <w:spacing w:after="0" w:line="130" w:lineRule="exact"/>
        <w:rPr>
          <w:rFonts w:ascii="Arial" w:cs="Arial" w:eastAsia="Arial" w:hAnsi="Arial"/>
          <w:sz w:val="18"/>
          <w:szCs w:val="18"/>
          <w:color w:val="0093FF"/>
        </w:rPr>
      </w:pPr>
    </w:p>
    <w:p>
      <w:pPr>
        <w:ind w:left="760" w:hanging="317"/>
        <w:spacing w:after="0"/>
        <w:tabs>
          <w:tab w:leader="none" w:pos="760" w:val="left"/>
        </w:tabs>
        <w:numPr>
          <w:ilvl w:val="0"/>
          <w:numId w:val="34"/>
        </w:numPr>
        <w:rPr>
          <w:rFonts w:ascii="Arial" w:cs="Arial" w:eastAsia="Arial" w:hAnsi="Arial"/>
          <w:sz w:val="18"/>
          <w:szCs w:val="18"/>
          <w:color w:val="0093FF"/>
        </w:rPr>
      </w:pPr>
      <w:r>
        <w:rPr>
          <w:rFonts w:ascii="Arial" w:cs="Arial" w:eastAsia="Arial" w:hAnsi="Arial"/>
          <w:sz w:val="18"/>
          <w:szCs w:val="18"/>
          <w:color w:val="auto"/>
        </w:rPr>
        <w:t>Prior Committee Member, Indian Prime Minister’s National e-Governance Program</w:t>
      </w:r>
    </w:p>
    <w:p>
      <w:pPr>
        <w:spacing w:after="0" w:line="130" w:lineRule="exact"/>
        <w:rPr>
          <w:rFonts w:ascii="Arial" w:cs="Arial" w:eastAsia="Arial" w:hAnsi="Arial"/>
          <w:sz w:val="18"/>
          <w:szCs w:val="18"/>
          <w:color w:val="0093FF"/>
        </w:rPr>
      </w:pPr>
    </w:p>
    <w:p>
      <w:pPr>
        <w:ind w:left="760" w:hanging="317"/>
        <w:spacing w:after="0"/>
        <w:tabs>
          <w:tab w:leader="none" w:pos="760" w:val="left"/>
        </w:tabs>
        <w:numPr>
          <w:ilvl w:val="0"/>
          <w:numId w:val="34"/>
        </w:numPr>
        <w:rPr>
          <w:rFonts w:ascii="Arial" w:cs="Arial" w:eastAsia="Arial" w:hAnsi="Arial"/>
          <w:sz w:val="18"/>
          <w:szCs w:val="18"/>
          <w:color w:val="0093FF"/>
        </w:rPr>
      </w:pPr>
      <w:r>
        <w:rPr>
          <w:rFonts w:ascii="Arial" w:cs="Arial" w:eastAsia="Arial" w:hAnsi="Arial"/>
          <w:sz w:val="18"/>
          <w:szCs w:val="18"/>
          <w:color w:val="auto"/>
        </w:rPr>
        <w:t>Member/trustee of educational institutions and non-governmental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360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65925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659257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449"/>
        </w:trPr>
        <w:tc>
          <w:tcPr>
            <w:tcW w:w="292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Clyde W. Ostler</w:t>
            </w:r>
          </w:p>
        </w:tc>
        <w:tc>
          <w:tcPr>
            <w:tcW w:w="8300" w:type="dxa"/>
            <w:vAlign w:val="bottom"/>
            <w:shd w:val="clear" w:color="auto" w:fill="0093FF"/>
          </w:tcPr>
          <w:p>
            <w:pPr>
              <w:ind w:left="544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292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December 2007</w:t>
            </w:r>
          </w:p>
        </w:tc>
        <w:tc>
          <w:tcPr>
            <w:tcW w:w="8300" w:type="dxa"/>
            <w:vAlign w:val="bottom"/>
            <w:shd w:val="clear" w:color="auto" w:fill="0093FF"/>
          </w:tcPr>
          <w:p>
            <w:pPr>
              <w:spacing w:after="0"/>
              <w:rPr>
                <w:sz w:val="24"/>
                <w:szCs w:val="24"/>
                <w:color w:val="auto"/>
              </w:rPr>
            </w:pPr>
          </w:p>
        </w:tc>
      </w:tr>
      <w:tr>
        <w:trPr>
          <w:trHeight w:val="620"/>
        </w:trPr>
        <w:tc>
          <w:tcPr>
            <w:tcW w:w="2920" w:type="dxa"/>
            <w:vAlign w:val="bottom"/>
          </w:tcPr>
          <w:p>
            <w:pPr>
              <w:spacing w:after="0"/>
              <w:rPr>
                <w:sz w:val="24"/>
                <w:szCs w:val="24"/>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Age: 73—is a retired executive of Wells Fargo and during his 40-year tenure held numerous senior</w:t>
            </w:r>
          </w:p>
        </w:tc>
      </w:tr>
      <w:tr>
        <w:trPr>
          <w:trHeight w:val="203"/>
        </w:trPr>
        <w:tc>
          <w:tcPr>
            <w:tcW w:w="2920" w:type="dxa"/>
            <w:vAlign w:val="bottom"/>
          </w:tcPr>
          <w:p>
            <w:pPr>
              <w:spacing w:after="0"/>
              <w:rPr>
                <w:sz w:val="17"/>
                <w:szCs w:val="17"/>
                <w:color w:val="auto"/>
              </w:rPr>
            </w:pPr>
          </w:p>
        </w:tc>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leadership positions within that organization. The Company has concluded, based in part on Mr.</w:t>
            </w:r>
          </w:p>
        </w:tc>
      </w:tr>
      <w:tr>
        <w:trPr>
          <w:trHeight w:val="203"/>
        </w:trPr>
        <w:tc>
          <w:tcPr>
            <w:tcW w:w="2920" w:type="dxa"/>
            <w:vAlign w:val="bottom"/>
          </w:tcPr>
          <w:p>
            <w:pPr>
              <w:spacing w:after="0"/>
              <w:rPr>
                <w:sz w:val="17"/>
                <w:szCs w:val="17"/>
                <w:color w:val="auto"/>
              </w:rPr>
            </w:pPr>
          </w:p>
        </w:tc>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Ostler’s business experience through his positions at Wells Fargo &amp; Company, that Mr. Ostler</w:t>
            </w:r>
          </w:p>
        </w:tc>
      </w:tr>
      <w:tr>
        <w:trPr>
          <w:trHeight w:val="217"/>
        </w:trPr>
        <w:tc>
          <w:tcPr>
            <w:tcW w:w="29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should serve as a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35"/>
        </w:numPr>
        <w:rPr>
          <w:rFonts w:ascii="Arial" w:cs="Arial" w:eastAsia="Arial" w:hAnsi="Arial"/>
          <w:sz w:val="18"/>
          <w:szCs w:val="18"/>
          <w:color w:val="0093FF"/>
        </w:rPr>
      </w:pPr>
      <w:r>
        <w:rPr>
          <w:rFonts w:ascii="Arial" w:cs="Arial" w:eastAsia="Arial" w:hAnsi="Arial"/>
          <w:sz w:val="18"/>
          <w:szCs w:val="18"/>
          <w:color w:val="auto"/>
        </w:rPr>
        <w:t>Audit (Chair)*, Compensation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right="420" w:hanging="317"/>
        <w:spacing w:after="0" w:line="238" w:lineRule="auto"/>
        <w:tabs>
          <w:tab w:leader="none" w:pos="744" w:val="left"/>
        </w:tabs>
        <w:numPr>
          <w:ilvl w:val="0"/>
          <w:numId w:val="36"/>
        </w:numPr>
        <w:rPr>
          <w:rFonts w:ascii="Arial" w:cs="Arial" w:eastAsia="Arial" w:hAnsi="Arial"/>
          <w:sz w:val="18"/>
          <w:szCs w:val="18"/>
          <w:color w:val="0093FF"/>
        </w:rPr>
      </w:pPr>
      <w:r>
        <w:rPr>
          <w:rFonts w:ascii="Arial" w:cs="Arial" w:eastAsia="Arial" w:hAnsi="Arial"/>
          <w:sz w:val="18"/>
          <w:szCs w:val="18"/>
          <w:color w:val="auto"/>
        </w:rPr>
        <w:t>Leadership positions within Wells Fargo including: Group Executive Vice President, Wells Fargo &amp; Co., Vice Chairman, Wells Fargo Bank California NA, President, Wells Fargo Family Wealth, Vice Chairman in the Office of the President, Chief Financial Officer, Chief Auditor, Head of Retail Branch Banking, Head of Information Technology, Head of Institutional and Personal Investments and Head of Internet Services</w:t>
      </w:r>
    </w:p>
    <w:p>
      <w:pPr>
        <w:spacing w:after="0" w:line="191" w:lineRule="exact"/>
        <w:rPr>
          <w:rFonts w:ascii="Arial" w:cs="Arial" w:eastAsia="Arial" w:hAnsi="Arial"/>
          <w:sz w:val="18"/>
          <w:szCs w:val="18"/>
          <w:color w:val="0093FF"/>
        </w:rPr>
      </w:pPr>
    </w:p>
    <w:p>
      <w:pPr>
        <w:ind w:left="760" w:hanging="317"/>
        <w:spacing w:after="0"/>
        <w:tabs>
          <w:tab w:leader="none" w:pos="760" w:val="left"/>
        </w:tabs>
        <w:numPr>
          <w:ilvl w:val="0"/>
          <w:numId w:val="36"/>
        </w:numPr>
        <w:rPr>
          <w:rFonts w:ascii="Arial" w:cs="Arial" w:eastAsia="Arial" w:hAnsi="Arial"/>
          <w:sz w:val="18"/>
          <w:szCs w:val="18"/>
          <w:color w:val="0093FF"/>
        </w:rPr>
      </w:pPr>
      <w:r>
        <w:rPr>
          <w:rFonts w:ascii="Arial" w:cs="Arial" w:eastAsia="Arial" w:hAnsi="Arial"/>
          <w:sz w:val="18"/>
          <w:szCs w:val="18"/>
          <w:color w:val="auto"/>
        </w:rPr>
        <w:t>Served on the Senior Management Committee of Wells Fargo for over 25 years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right="520" w:hanging="317"/>
        <w:spacing w:after="0" w:line="246" w:lineRule="auto"/>
        <w:tabs>
          <w:tab w:leader="none" w:pos="744" w:val="left"/>
        </w:tabs>
        <w:numPr>
          <w:ilvl w:val="0"/>
          <w:numId w:val="37"/>
        </w:numPr>
        <w:rPr>
          <w:rFonts w:ascii="Arial" w:cs="Arial" w:eastAsia="Arial" w:hAnsi="Arial"/>
          <w:sz w:val="18"/>
          <w:szCs w:val="18"/>
          <w:color w:val="0093FF"/>
        </w:rPr>
      </w:pPr>
      <w:r>
        <w:rPr>
          <w:rFonts w:ascii="Arial" w:cs="Arial" w:eastAsia="Arial" w:hAnsi="Arial"/>
          <w:sz w:val="18"/>
          <w:szCs w:val="18"/>
          <w:color w:val="auto"/>
        </w:rPr>
        <w:t>Director, member of the audit committee and compensation committee, McClatchy Company, a media company (NYSE: MNI) (2013 – present)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left="800" w:hanging="357"/>
        <w:spacing w:after="0"/>
        <w:tabs>
          <w:tab w:leader="none" w:pos="800" w:val="left"/>
        </w:tabs>
        <w:numPr>
          <w:ilvl w:val="0"/>
          <w:numId w:val="38"/>
        </w:numPr>
        <w:rPr>
          <w:rFonts w:ascii="Arial" w:cs="Arial" w:eastAsia="Arial" w:hAnsi="Arial"/>
          <w:sz w:val="18"/>
          <w:szCs w:val="18"/>
          <w:color w:val="0093FF"/>
        </w:rPr>
      </w:pPr>
      <w:r>
        <w:rPr>
          <w:rFonts w:ascii="Arial" w:cs="Arial" w:eastAsia="Arial" w:hAnsi="Arial"/>
          <w:sz w:val="18"/>
          <w:szCs w:val="18"/>
          <w:color w:val="auto"/>
        </w:rPr>
        <w:t>Advisory Director Emeritus, FTV Capital, a private global investment 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20" w:lineRule="exact"/>
        <w:rPr>
          <w:sz w:val="20"/>
          <w:szCs w:val="20"/>
          <w:color w:val="auto"/>
        </w:rPr>
      </w:pPr>
    </w:p>
    <w:p>
      <w:pPr>
        <w:ind w:right="5040" w:firstLine="443"/>
        <w:spacing w:after="0" w:line="656" w:lineRule="auto"/>
        <w:tabs>
          <w:tab w:leader="none" w:pos="743" w:val="left"/>
        </w:tabs>
        <w:numPr>
          <w:ilvl w:val="0"/>
          <w:numId w:val="39"/>
        </w:numPr>
        <w:rPr>
          <w:rFonts w:ascii="Arial" w:cs="Arial" w:eastAsia="Arial" w:hAnsi="Arial"/>
          <w:sz w:val="17"/>
          <w:szCs w:val="17"/>
          <w:color w:val="0093FF"/>
        </w:rPr>
      </w:pPr>
      <w:r>
        <w:rPr>
          <w:rFonts w:ascii="Arial" w:cs="Arial" w:eastAsia="Arial" w:hAnsi="Arial"/>
          <w:sz w:val="17"/>
          <w:szCs w:val="17"/>
          <w:color w:val="auto"/>
        </w:rPr>
        <w:t xml:space="preserve">Director’s Advisory Council, Scripps Institution of Oceanography </w:t>
      </w:r>
      <w:r>
        <w:rPr>
          <w:rFonts w:ascii="Arial" w:cs="Arial" w:eastAsia="Arial" w:hAnsi="Arial"/>
          <w:sz w:val="17"/>
          <w:szCs w:val="17"/>
          <w:color w:val="262626"/>
        </w:rPr>
        <w:t>*Audit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600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69" w:lineRule="exact"/>
        <w:rPr>
          <w:sz w:val="20"/>
          <w:szCs w:val="20"/>
          <w:color w:val="auto"/>
        </w:rPr>
      </w:pPr>
    </w:p>
    <w:p>
      <w:pPr>
        <w:jc w:val="right"/>
        <w:ind w:right="180"/>
        <w:spacing w:after="0"/>
        <w:tabs>
          <w:tab w:leader="none" w:pos="32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78270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782701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49"/>
        </w:trPr>
        <w:tc>
          <w:tcPr>
            <w:tcW w:w="600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Jaynie M. Studenmund</w:t>
            </w:r>
          </w:p>
        </w:tc>
        <w:tc>
          <w:tcPr>
            <w:tcW w:w="5220" w:type="dxa"/>
            <w:vAlign w:val="bottom"/>
            <w:shd w:val="clear" w:color="auto" w:fill="0093FF"/>
          </w:tcPr>
          <w:p>
            <w:pPr>
              <w:ind w:left="236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600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September 2018</w:t>
            </w:r>
          </w:p>
        </w:tc>
        <w:tc>
          <w:tcPr>
            <w:tcW w:w="5220" w:type="dxa"/>
            <w:vAlign w:val="bottom"/>
            <w:shd w:val="clear" w:color="auto" w:fill="0093FF"/>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left="3140" w:right="100"/>
        <w:spacing w:after="0" w:line="237" w:lineRule="auto"/>
        <w:rPr>
          <w:sz w:val="20"/>
          <w:szCs w:val="20"/>
          <w:color w:val="auto"/>
        </w:rPr>
      </w:pPr>
      <w:r>
        <w:rPr>
          <w:rFonts w:ascii="Arial" w:cs="Arial" w:eastAsia="Arial" w:hAnsi="Arial"/>
          <w:sz w:val="18"/>
          <w:szCs w:val="18"/>
          <w:color w:val="auto"/>
        </w:rPr>
        <w:t>Age: 65—is a seasoned executive with significant experience as a top line executive leading financial services and digital companies. She also has extensive experience as a public company director. Ms. Studenmund’s business experience and directorships are detailed below. The Company has concluded, based in part on Ms. Studenmund’s extensive public company board experience, together with her knowledge and experience in the digital, financial services, health care and consumer business sectors, that Ms. Studenmund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40"/>
        </w:numPr>
        <w:rPr>
          <w:rFonts w:ascii="Arial" w:cs="Arial" w:eastAsia="Arial" w:hAnsi="Arial"/>
          <w:sz w:val="18"/>
          <w:szCs w:val="18"/>
          <w:color w:val="0093FF"/>
        </w:rPr>
      </w:pPr>
      <w:r>
        <w:rPr>
          <w:rFonts w:ascii="Arial" w:cs="Arial" w:eastAsia="Arial" w:hAnsi="Arial"/>
          <w:sz w:val="18"/>
          <w:szCs w:val="18"/>
          <w:color w:val="auto"/>
        </w:rPr>
        <w:t>Audit*, Compensation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hanging="317"/>
        <w:spacing w:after="0"/>
        <w:tabs>
          <w:tab w:leader="none" w:pos="760" w:val="left"/>
        </w:tabs>
        <w:numPr>
          <w:ilvl w:val="0"/>
          <w:numId w:val="41"/>
        </w:numPr>
        <w:rPr>
          <w:rFonts w:ascii="Arial" w:cs="Arial" w:eastAsia="Arial" w:hAnsi="Arial"/>
          <w:sz w:val="18"/>
          <w:szCs w:val="18"/>
          <w:color w:val="0093FF"/>
        </w:rPr>
      </w:pPr>
      <w:r>
        <w:rPr>
          <w:rFonts w:ascii="Arial" w:cs="Arial" w:eastAsia="Arial" w:hAnsi="Arial"/>
          <w:sz w:val="18"/>
          <w:szCs w:val="18"/>
          <w:color w:val="auto"/>
        </w:rPr>
        <w:t>Chief Operating Officer, Overture Services, a pioneer in paid search and search engine marketing (2001-2004)</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41"/>
        </w:numPr>
        <w:rPr>
          <w:rFonts w:ascii="Arial" w:cs="Arial" w:eastAsia="Arial" w:hAnsi="Arial"/>
          <w:sz w:val="18"/>
          <w:szCs w:val="18"/>
          <w:color w:val="0093FF"/>
        </w:rPr>
      </w:pPr>
      <w:r>
        <w:rPr>
          <w:rFonts w:ascii="Arial" w:cs="Arial" w:eastAsia="Arial" w:hAnsi="Arial"/>
          <w:sz w:val="18"/>
          <w:szCs w:val="18"/>
          <w:color w:val="auto"/>
        </w:rPr>
        <w:t>President &amp; Chief Operating Officer, PayMyBills, the leading consumer bill payment and presentment company (1999 – 2001)</w:t>
      </w:r>
    </w:p>
    <w:p>
      <w:pPr>
        <w:spacing w:after="0" w:line="198" w:lineRule="exact"/>
        <w:rPr>
          <w:rFonts w:ascii="Arial" w:cs="Arial" w:eastAsia="Arial" w:hAnsi="Arial"/>
          <w:sz w:val="18"/>
          <w:szCs w:val="18"/>
          <w:color w:val="0093FF"/>
        </w:rPr>
      </w:pPr>
    </w:p>
    <w:p>
      <w:pPr>
        <w:ind w:left="760" w:right="280" w:hanging="317"/>
        <w:spacing w:after="0" w:line="246" w:lineRule="auto"/>
        <w:tabs>
          <w:tab w:leader="none" w:pos="744" w:val="left"/>
        </w:tabs>
        <w:numPr>
          <w:ilvl w:val="0"/>
          <w:numId w:val="41"/>
        </w:numPr>
        <w:rPr>
          <w:rFonts w:ascii="Arial" w:cs="Arial" w:eastAsia="Arial" w:hAnsi="Arial"/>
          <w:sz w:val="18"/>
          <w:szCs w:val="18"/>
          <w:color w:val="0093FF"/>
        </w:rPr>
      </w:pPr>
      <w:r>
        <w:rPr>
          <w:rFonts w:ascii="Arial" w:cs="Arial" w:eastAsia="Arial" w:hAnsi="Arial"/>
          <w:sz w:val="18"/>
          <w:szCs w:val="18"/>
          <w:color w:val="auto"/>
        </w:rPr>
        <w:t>Previously for over two decades served as Executive Vice President and Head of Consumer Businesses for three of the nation’s largest banks, which today form the backbone of Chase and Wells Fargo’s retail franchises in California.</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right="240" w:hanging="317"/>
        <w:spacing w:after="0" w:line="246" w:lineRule="auto"/>
        <w:tabs>
          <w:tab w:leader="none" w:pos="744" w:val="left"/>
        </w:tabs>
        <w:numPr>
          <w:ilvl w:val="0"/>
          <w:numId w:val="42"/>
        </w:numPr>
        <w:rPr>
          <w:rFonts w:ascii="Arial" w:cs="Arial" w:eastAsia="Arial" w:hAnsi="Arial"/>
          <w:sz w:val="18"/>
          <w:szCs w:val="18"/>
          <w:color w:val="0093FF"/>
        </w:rPr>
      </w:pPr>
      <w:r>
        <w:rPr>
          <w:rFonts w:ascii="Arial" w:cs="Arial" w:eastAsia="Arial" w:hAnsi="Arial"/>
          <w:sz w:val="18"/>
          <w:szCs w:val="18"/>
          <w:color w:val="auto"/>
        </w:rPr>
        <w:t>Director and member of the compensation committee and risk management committee, Pacific Premier Bancorp (Nasdaq: PPBI) (2019 – present)</w:t>
      </w:r>
    </w:p>
    <w:p>
      <w:pPr>
        <w:spacing w:after="0" w:line="183" w:lineRule="exact"/>
        <w:rPr>
          <w:rFonts w:ascii="Arial" w:cs="Arial" w:eastAsia="Arial" w:hAnsi="Arial"/>
          <w:sz w:val="18"/>
          <w:szCs w:val="18"/>
          <w:color w:val="0093FF"/>
        </w:rPr>
      </w:pPr>
    </w:p>
    <w:p>
      <w:pPr>
        <w:ind w:left="760" w:right="160" w:hanging="317"/>
        <w:spacing w:after="0" w:line="246" w:lineRule="auto"/>
        <w:tabs>
          <w:tab w:leader="none" w:pos="744" w:val="left"/>
        </w:tabs>
        <w:numPr>
          <w:ilvl w:val="0"/>
          <w:numId w:val="42"/>
        </w:numPr>
        <w:rPr>
          <w:rFonts w:ascii="Arial" w:cs="Arial" w:eastAsia="Arial" w:hAnsi="Arial"/>
          <w:sz w:val="18"/>
          <w:szCs w:val="18"/>
          <w:color w:val="0093FF"/>
        </w:rPr>
      </w:pPr>
      <w:r>
        <w:rPr>
          <w:rFonts w:ascii="Arial" w:cs="Arial" w:eastAsia="Arial" w:hAnsi="Arial"/>
          <w:sz w:val="18"/>
          <w:szCs w:val="18"/>
          <w:color w:val="auto"/>
        </w:rPr>
        <w:t>Director and member of the compensation committee and nomination and governance committee, CoreLogic, Inc. (NYSE: CLGX) (2012 – present)</w:t>
      </w:r>
    </w:p>
    <w:p>
      <w:pPr>
        <w:spacing w:after="0" w:line="183" w:lineRule="exact"/>
        <w:rPr>
          <w:rFonts w:ascii="Arial" w:cs="Arial" w:eastAsia="Arial" w:hAnsi="Arial"/>
          <w:sz w:val="18"/>
          <w:szCs w:val="18"/>
          <w:color w:val="0093FF"/>
        </w:rPr>
      </w:pPr>
    </w:p>
    <w:p>
      <w:pPr>
        <w:ind w:left="760" w:right="480" w:hanging="317"/>
        <w:spacing w:after="0" w:line="246" w:lineRule="auto"/>
        <w:tabs>
          <w:tab w:leader="none" w:pos="744" w:val="left"/>
        </w:tabs>
        <w:numPr>
          <w:ilvl w:val="0"/>
          <w:numId w:val="42"/>
        </w:numPr>
        <w:rPr>
          <w:rFonts w:ascii="Arial" w:cs="Arial" w:eastAsia="Arial" w:hAnsi="Arial"/>
          <w:sz w:val="18"/>
          <w:szCs w:val="18"/>
          <w:color w:val="0093FF"/>
        </w:rPr>
      </w:pPr>
      <w:r>
        <w:rPr>
          <w:rFonts w:ascii="Arial" w:cs="Arial" w:eastAsia="Arial" w:hAnsi="Arial"/>
          <w:sz w:val="18"/>
          <w:szCs w:val="18"/>
          <w:color w:val="auto"/>
        </w:rPr>
        <w:t>Director and member of the contracts committee, audit committee and nomination and governance committee, Western Asset Management (2004 – present), a major fixed income fund, and director of affiliated funds for Western Asset Management</w:t>
      </w:r>
    </w:p>
    <w:p>
      <w:pPr>
        <w:spacing w:after="0" w:line="183" w:lineRule="exact"/>
        <w:rPr>
          <w:rFonts w:ascii="Arial" w:cs="Arial" w:eastAsia="Arial" w:hAnsi="Arial"/>
          <w:sz w:val="18"/>
          <w:szCs w:val="18"/>
          <w:color w:val="0093FF"/>
        </w:rPr>
      </w:pPr>
    </w:p>
    <w:p>
      <w:pPr>
        <w:ind w:left="760" w:right="300" w:hanging="317"/>
        <w:spacing w:after="0" w:line="246" w:lineRule="auto"/>
        <w:tabs>
          <w:tab w:leader="none" w:pos="744" w:val="left"/>
        </w:tabs>
        <w:numPr>
          <w:ilvl w:val="0"/>
          <w:numId w:val="42"/>
        </w:numPr>
        <w:rPr>
          <w:rFonts w:ascii="Arial" w:cs="Arial" w:eastAsia="Arial" w:hAnsi="Arial"/>
          <w:sz w:val="18"/>
          <w:szCs w:val="18"/>
          <w:color w:val="0093FF"/>
        </w:rPr>
      </w:pPr>
      <w:r>
        <w:rPr>
          <w:rFonts w:ascii="Arial" w:cs="Arial" w:eastAsia="Arial" w:hAnsi="Arial"/>
          <w:sz w:val="18"/>
          <w:szCs w:val="18"/>
          <w:color w:val="auto"/>
        </w:rPr>
        <w:t>Director, compensation committee chair and member of the compliance committee, Pinnacle Entertainment (Nasdaq: PNK) until its acquisition in 2018 (2012 – 2018)</w:t>
      </w:r>
    </w:p>
    <w:p>
      <w:pPr>
        <w:spacing w:after="0" w:line="183" w:lineRule="exact"/>
        <w:rPr>
          <w:rFonts w:ascii="Arial" w:cs="Arial" w:eastAsia="Arial" w:hAnsi="Arial"/>
          <w:sz w:val="18"/>
          <w:szCs w:val="18"/>
          <w:color w:val="0093FF"/>
        </w:rPr>
      </w:pPr>
    </w:p>
    <w:p>
      <w:pPr>
        <w:ind w:left="760" w:right="180" w:hanging="317"/>
        <w:spacing w:after="0" w:line="246" w:lineRule="auto"/>
        <w:tabs>
          <w:tab w:leader="none" w:pos="744" w:val="left"/>
        </w:tabs>
        <w:numPr>
          <w:ilvl w:val="0"/>
          <w:numId w:val="42"/>
        </w:numPr>
        <w:rPr>
          <w:rFonts w:ascii="Arial" w:cs="Arial" w:eastAsia="Arial" w:hAnsi="Arial"/>
          <w:sz w:val="18"/>
          <w:szCs w:val="18"/>
          <w:color w:val="0093FF"/>
        </w:rPr>
      </w:pPr>
      <w:r>
        <w:rPr>
          <w:rFonts w:ascii="Arial" w:cs="Arial" w:eastAsia="Arial" w:hAnsi="Arial"/>
          <w:sz w:val="18"/>
          <w:szCs w:val="18"/>
          <w:color w:val="auto"/>
        </w:rPr>
        <w:t>Director, compensation committee chair and member of the audit committee, Lifelock (Nasdaq: LOCK) until its acquisition in 2017 (2015-2017)</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20" w:lineRule="exact"/>
        <w:rPr>
          <w:sz w:val="20"/>
          <w:szCs w:val="20"/>
          <w:color w:val="auto"/>
        </w:rPr>
      </w:pPr>
    </w:p>
    <w:p>
      <w:pPr>
        <w:ind w:left="760" w:hanging="317"/>
        <w:spacing w:after="0"/>
        <w:tabs>
          <w:tab w:leader="none" w:pos="760" w:val="left"/>
        </w:tabs>
        <w:numPr>
          <w:ilvl w:val="0"/>
          <w:numId w:val="43"/>
        </w:numPr>
        <w:rPr>
          <w:rFonts w:ascii="Arial" w:cs="Arial" w:eastAsia="Arial" w:hAnsi="Arial"/>
          <w:sz w:val="18"/>
          <w:szCs w:val="18"/>
          <w:color w:val="0093FF"/>
        </w:rPr>
      </w:pPr>
      <w:r>
        <w:rPr>
          <w:rFonts w:ascii="Arial" w:cs="Arial" w:eastAsia="Arial" w:hAnsi="Arial"/>
          <w:sz w:val="18"/>
          <w:szCs w:val="18"/>
          <w:color w:val="auto"/>
        </w:rPr>
        <w:t>Board Leadership Fellow, National Association of Corporate Directors</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43"/>
        </w:numPr>
        <w:rPr>
          <w:rFonts w:ascii="Arial" w:cs="Arial" w:eastAsia="Arial" w:hAnsi="Arial"/>
          <w:sz w:val="18"/>
          <w:szCs w:val="18"/>
          <w:color w:val="0093FF"/>
        </w:rPr>
      </w:pPr>
      <w:r>
        <w:rPr>
          <w:rFonts w:ascii="Arial" w:cs="Arial" w:eastAsia="Arial" w:hAnsi="Arial"/>
          <w:sz w:val="18"/>
          <w:szCs w:val="18"/>
          <w:color w:val="auto"/>
        </w:rPr>
        <w:t>Life trustee and board chair, Huntington Hospital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262626"/>
        </w:rPr>
        <w:t>*Audit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60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1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93FF"/>
        </w:rPr>
        <w:t>Class III Directors (Terms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69519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695198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449"/>
        </w:trPr>
        <w:tc>
          <w:tcPr>
            <w:tcW w:w="282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Deborah Kerr</w:t>
            </w:r>
          </w:p>
        </w:tc>
        <w:tc>
          <w:tcPr>
            <w:tcW w:w="8400" w:type="dxa"/>
            <w:vAlign w:val="bottom"/>
            <w:shd w:val="clear" w:color="auto" w:fill="0093FF"/>
          </w:tcPr>
          <w:p>
            <w:pPr>
              <w:ind w:left="554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282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January 2015</w:t>
            </w:r>
          </w:p>
        </w:tc>
        <w:tc>
          <w:tcPr>
            <w:tcW w:w="8400" w:type="dxa"/>
            <w:vAlign w:val="bottom"/>
            <w:shd w:val="clear" w:color="auto" w:fill="0093FF"/>
          </w:tcPr>
          <w:p>
            <w:pPr>
              <w:spacing w:after="0"/>
              <w:rPr>
                <w:sz w:val="24"/>
                <w:szCs w:val="24"/>
                <w:color w:val="auto"/>
              </w:rPr>
            </w:pPr>
          </w:p>
        </w:tc>
      </w:tr>
      <w:tr>
        <w:trPr>
          <w:trHeight w:val="620"/>
        </w:trPr>
        <w:tc>
          <w:tcPr>
            <w:tcW w:w="2820" w:type="dxa"/>
            <w:vAlign w:val="bottom"/>
          </w:tcPr>
          <w:p>
            <w:pPr>
              <w:spacing w:after="0"/>
              <w:rPr>
                <w:sz w:val="24"/>
                <w:szCs w:val="24"/>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Age: 48—is a proven technology leader in the software industry with more than 25 years of diverse</w:t>
            </w:r>
          </w:p>
        </w:tc>
      </w:tr>
      <w:tr>
        <w:trPr>
          <w:trHeight w:val="203"/>
        </w:trPr>
        <w:tc>
          <w:tcPr>
            <w:tcW w:w="2820" w:type="dxa"/>
            <w:vAlign w:val="bottom"/>
          </w:tcPr>
          <w:p>
            <w:pPr>
              <w:spacing w:after="0"/>
              <w:rPr>
                <w:sz w:val="17"/>
                <w:szCs w:val="17"/>
                <w:color w:val="auto"/>
              </w:rPr>
            </w:pPr>
          </w:p>
        </w:tc>
        <w:tc>
          <w:tcPr>
            <w:tcW w:w="8400" w:type="dxa"/>
            <w:vAlign w:val="bottom"/>
          </w:tcPr>
          <w:p>
            <w:pPr>
              <w:ind w:left="320"/>
              <w:spacing w:after="0" w:line="202" w:lineRule="exact"/>
              <w:rPr>
                <w:sz w:val="20"/>
                <w:szCs w:val="20"/>
                <w:color w:val="auto"/>
              </w:rPr>
            </w:pPr>
            <w:r>
              <w:rPr>
                <w:rFonts w:ascii="Arial" w:cs="Arial" w:eastAsia="Arial" w:hAnsi="Arial"/>
                <w:sz w:val="18"/>
                <w:szCs w:val="18"/>
                <w:color w:val="auto"/>
              </w:rPr>
              <w:t>management experience. Ms. Kerr’s business experience and directorships are detailed below. The</w:t>
            </w:r>
          </w:p>
        </w:tc>
      </w:tr>
      <w:tr>
        <w:trPr>
          <w:trHeight w:val="203"/>
        </w:trPr>
        <w:tc>
          <w:tcPr>
            <w:tcW w:w="2820" w:type="dxa"/>
            <w:vAlign w:val="bottom"/>
          </w:tcPr>
          <w:p>
            <w:pPr>
              <w:spacing w:after="0"/>
              <w:rPr>
                <w:sz w:val="17"/>
                <w:szCs w:val="17"/>
                <w:color w:val="auto"/>
              </w:rPr>
            </w:pPr>
          </w:p>
        </w:tc>
        <w:tc>
          <w:tcPr>
            <w:tcW w:w="8400" w:type="dxa"/>
            <w:vAlign w:val="bottom"/>
          </w:tcPr>
          <w:p>
            <w:pPr>
              <w:ind w:left="320"/>
              <w:spacing w:after="0" w:line="202" w:lineRule="exact"/>
              <w:rPr>
                <w:sz w:val="20"/>
                <w:szCs w:val="20"/>
                <w:color w:val="auto"/>
              </w:rPr>
            </w:pPr>
            <w:r>
              <w:rPr>
                <w:rFonts w:ascii="Arial" w:cs="Arial" w:eastAsia="Arial" w:hAnsi="Arial"/>
                <w:sz w:val="18"/>
                <w:szCs w:val="18"/>
                <w:color w:val="auto"/>
              </w:rPr>
              <w:t>Company has concluded, based in part on Ms. Kerr’s experience in the technology, digital,</w:t>
            </w:r>
          </w:p>
        </w:tc>
      </w:tr>
      <w:tr>
        <w:trPr>
          <w:trHeight w:val="203"/>
        </w:trPr>
        <w:tc>
          <w:tcPr>
            <w:tcW w:w="2820" w:type="dxa"/>
            <w:vAlign w:val="bottom"/>
          </w:tcPr>
          <w:p>
            <w:pPr>
              <w:spacing w:after="0"/>
              <w:rPr>
                <w:sz w:val="17"/>
                <w:szCs w:val="17"/>
                <w:color w:val="auto"/>
              </w:rPr>
            </w:pPr>
          </w:p>
        </w:tc>
        <w:tc>
          <w:tcPr>
            <w:tcW w:w="8400" w:type="dxa"/>
            <w:vAlign w:val="bottom"/>
          </w:tcPr>
          <w:p>
            <w:pPr>
              <w:ind w:left="320"/>
              <w:spacing w:after="0" w:line="202" w:lineRule="exact"/>
              <w:rPr>
                <w:sz w:val="20"/>
                <w:szCs w:val="20"/>
                <w:color w:val="auto"/>
              </w:rPr>
            </w:pPr>
            <w:r>
              <w:rPr>
                <w:rFonts w:ascii="Arial" w:cs="Arial" w:eastAsia="Arial" w:hAnsi="Arial"/>
                <w:sz w:val="18"/>
                <w:szCs w:val="18"/>
                <w:color w:val="auto"/>
              </w:rPr>
              <w:t>marketing, operations and software and services industries, and her general management</w:t>
            </w:r>
          </w:p>
        </w:tc>
      </w:tr>
      <w:tr>
        <w:trPr>
          <w:trHeight w:val="217"/>
        </w:trPr>
        <w:tc>
          <w:tcPr>
            <w:tcW w:w="28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experience, that Ms. Kerr should serve as a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44"/>
        </w:numPr>
        <w:rPr>
          <w:rFonts w:ascii="Arial" w:cs="Arial" w:eastAsia="Arial" w:hAnsi="Arial"/>
          <w:sz w:val="18"/>
          <w:szCs w:val="18"/>
          <w:color w:val="0093FF"/>
        </w:rPr>
      </w:pPr>
      <w:r>
        <w:rPr>
          <w:rFonts w:ascii="Arial" w:cs="Arial" w:eastAsia="Arial" w:hAnsi="Arial"/>
          <w:sz w:val="18"/>
          <w:szCs w:val="18"/>
          <w:color w:val="auto"/>
        </w:rPr>
        <w:t>Compensation, Nominating and Governance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hanging="317"/>
        <w:spacing w:after="0"/>
        <w:tabs>
          <w:tab w:leader="none" w:pos="760" w:val="left"/>
        </w:tabs>
        <w:numPr>
          <w:ilvl w:val="0"/>
          <w:numId w:val="45"/>
        </w:numPr>
        <w:rPr>
          <w:rFonts w:ascii="Arial" w:cs="Arial" w:eastAsia="Arial" w:hAnsi="Arial"/>
          <w:sz w:val="18"/>
          <w:szCs w:val="18"/>
          <w:color w:val="0093FF"/>
        </w:rPr>
      </w:pPr>
      <w:r>
        <w:rPr>
          <w:rFonts w:ascii="Arial" w:cs="Arial" w:eastAsia="Arial" w:hAnsi="Arial"/>
          <w:sz w:val="18"/>
          <w:szCs w:val="18"/>
          <w:color w:val="auto"/>
        </w:rPr>
        <w:t>Managing Director, Warburg Pincus, a private equity firm (2019 – present) and previously Senior Advisor (2017-2019)</w:t>
      </w:r>
    </w:p>
    <w:p>
      <w:pPr>
        <w:spacing w:after="0" w:line="184" w:lineRule="exact"/>
        <w:rPr>
          <w:rFonts w:ascii="Arial" w:cs="Arial" w:eastAsia="Arial" w:hAnsi="Arial"/>
          <w:sz w:val="18"/>
          <w:szCs w:val="18"/>
          <w:color w:val="0093FF"/>
        </w:rPr>
      </w:pPr>
    </w:p>
    <w:p>
      <w:pPr>
        <w:ind w:left="760" w:right="380" w:hanging="317"/>
        <w:spacing w:after="0" w:line="246" w:lineRule="auto"/>
        <w:tabs>
          <w:tab w:leader="none" w:pos="744" w:val="left"/>
        </w:tabs>
        <w:numPr>
          <w:ilvl w:val="0"/>
          <w:numId w:val="45"/>
        </w:numPr>
        <w:rPr>
          <w:rFonts w:ascii="Arial" w:cs="Arial" w:eastAsia="Arial" w:hAnsi="Arial"/>
          <w:sz w:val="18"/>
          <w:szCs w:val="18"/>
          <w:color w:val="0093FF"/>
        </w:rPr>
      </w:pPr>
      <w:r>
        <w:rPr>
          <w:rFonts w:ascii="Arial" w:cs="Arial" w:eastAsia="Arial" w:hAnsi="Arial"/>
          <w:sz w:val="18"/>
          <w:szCs w:val="18"/>
          <w:color w:val="auto"/>
        </w:rPr>
        <w:t>Executive Vice President and Chief Product and Technology Officer, Sabre Corporation (NASDAQ: SABR), a global technology company (2013 – 2017)</w:t>
      </w:r>
    </w:p>
    <w:p>
      <w:pPr>
        <w:spacing w:after="0" w:line="169" w:lineRule="exact"/>
        <w:rPr>
          <w:rFonts w:ascii="Arial" w:cs="Arial" w:eastAsia="Arial" w:hAnsi="Arial"/>
          <w:sz w:val="18"/>
          <w:szCs w:val="18"/>
          <w:color w:val="0093FF"/>
        </w:rPr>
      </w:pPr>
    </w:p>
    <w:p>
      <w:pPr>
        <w:ind w:left="760" w:right="380" w:hanging="317"/>
        <w:spacing w:after="0" w:line="246" w:lineRule="auto"/>
        <w:tabs>
          <w:tab w:leader="none" w:pos="744" w:val="left"/>
        </w:tabs>
        <w:numPr>
          <w:ilvl w:val="0"/>
          <w:numId w:val="45"/>
        </w:numPr>
        <w:rPr>
          <w:rFonts w:ascii="Arial" w:cs="Arial" w:eastAsia="Arial" w:hAnsi="Arial"/>
          <w:sz w:val="18"/>
          <w:szCs w:val="18"/>
          <w:color w:val="0093FF"/>
        </w:rPr>
      </w:pPr>
      <w:r>
        <w:rPr>
          <w:rFonts w:ascii="Arial" w:cs="Arial" w:eastAsia="Arial" w:hAnsi="Arial"/>
          <w:sz w:val="18"/>
          <w:szCs w:val="18"/>
          <w:color w:val="auto"/>
        </w:rPr>
        <w:t>Executive Vice President, Chief Product and Technology Officer, Fair Isaac Corporation (FICO), an analytics software company (2009 – 2012)</w:t>
      </w:r>
    </w:p>
    <w:p>
      <w:pPr>
        <w:spacing w:after="0" w:line="169" w:lineRule="exact"/>
        <w:rPr>
          <w:rFonts w:ascii="Arial" w:cs="Arial" w:eastAsia="Arial" w:hAnsi="Arial"/>
          <w:sz w:val="18"/>
          <w:szCs w:val="18"/>
          <w:color w:val="0093FF"/>
        </w:rPr>
      </w:pPr>
    </w:p>
    <w:p>
      <w:pPr>
        <w:ind w:left="800" w:hanging="357"/>
        <w:spacing w:after="0"/>
        <w:tabs>
          <w:tab w:leader="none" w:pos="800" w:val="left"/>
        </w:tabs>
        <w:numPr>
          <w:ilvl w:val="0"/>
          <w:numId w:val="45"/>
        </w:numPr>
        <w:rPr>
          <w:rFonts w:ascii="Arial" w:cs="Arial" w:eastAsia="Arial" w:hAnsi="Arial"/>
          <w:sz w:val="18"/>
          <w:szCs w:val="18"/>
          <w:color w:val="0093FF"/>
        </w:rPr>
      </w:pPr>
      <w:r>
        <w:rPr>
          <w:rFonts w:ascii="Arial" w:cs="Arial" w:eastAsia="Arial" w:hAnsi="Arial"/>
          <w:sz w:val="18"/>
          <w:szCs w:val="18"/>
          <w:color w:val="auto"/>
        </w:rPr>
        <w:t>Prior senior leadership roles with Hewlett Packard, Peregrine Systems and NASA’s Jet Propulsion Laboratory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hanging="317"/>
        <w:spacing w:after="0"/>
        <w:tabs>
          <w:tab w:leader="none" w:pos="760" w:val="left"/>
        </w:tabs>
        <w:numPr>
          <w:ilvl w:val="0"/>
          <w:numId w:val="46"/>
        </w:numPr>
        <w:rPr>
          <w:rFonts w:ascii="Arial" w:cs="Arial" w:eastAsia="Arial" w:hAnsi="Arial"/>
          <w:sz w:val="18"/>
          <w:szCs w:val="18"/>
          <w:color w:val="0093FF"/>
        </w:rPr>
      </w:pPr>
      <w:r>
        <w:rPr>
          <w:rFonts w:ascii="Arial" w:cs="Arial" w:eastAsia="Arial" w:hAnsi="Arial"/>
          <w:sz w:val="18"/>
          <w:szCs w:val="18"/>
          <w:color w:val="auto"/>
        </w:rPr>
        <w:t>Director and member of the audit committee, International Airlines Group (BMAD: IAG, LSE: IAG) (2018 – present)</w:t>
      </w:r>
    </w:p>
    <w:p>
      <w:pPr>
        <w:spacing w:after="0" w:line="184" w:lineRule="exact"/>
        <w:rPr>
          <w:rFonts w:ascii="Arial" w:cs="Arial" w:eastAsia="Arial" w:hAnsi="Arial"/>
          <w:sz w:val="18"/>
          <w:szCs w:val="18"/>
          <w:color w:val="0093FF"/>
        </w:rPr>
      </w:pPr>
    </w:p>
    <w:p>
      <w:pPr>
        <w:ind w:left="760" w:right="640" w:hanging="317"/>
        <w:spacing w:after="0" w:line="246" w:lineRule="auto"/>
        <w:tabs>
          <w:tab w:leader="none" w:pos="744" w:val="left"/>
        </w:tabs>
        <w:numPr>
          <w:ilvl w:val="0"/>
          <w:numId w:val="46"/>
        </w:numPr>
        <w:rPr>
          <w:rFonts w:ascii="Arial" w:cs="Arial" w:eastAsia="Arial" w:hAnsi="Arial"/>
          <w:sz w:val="18"/>
          <w:szCs w:val="18"/>
          <w:color w:val="0093FF"/>
        </w:rPr>
      </w:pPr>
      <w:r>
        <w:rPr>
          <w:rFonts w:ascii="Arial" w:cs="Arial" w:eastAsia="Arial" w:hAnsi="Arial"/>
          <w:sz w:val="18"/>
          <w:szCs w:val="18"/>
          <w:color w:val="auto"/>
        </w:rPr>
        <w:t>Director and member of the audit committee, NetApp (NASDAQ: NTAP), a hybrid cloud and data services company (2017 – present)</w:t>
      </w:r>
    </w:p>
    <w:p>
      <w:pPr>
        <w:spacing w:after="0" w:line="169" w:lineRule="exact"/>
        <w:rPr>
          <w:rFonts w:ascii="Arial" w:cs="Arial" w:eastAsia="Arial" w:hAnsi="Arial"/>
          <w:sz w:val="18"/>
          <w:szCs w:val="18"/>
          <w:color w:val="0093FF"/>
        </w:rPr>
      </w:pPr>
    </w:p>
    <w:p>
      <w:pPr>
        <w:ind w:left="760" w:right="500" w:hanging="317"/>
        <w:spacing w:after="0" w:line="246" w:lineRule="auto"/>
        <w:tabs>
          <w:tab w:leader="none" w:pos="744" w:val="left"/>
        </w:tabs>
        <w:numPr>
          <w:ilvl w:val="0"/>
          <w:numId w:val="46"/>
        </w:numPr>
        <w:rPr>
          <w:rFonts w:ascii="Arial" w:cs="Arial" w:eastAsia="Arial" w:hAnsi="Arial"/>
          <w:sz w:val="18"/>
          <w:szCs w:val="18"/>
          <w:color w:val="0093FF"/>
        </w:rPr>
      </w:pPr>
      <w:r>
        <w:rPr>
          <w:rFonts w:ascii="Arial" w:cs="Arial" w:eastAsia="Arial" w:hAnsi="Arial"/>
          <w:sz w:val="18"/>
          <w:szCs w:val="18"/>
          <w:color w:val="auto"/>
        </w:rPr>
        <w:t>Director and member of the human resources, compensation and benefits committee, Chico’s FAS, Inc., a specialty retailer of women’s apparel (NYSE: CHS) (2017 – present)</w:t>
      </w:r>
    </w:p>
    <w:p>
      <w:pPr>
        <w:spacing w:after="0" w:line="169" w:lineRule="exact"/>
        <w:rPr>
          <w:rFonts w:ascii="Arial" w:cs="Arial" w:eastAsia="Arial" w:hAnsi="Arial"/>
          <w:sz w:val="18"/>
          <w:szCs w:val="18"/>
          <w:color w:val="0093FF"/>
        </w:rPr>
      </w:pPr>
    </w:p>
    <w:p>
      <w:pPr>
        <w:ind w:left="760" w:hanging="317"/>
        <w:spacing w:after="0"/>
        <w:tabs>
          <w:tab w:leader="none" w:pos="760" w:val="left"/>
        </w:tabs>
        <w:numPr>
          <w:ilvl w:val="0"/>
          <w:numId w:val="46"/>
        </w:numPr>
        <w:rPr>
          <w:rFonts w:ascii="Arial" w:cs="Arial" w:eastAsia="Arial" w:hAnsi="Arial"/>
          <w:sz w:val="18"/>
          <w:szCs w:val="18"/>
          <w:color w:val="0093FF"/>
        </w:rPr>
      </w:pPr>
      <w:r>
        <w:rPr>
          <w:rFonts w:ascii="Arial" w:cs="Arial" w:eastAsia="Arial" w:hAnsi="Arial"/>
          <w:sz w:val="18"/>
          <w:szCs w:val="18"/>
          <w:color w:val="auto"/>
        </w:rPr>
        <w:t>Director, D+H Corporation (TSX: DH), a provider of technology solutions and products to the financial industry (2013 – 2017)</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left="760" w:hanging="317"/>
        <w:spacing w:after="0"/>
        <w:tabs>
          <w:tab w:leader="none" w:pos="760" w:val="left"/>
        </w:tabs>
        <w:numPr>
          <w:ilvl w:val="0"/>
          <w:numId w:val="47"/>
        </w:numPr>
        <w:rPr>
          <w:rFonts w:ascii="Arial" w:cs="Arial" w:eastAsia="Arial" w:hAnsi="Arial"/>
          <w:sz w:val="18"/>
          <w:szCs w:val="18"/>
          <w:color w:val="0093FF"/>
        </w:rPr>
      </w:pPr>
      <w:r>
        <w:rPr>
          <w:rFonts w:ascii="Arial" w:cs="Arial" w:eastAsia="Arial" w:hAnsi="Arial"/>
          <w:sz w:val="18"/>
          <w:szCs w:val="18"/>
          <w:color w:val="auto"/>
        </w:rPr>
        <w:t>Director and chair of the audit committee, defi Solutions, Inc. (2019 – present)</w:t>
      </w:r>
    </w:p>
    <w:p>
      <w:pPr>
        <w:spacing w:after="0" w:line="184" w:lineRule="exact"/>
        <w:rPr>
          <w:rFonts w:ascii="Arial" w:cs="Arial" w:eastAsia="Arial" w:hAnsi="Arial"/>
          <w:sz w:val="18"/>
          <w:szCs w:val="18"/>
          <w:color w:val="0093FF"/>
        </w:rPr>
      </w:pPr>
    </w:p>
    <w:p>
      <w:pPr>
        <w:ind w:left="760" w:right="320" w:hanging="317"/>
        <w:spacing w:after="0" w:line="246" w:lineRule="auto"/>
        <w:tabs>
          <w:tab w:leader="none" w:pos="744" w:val="left"/>
        </w:tabs>
        <w:numPr>
          <w:ilvl w:val="0"/>
          <w:numId w:val="47"/>
        </w:numPr>
        <w:rPr>
          <w:rFonts w:ascii="Arial" w:cs="Arial" w:eastAsia="Arial" w:hAnsi="Arial"/>
          <w:sz w:val="18"/>
          <w:szCs w:val="18"/>
          <w:color w:val="0093FF"/>
        </w:rPr>
      </w:pPr>
      <w:r>
        <w:rPr>
          <w:rFonts w:ascii="Arial" w:cs="Arial" w:eastAsia="Arial" w:hAnsi="Arial"/>
          <w:sz w:val="18"/>
          <w:szCs w:val="18"/>
          <w:color w:val="auto"/>
        </w:rPr>
        <w:t>Director and chair of the technology committee, Mitchell International Inc., a provider of technology solutions and services to the property and casualty industry (2010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right"/>
        <w:ind w:right="180"/>
        <w:spacing w:after="0"/>
        <w:tabs>
          <w:tab w:leader="none" w:pos="32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tabs>
          <w:tab w:leader="none" w:pos="8220" w:val="left"/>
        </w:tabs>
        <w:rPr>
          <w:sz w:val="20"/>
          <w:szCs w:val="20"/>
          <w:color w:val="auto"/>
        </w:rPr>
      </w:pPr>
      <w:r>
        <w:rPr>
          <w:rFonts w:ascii="Arial" w:cs="Arial" w:eastAsia="Arial" w:hAnsi="Arial"/>
          <w:sz w:val="32"/>
          <w:szCs w:val="32"/>
          <w:b w:val="1"/>
          <w:bCs w:val="1"/>
          <w:color w:val="FFFFFF"/>
        </w:rPr>
        <w:t>Vikram S. Pandit</w:t>
      </w:r>
      <w:r>
        <w:rPr>
          <w:sz w:val="20"/>
          <w:szCs w:val="20"/>
          <w:color w:val="auto"/>
        </w:rPr>
        <w:tab/>
      </w:r>
      <w:r>
        <w:rPr>
          <w:rFonts w:ascii="Arial" w:cs="Arial" w:eastAsia="Arial" w:hAnsi="Arial"/>
          <w:sz w:val="32"/>
          <w:szCs w:val="32"/>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-218440</wp:posOffset>
            </wp:positionV>
            <wp:extent cx="7132320" cy="6746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674624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 since October 2018</w:t>
      </w:r>
    </w:p>
    <w:p>
      <w:pPr>
        <w:spacing w:after="0" w:line="234" w:lineRule="exact"/>
        <w:rPr>
          <w:sz w:val="20"/>
          <w:szCs w:val="20"/>
          <w:color w:val="auto"/>
        </w:rPr>
      </w:pPr>
    </w:p>
    <w:p>
      <w:pPr>
        <w:ind w:left="3020" w:right="20"/>
        <w:spacing w:after="0" w:line="236" w:lineRule="auto"/>
        <w:rPr>
          <w:sz w:val="20"/>
          <w:szCs w:val="20"/>
          <w:color w:val="auto"/>
        </w:rPr>
      </w:pPr>
      <w:r>
        <w:rPr>
          <w:rFonts w:ascii="Arial" w:cs="Arial" w:eastAsia="Arial" w:hAnsi="Arial"/>
          <w:sz w:val="18"/>
          <w:szCs w:val="18"/>
          <w:color w:val="auto"/>
        </w:rPr>
        <w:t>Age: 63—is Chairman and Chief Executive Officer of the Orogen Group, which makes significant long-term strategic investments in financial services companies and related businesses. Mr. Pandit’s business experience and directorships are detailed below. Mr. Pandit was appointed to the Board pursuant to the terms of an Investment Agreement, dated as of October 1, 2018, between the Company and Orogen Echo LLC, an affiliate of The Orogen Group LLC. The Company has concluded, based in part on Mr. Pandit’s more than 30 years of experience in the financial services industry, including his experience as Chief Executive Officer and a member of the board of directors of Citigroup Inc. (NYSE: C), that Mr. Pandit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ind w:left="640" w:hanging="317"/>
        <w:spacing w:after="0"/>
        <w:tabs>
          <w:tab w:leader="none" w:pos="640" w:val="left"/>
        </w:tabs>
        <w:numPr>
          <w:ilvl w:val="0"/>
          <w:numId w:val="48"/>
        </w:numPr>
        <w:rPr>
          <w:rFonts w:ascii="Arial" w:cs="Arial" w:eastAsia="Arial" w:hAnsi="Arial"/>
          <w:sz w:val="18"/>
          <w:szCs w:val="18"/>
          <w:color w:val="0093FF"/>
        </w:rPr>
      </w:pPr>
      <w:r>
        <w:rPr>
          <w:rFonts w:ascii="Arial" w:cs="Arial" w:eastAsia="Arial" w:hAnsi="Arial"/>
          <w:sz w:val="18"/>
          <w:szCs w:val="18"/>
          <w:color w:val="auto"/>
        </w:rPr>
        <w:t>Audit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w:t>
      </w:r>
    </w:p>
    <w:p>
      <w:pPr>
        <w:spacing w:after="0" w:line="207" w:lineRule="exact"/>
        <w:rPr>
          <w:sz w:val="20"/>
          <w:szCs w:val="20"/>
          <w:color w:val="auto"/>
        </w:rPr>
      </w:pPr>
    </w:p>
    <w:p>
      <w:pPr>
        <w:ind w:left="640" w:hanging="317"/>
        <w:spacing w:after="0"/>
        <w:tabs>
          <w:tab w:leader="none" w:pos="640" w:val="left"/>
        </w:tabs>
        <w:numPr>
          <w:ilvl w:val="0"/>
          <w:numId w:val="49"/>
        </w:numPr>
        <w:rPr>
          <w:rFonts w:ascii="Arial" w:cs="Arial" w:eastAsia="Arial" w:hAnsi="Arial"/>
          <w:sz w:val="18"/>
          <w:szCs w:val="18"/>
          <w:color w:val="0093FF"/>
        </w:rPr>
      </w:pPr>
      <w:r>
        <w:rPr>
          <w:rFonts w:ascii="Arial" w:cs="Arial" w:eastAsia="Arial" w:hAnsi="Arial"/>
          <w:sz w:val="18"/>
          <w:szCs w:val="18"/>
          <w:color w:val="auto"/>
        </w:rPr>
        <w:t>Chairman and Chief Executive Officer, The Orogen Group (July 2016 – present)</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49"/>
        </w:numPr>
        <w:rPr>
          <w:rFonts w:ascii="Arial" w:cs="Arial" w:eastAsia="Arial" w:hAnsi="Arial"/>
          <w:sz w:val="18"/>
          <w:szCs w:val="18"/>
          <w:color w:val="0093FF"/>
        </w:rPr>
      </w:pPr>
      <w:r>
        <w:rPr>
          <w:rFonts w:ascii="Arial" w:cs="Arial" w:eastAsia="Arial" w:hAnsi="Arial"/>
          <w:sz w:val="18"/>
          <w:szCs w:val="18"/>
          <w:color w:val="auto"/>
        </w:rPr>
        <w:t>Chairman, TGG Group (February 2014 – June 2016)</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49"/>
        </w:numPr>
        <w:rPr>
          <w:rFonts w:ascii="Arial" w:cs="Arial" w:eastAsia="Arial" w:hAnsi="Arial"/>
          <w:sz w:val="18"/>
          <w:szCs w:val="18"/>
          <w:color w:val="0093FF"/>
        </w:rPr>
      </w:pPr>
      <w:r>
        <w:rPr>
          <w:rFonts w:ascii="Arial" w:cs="Arial" w:eastAsia="Arial" w:hAnsi="Arial"/>
          <w:sz w:val="18"/>
          <w:szCs w:val="18"/>
          <w:color w:val="auto"/>
        </w:rPr>
        <w:t>Chief Executive Officer, Citigroup Inc. (December 2007 – October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07" w:lineRule="exact"/>
        <w:rPr>
          <w:sz w:val="20"/>
          <w:szCs w:val="20"/>
          <w:color w:val="auto"/>
        </w:rPr>
      </w:pPr>
    </w:p>
    <w:p>
      <w:pPr>
        <w:ind w:left="640" w:right="140" w:hanging="317"/>
        <w:spacing w:after="0" w:line="246" w:lineRule="auto"/>
        <w:tabs>
          <w:tab w:leader="none" w:pos="624" w:val="left"/>
        </w:tabs>
        <w:numPr>
          <w:ilvl w:val="0"/>
          <w:numId w:val="50"/>
        </w:numPr>
        <w:rPr>
          <w:rFonts w:ascii="Arial" w:cs="Arial" w:eastAsia="Arial" w:hAnsi="Arial"/>
          <w:sz w:val="18"/>
          <w:szCs w:val="18"/>
          <w:color w:val="0093FF"/>
        </w:rPr>
      </w:pPr>
      <w:r>
        <w:rPr>
          <w:rFonts w:ascii="Arial" w:cs="Arial" w:eastAsia="Arial" w:hAnsi="Arial"/>
          <w:sz w:val="18"/>
          <w:szCs w:val="18"/>
          <w:color w:val="auto"/>
        </w:rPr>
        <w:t>Director and member of the nominating and governance and finance committees, Virtusa Corporation (NASDAQ: VRTU) (2017 – present)</w:t>
      </w:r>
    </w:p>
    <w:p>
      <w:pPr>
        <w:spacing w:after="0" w:line="169" w:lineRule="exact"/>
        <w:rPr>
          <w:rFonts w:ascii="Arial" w:cs="Arial" w:eastAsia="Arial" w:hAnsi="Arial"/>
          <w:sz w:val="18"/>
          <w:szCs w:val="18"/>
          <w:color w:val="0093FF"/>
        </w:rPr>
      </w:pPr>
    </w:p>
    <w:p>
      <w:pPr>
        <w:ind w:left="640" w:right="280" w:hanging="317"/>
        <w:spacing w:after="0" w:line="246" w:lineRule="auto"/>
        <w:tabs>
          <w:tab w:leader="none" w:pos="624" w:val="left"/>
        </w:tabs>
        <w:numPr>
          <w:ilvl w:val="0"/>
          <w:numId w:val="50"/>
        </w:numPr>
        <w:rPr>
          <w:rFonts w:ascii="Arial" w:cs="Arial" w:eastAsia="Arial" w:hAnsi="Arial"/>
          <w:sz w:val="18"/>
          <w:szCs w:val="18"/>
          <w:color w:val="0093FF"/>
        </w:rPr>
      </w:pPr>
      <w:r>
        <w:rPr>
          <w:rFonts w:ascii="Arial" w:cs="Arial" w:eastAsia="Arial" w:hAnsi="Arial"/>
          <w:sz w:val="18"/>
          <w:szCs w:val="18"/>
          <w:color w:val="auto"/>
        </w:rPr>
        <w:t>Director, chair of the human resources and compensation committee and member of the corporate governance and nominating and audit committees, Bombardier Inc. (TSX: BBD) (2014 – present)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Relevant Experience</w:t>
      </w:r>
    </w:p>
    <w:p>
      <w:pPr>
        <w:spacing w:after="0" w:line="207" w:lineRule="exact"/>
        <w:rPr>
          <w:sz w:val="20"/>
          <w:szCs w:val="20"/>
          <w:color w:val="auto"/>
        </w:rPr>
      </w:pPr>
    </w:p>
    <w:p>
      <w:pPr>
        <w:ind w:left="640" w:hanging="317"/>
        <w:spacing w:after="0"/>
        <w:tabs>
          <w:tab w:leader="none" w:pos="640" w:val="left"/>
        </w:tabs>
        <w:numPr>
          <w:ilvl w:val="0"/>
          <w:numId w:val="51"/>
        </w:numPr>
        <w:rPr>
          <w:rFonts w:ascii="Arial" w:cs="Arial" w:eastAsia="Arial" w:hAnsi="Arial"/>
          <w:sz w:val="18"/>
          <w:szCs w:val="18"/>
          <w:color w:val="0093FF"/>
        </w:rPr>
      </w:pPr>
      <w:r>
        <w:rPr>
          <w:rFonts w:ascii="Arial" w:cs="Arial" w:eastAsia="Arial" w:hAnsi="Arial"/>
          <w:sz w:val="18"/>
          <w:szCs w:val="18"/>
          <w:color w:val="auto"/>
        </w:rPr>
        <w:t>Director, Citigroup Inc. (December 2007 – October 2012)</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51"/>
        </w:numPr>
        <w:rPr>
          <w:rFonts w:ascii="Arial" w:cs="Arial" w:eastAsia="Arial" w:hAnsi="Arial"/>
          <w:sz w:val="18"/>
          <w:szCs w:val="18"/>
          <w:color w:val="0093FF"/>
        </w:rPr>
      </w:pPr>
      <w:r>
        <w:rPr>
          <w:rFonts w:ascii="Arial" w:cs="Arial" w:eastAsia="Arial" w:hAnsi="Arial"/>
          <w:sz w:val="18"/>
          <w:szCs w:val="18"/>
          <w:color w:val="auto"/>
        </w:rPr>
        <w:t>Chairman, Fair Square Financial Holdings (2017 – present)</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51"/>
        </w:numPr>
        <w:rPr>
          <w:rFonts w:ascii="Arial" w:cs="Arial" w:eastAsia="Arial" w:hAnsi="Arial"/>
          <w:sz w:val="18"/>
          <w:szCs w:val="18"/>
          <w:color w:val="0093FF"/>
        </w:rPr>
      </w:pPr>
      <w:r>
        <w:rPr>
          <w:rFonts w:ascii="Arial" w:cs="Arial" w:eastAsia="Arial" w:hAnsi="Arial"/>
          <w:sz w:val="18"/>
          <w:szCs w:val="18"/>
          <w:color w:val="auto"/>
        </w:rPr>
        <w:t>Chairman, JM Financial Credit Solutions Ltd. (2014 – present)</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51"/>
        </w:numPr>
        <w:rPr>
          <w:rFonts w:ascii="Arial" w:cs="Arial" w:eastAsia="Arial" w:hAnsi="Arial"/>
          <w:sz w:val="18"/>
          <w:szCs w:val="18"/>
          <w:color w:val="0093FF"/>
        </w:rPr>
      </w:pPr>
      <w:r>
        <w:rPr>
          <w:rFonts w:ascii="Arial" w:cs="Arial" w:eastAsia="Arial" w:hAnsi="Arial"/>
          <w:sz w:val="18"/>
          <w:szCs w:val="18"/>
          <w:color w:val="auto"/>
        </w:rPr>
        <w:t>Member of the Board of Overseers of Columbia Business School</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51"/>
        </w:numPr>
        <w:rPr>
          <w:rFonts w:ascii="Arial" w:cs="Arial" w:eastAsia="Arial" w:hAnsi="Arial"/>
          <w:sz w:val="18"/>
          <w:szCs w:val="18"/>
          <w:color w:val="0093FF"/>
        </w:rPr>
      </w:pPr>
      <w:r>
        <w:rPr>
          <w:rFonts w:ascii="Arial" w:cs="Arial" w:eastAsia="Arial" w:hAnsi="Arial"/>
          <w:sz w:val="18"/>
          <w:szCs w:val="18"/>
          <w:color w:val="auto"/>
        </w:rPr>
        <w:t>Member of the Board of Visitors of Columbia School of Engineering</w:t>
      </w:r>
    </w:p>
    <w:p>
      <w:pPr>
        <w:spacing w:after="0" w:line="184" w:lineRule="exact"/>
        <w:rPr>
          <w:rFonts w:ascii="Arial" w:cs="Arial" w:eastAsia="Arial" w:hAnsi="Arial"/>
          <w:sz w:val="18"/>
          <w:szCs w:val="18"/>
          <w:color w:val="0093FF"/>
        </w:rPr>
      </w:pPr>
    </w:p>
    <w:p>
      <w:pPr>
        <w:ind w:left="640" w:hanging="317"/>
        <w:spacing w:after="0"/>
        <w:tabs>
          <w:tab w:leader="none" w:pos="640" w:val="left"/>
        </w:tabs>
        <w:numPr>
          <w:ilvl w:val="0"/>
          <w:numId w:val="51"/>
        </w:numPr>
        <w:rPr>
          <w:rFonts w:ascii="Arial" w:cs="Arial" w:eastAsia="Arial" w:hAnsi="Arial"/>
          <w:sz w:val="18"/>
          <w:szCs w:val="18"/>
          <w:color w:val="0093FF"/>
        </w:rPr>
      </w:pPr>
      <w:r>
        <w:rPr>
          <w:rFonts w:ascii="Arial" w:cs="Arial" w:eastAsia="Arial" w:hAnsi="Arial"/>
          <w:sz w:val="18"/>
          <w:szCs w:val="18"/>
          <w:color w:val="auto"/>
        </w:rPr>
        <w:t>Member of the Board of Trustees of Columbia Business School until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237490</wp:posOffset>
            </wp:positionV>
            <wp:extent cx="7132320" cy="3600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9240"/>
        <w:spacing w:after="0"/>
        <w:tabs>
          <w:tab w:leader="none" w:pos="107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442595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68065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680656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49"/>
        </w:trPr>
        <w:tc>
          <w:tcPr>
            <w:tcW w:w="2820" w:type="dxa"/>
            <w:vAlign w:val="bottom"/>
            <w:shd w:val="clear" w:color="auto" w:fill="0093FF"/>
          </w:tcPr>
          <w:p>
            <w:pPr>
              <w:ind w:left="120"/>
              <w:spacing w:after="0"/>
              <w:rPr>
                <w:sz w:val="20"/>
                <w:szCs w:val="20"/>
                <w:color w:val="auto"/>
              </w:rPr>
            </w:pPr>
            <w:r>
              <w:rPr>
                <w:rFonts w:ascii="Arial" w:cs="Arial" w:eastAsia="Arial" w:hAnsi="Arial"/>
                <w:sz w:val="32"/>
                <w:szCs w:val="32"/>
                <w:b w:val="1"/>
                <w:bCs w:val="1"/>
                <w:color w:val="FFFFFF"/>
              </w:rPr>
              <w:t>Nitin Sahney</w:t>
            </w:r>
          </w:p>
        </w:tc>
        <w:tc>
          <w:tcPr>
            <w:tcW w:w="8400" w:type="dxa"/>
            <w:vAlign w:val="bottom"/>
            <w:shd w:val="clear" w:color="auto" w:fill="0093FF"/>
          </w:tcPr>
          <w:p>
            <w:pPr>
              <w:ind w:left="5540"/>
              <w:spacing w:after="0"/>
              <w:rPr>
                <w:sz w:val="20"/>
                <w:szCs w:val="20"/>
                <w:color w:val="auto"/>
              </w:rPr>
            </w:pPr>
            <w:r>
              <w:rPr>
                <w:rFonts w:ascii="Arial" w:cs="Arial" w:eastAsia="Arial" w:hAnsi="Arial"/>
                <w:sz w:val="32"/>
                <w:szCs w:val="32"/>
                <w:b w:val="1"/>
                <w:bCs w:val="1"/>
                <w:color w:val="FFFFFF"/>
              </w:rPr>
              <w:t>Independent: YES</w:t>
            </w:r>
          </w:p>
        </w:tc>
      </w:tr>
      <w:tr>
        <w:trPr>
          <w:trHeight w:val="347"/>
        </w:trPr>
        <w:tc>
          <w:tcPr>
            <w:tcW w:w="282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 January 2016</w:t>
            </w:r>
          </w:p>
        </w:tc>
        <w:tc>
          <w:tcPr>
            <w:tcW w:w="8400" w:type="dxa"/>
            <w:vAlign w:val="bottom"/>
            <w:shd w:val="clear" w:color="auto" w:fill="0093FF"/>
          </w:tcPr>
          <w:p>
            <w:pPr>
              <w:spacing w:after="0"/>
              <w:rPr>
                <w:sz w:val="24"/>
                <w:szCs w:val="24"/>
                <w:color w:val="auto"/>
              </w:rPr>
            </w:pPr>
          </w:p>
        </w:tc>
      </w:tr>
      <w:tr>
        <w:trPr>
          <w:trHeight w:val="620"/>
        </w:trPr>
        <w:tc>
          <w:tcPr>
            <w:tcW w:w="2820" w:type="dxa"/>
            <w:vAlign w:val="bottom"/>
          </w:tcPr>
          <w:p>
            <w:pPr>
              <w:spacing w:after="0"/>
              <w:rPr>
                <w:sz w:val="24"/>
                <w:szCs w:val="24"/>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Age: 57—is a leader in the healthcare industry with over 25 years of experience across all areas of</w:t>
            </w:r>
          </w:p>
        </w:tc>
      </w:tr>
      <w:tr>
        <w:trPr>
          <w:trHeight w:val="203"/>
        </w:trPr>
        <w:tc>
          <w:tcPr>
            <w:tcW w:w="2820" w:type="dxa"/>
            <w:vAlign w:val="bottom"/>
          </w:tcPr>
          <w:p>
            <w:pPr>
              <w:spacing w:after="0"/>
              <w:rPr>
                <w:sz w:val="17"/>
                <w:szCs w:val="17"/>
                <w:color w:val="auto"/>
              </w:rPr>
            </w:pPr>
          </w:p>
        </w:tc>
        <w:tc>
          <w:tcPr>
            <w:tcW w:w="8400" w:type="dxa"/>
            <w:vAlign w:val="bottom"/>
          </w:tcPr>
          <w:p>
            <w:pPr>
              <w:ind w:left="320"/>
              <w:spacing w:after="0" w:line="202" w:lineRule="exact"/>
              <w:rPr>
                <w:sz w:val="20"/>
                <w:szCs w:val="20"/>
                <w:color w:val="auto"/>
              </w:rPr>
            </w:pPr>
            <w:r>
              <w:rPr>
                <w:rFonts w:ascii="Arial" w:cs="Arial" w:eastAsia="Arial" w:hAnsi="Arial"/>
                <w:sz w:val="18"/>
                <w:szCs w:val="18"/>
                <w:color w:val="auto"/>
              </w:rPr>
              <w:t>healthcare. Mr. Sahney’s business experience and directorships are detailed below. The Company</w:t>
            </w:r>
          </w:p>
        </w:tc>
      </w:tr>
      <w:tr>
        <w:trPr>
          <w:trHeight w:val="203"/>
        </w:trPr>
        <w:tc>
          <w:tcPr>
            <w:tcW w:w="2820" w:type="dxa"/>
            <w:vAlign w:val="bottom"/>
          </w:tcPr>
          <w:p>
            <w:pPr>
              <w:spacing w:after="0"/>
              <w:rPr>
                <w:sz w:val="17"/>
                <w:szCs w:val="17"/>
                <w:color w:val="auto"/>
              </w:rPr>
            </w:pPr>
          </w:p>
        </w:tc>
        <w:tc>
          <w:tcPr>
            <w:tcW w:w="8400" w:type="dxa"/>
            <w:vAlign w:val="bottom"/>
          </w:tcPr>
          <w:p>
            <w:pPr>
              <w:ind w:left="320"/>
              <w:spacing w:after="0" w:line="202" w:lineRule="exact"/>
              <w:rPr>
                <w:sz w:val="20"/>
                <w:szCs w:val="20"/>
                <w:color w:val="auto"/>
              </w:rPr>
            </w:pPr>
            <w:r>
              <w:rPr>
                <w:rFonts w:ascii="Arial" w:cs="Arial" w:eastAsia="Arial" w:hAnsi="Arial"/>
                <w:sz w:val="18"/>
                <w:szCs w:val="18"/>
                <w:color w:val="auto"/>
              </w:rPr>
              <w:t>has concluded, based in part on Mr. Sahney’s experience as CEO of Omnicare, Inc. and his</w:t>
            </w:r>
          </w:p>
        </w:tc>
      </w:tr>
      <w:tr>
        <w:trPr>
          <w:trHeight w:val="203"/>
        </w:trPr>
        <w:tc>
          <w:tcPr>
            <w:tcW w:w="2820" w:type="dxa"/>
            <w:vAlign w:val="bottom"/>
          </w:tcPr>
          <w:p>
            <w:pPr>
              <w:spacing w:after="0"/>
              <w:rPr>
                <w:sz w:val="17"/>
                <w:szCs w:val="17"/>
                <w:color w:val="auto"/>
              </w:rPr>
            </w:pPr>
          </w:p>
        </w:tc>
        <w:tc>
          <w:tcPr>
            <w:tcW w:w="8400" w:type="dxa"/>
            <w:vAlign w:val="bottom"/>
          </w:tcPr>
          <w:p>
            <w:pPr>
              <w:ind w:left="320"/>
              <w:spacing w:after="0" w:line="202" w:lineRule="exact"/>
              <w:rPr>
                <w:sz w:val="20"/>
                <w:szCs w:val="20"/>
                <w:color w:val="auto"/>
              </w:rPr>
            </w:pPr>
            <w:r>
              <w:rPr>
                <w:rFonts w:ascii="Arial" w:cs="Arial" w:eastAsia="Arial" w:hAnsi="Arial"/>
                <w:sz w:val="18"/>
                <w:szCs w:val="18"/>
                <w:color w:val="auto"/>
              </w:rPr>
              <w:t>expertise in the healthcare industry garnered from more than two decades of experience, that Mr.</w:t>
            </w:r>
          </w:p>
        </w:tc>
      </w:tr>
      <w:tr>
        <w:trPr>
          <w:trHeight w:val="217"/>
        </w:trPr>
        <w:tc>
          <w:tcPr>
            <w:tcW w:w="28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Sahney should serve as a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left="760" w:hanging="317"/>
        <w:spacing w:after="0"/>
        <w:tabs>
          <w:tab w:leader="none" w:pos="760" w:val="left"/>
        </w:tabs>
        <w:numPr>
          <w:ilvl w:val="0"/>
          <w:numId w:val="52"/>
        </w:numPr>
        <w:rPr>
          <w:rFonts w:ascii="Arial" w:cs="Arial" w:eastAsia="Arial" w:hAnsi="Arial"/>
          <w:sz w:val="18"/>
          <w:szCs w:val="18"/>
          <w:color w:val="0093FF"/>
        </w:rPr>
      </w:pPr>
      <w:r>
        <w:rPr>
          <w:rFonts w:ascii="Arial" w:cs="Arial" w:eastAsia="Arial" w:hAnsi="Arial"/>
          <w:sz w:val="18"/>
          <w:szCs w:val="18"/>
          <w:color w:val="auto"/>
        </w:rPr>
        <w:t>Audit, Compensation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220" w:lineRule="exact"/>
        <w:rPr>
          <w:sz w:val="20"/>
          <w:szCs w:val="20"/>
          <w:color w:val="auto"/>
        </w:rPr>
      </w:pPr>
    </w:p>
    <w:p>
      <w:pPr>
        <w:ind w:left="760" w:right="640" w:hanging="317"/>
        <w:spacing w:after="0" w:line="246" w:lineRule="auto"/>
        <w:tabs>
          <w:tab w:leader="none" w:pos="744" w:val="left"/>
        </w:tabs>
        <w:numPr>
          <w:ilvl w:val="0"/>
          <w:numId w:val="53"/>
        </w:numPr>
        <w:rPr>
          <w:rFonts w:ascii="Arial" w:cs="Arial" w:eastAsia="Arial" w:hAnsi="Arial"/>
          <w:sz w:val="18"/>
          <w:szCs w:val="18"/>
          <w:color w:val="0093FF"/>
        </w:rPr>
      </w:pPr>
      <w:r>
        <w:rPr>
          <w:rFonts w:ascii="Arial" w:cs="Arial" w:eastAsia="Arial" w:hAnsi="Arial"/>
          <w:sz w:val="18"/>
          <w:szCs w:val="18"/>
          <w:color w:val="auto"/>
        </w:rPr>
        <w:t>Founder, Member-Manager and Chief Executive Officer, Pharmacord, LLC, a company that helps biopharma manufacturers address product access hurdles (2016 – present)</w:t>
      </w:r>
    </w:p>
    <w:p>
      <w:pPr>
        <w:spacing w:after="0" w:line="183" w:lineRule="exact"/>
        <w:rPr>
          <w:rFonts w:ascii="Arial" w:cs="Arial" w:eastAsia="Arial" w:hAnsi="Arial"/>
          <w:sz w:val="18"/>
          <w:szCs w:val="18"/>
          <w:color w:val="0093FF"/>
        </w:rPr>
      </w:pPr>
    </w:p>
    <w:p>
      <w:pPr>
        <w:ind w:left="760" w:hanging="317"/>
        <w:spacing w:after="0"/>
        <w:tabs>
          <w:tab w:leader="none" w:pos="760" w:val="left"/>
        </w:tabs>
        <w:numPr>
          <w:ilvl w:val="0"/>
          <w:numId w:val="53"/>
        </w:numPr>
        <w:rPr>
          <w:rFonts w:ascii="Arial" w:cs="Arial" w:eastAsia="Arial" w:hAnsi="Arial"/>
          <w:sz w:val="18"/>
          <w:szCs w:val="18"/>
          <w:color w:val="0093FF"/>
        </w:rPr>
      </w:pPr>
      <w:r>
        <w:rPr>
          <w:rFonts w:ascii="Arial" w:cs="Arial" w:eastAsia="Arial" w:hAnsi="Arial"/>
          <w:sz w:val="18"/>
          <w:szCs w:val="18"/>
          <w:color w:val="auto"/>
        </w:rPr>
        <w:t>Operating Advisor, Clayton Dubilier &amp; Rice Funds, a private equity firm (2016 – 2017)</w:t>
      </w:r>
    </w:p>
    <w:p>
      <w:pPr>
        <w:spacing w:after="0" w:line="198" w:lineRule="exact"/>
        <w:rPr>
          <w:rFonts w:ascii="Arial" w:cs="Arial" w:eastAsia="Arial" w:hAnsi="Arial"/>
          <w:sz w:val="18"/>
          <w:szCs w:val="18"/>
          <w:color w:val="0093FF"/>
        </w:rPr>
      </w:pPr>
    </w:p>
    <w:p>
      <w:pPr>
        <w:ind w:left="760" w:right="240" w:hanging="317"/>
        <w:spacing w:after="0" w:line="246" w:lineRule="auto"/>
        <w:tabs>
          <w:tab w:leader="none" w:pos="744" w:val="left"/>
        </w:tabs>
        <w:numPr>
          <w:ilvl w:val="0"/>
          <w:numId w:val="53"/>
        </w:numPr>
        <w:rPr>
          <w:rFonts w:ascii="Arial" w:cs="Arial" w:eastAsia="Arial" w:hAnsi="Arial"/>
          <w:sz w:val="18"/>
          <w:szCs w:val="18"/>
          <w:color w:val="0093FF"/>
        </w:rPr>
      </w:pPr>
      <w:r>
        <w:rPr>
          <w:rFonts w:ascii="Arial" w:cs="Arial" w:eastAsia="Arial" w:hAnsi="Arial"/>
          <w:sz w:val="18"/>
          <w:szCs w:val="18"/>
          <w:color w:val="auto"/>
        </w:rPr>
        <w:t>President and CEO (2014 – 2015) and President and COO (2012 – 2014) of Omnicare Inc., a former New York Stock Exchange-listed Fortune 500 company in the long-term care and specialty care industries</w:t>
      </w:r>
    </w:p>
    <w:p>
      <w:pPr>
        <w:spacing w:after="0" w:line="183" w:lineRule="exact"/>
        <w:rPr>
          <w:rFonts w:ascii="Arial" w:cs="Arial" w:eastAsia="Arial" w:hAnsi="Arial"/>
          <w:sz w:val="18"/>
          <w:szCs w:val="18"/>
          <w:color w:val="0093FF"/>
        </w:rPr>
      </w:pPr>
    </w:p>
    <w:p>
      <w:pPr>
        <w:ind w:left="760" w:hanging="317"/>
        <w:spacing w:after="0"/>
        <w:tabs>
          <w:tab w:leader="none" w:pos="760" w:val="left"/>
        </w:tabs>
        <w:numPr>
          <w:ilvl w:val="0"/>
          <w:numId w:val="53"/>
        </w:numPr>
        <w:rPr>
          <w:rFonts w:ascii="Arial" w:cs="Arial" w:eastAsia="Arial" w:hAnsi="Arial"/>
          <w:sz w:val="18"/>
          <w:szCs w:val="18"/>
          <w:color w:val="0093FF"/>
        </w:rPr>
      </w:pPr>
      <w:r>
        <w:rPr>
          <w:rFonts w:ascii="Arial" w:cs="Arial" w:eastAsia="Arial" w:hAnsi="Arial"/>
          <w:sz w:val="18"/>
          <w:szCs w:val="18"/>
          <w:color w:val="auto"/>
        </w:rPr>
        <w:t>Manager of a healthcare investment fund (2008 – 2010)</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53"/>
        </w:numPr>
        <w:rPr>
          <w:rFonts w:ascii="Arial" w:cs="Arial" w:eastAsia="Arial" w:hAnsi="Arial"/>
          <w:sz w:val="18"/>
          <w:szCs w:val="18"/>
          <w:color w:val="0093FF"/>
        </w:rPr>
      </w:pPr>
      <w:r>
        <w:rPr>
          <w:rFonts w:ascii="Arial" w:cs="Arial" w:eastAsia="Arial" w:hAnsi="Arial"/>
          <w:sz w:val="18"/>
          <w:szCs w:val="18"/>
          <w:color w:val="auto"/>
        </w:rPr>
        <w:t>Founder and CEO of RxCrossroads, a specialty pharmaceutical company (2001 – 2007)</w:t>
      </w:r>
    </w:p>
    <w:p>
      <w:pPr>
        <w:spacing w:after="0" w:line="198" w:lineRule="exact"/>
        <w:rPr>
          <w:rFonts w:ascii="Arial" w:cs="Arial" w:eastAsia="Arial" w:hAnsi="Arial"/>
          <w:sz w:val="18"/>
          <w:szCs w:val="18"/>
          <w:color w:val="0093FF"/>
        </w:rPr>
      </w:pPr>
    </w:p>
    <w:p>
      <w:pPr>
        <w:ind w:left="760" w:hanging="317"/>
        <w:spacing w:after="0"/>
        <w:tabs>
          <w:tab w:leader="none" w:pos="760" w:val="left"/>
        </w:tabs>
        <w:numPr>
          <w:ilvl w:val="0"/>
          <w:numId w:val="53"/>
        </w:numPr>
        <w:rPr>
          <w:rFonts w:ascii="Arial" w:cs="Arial" w:eastAsia="Arial" w:hAnsi="Arial"/>
          <w:sz w:val="18"/>
          <w:szCs w:val="18"/>
          <w:color w:val="0093FF"/>
        </w:rPr>
      </w:pPr>
      <w:r>
        <w:rPr>
          <w:rFonts w:ascii="Arial" w:cs="Arial" w:eastAsia="Arial" w:hAnsi="Arial"/>
          <w:sz w:val="18"/>
          <w:szCs w:val="18"/>
          <w:color w:val="auto"/>
        </w:rPr>
        <w:t>Prior leadership positions with Cardinal Healthcare, a global healthcare services and products 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220" w:lineRule="exact"/>
        <w:rPr>
          <w:sz w:val="20"/>
          <w:szCs w:val="20"/>
          <w:color w:val="auto"/>
        </w:rPr>
      </w:pPr>
    </w:p>
    <w:p>
      <w:pPr>
        <w:ind w:left="760" w:hanging="317"/>
        <w:spacing w:after="0"/>
        <w:tabs>
          <w:tab w:leader="none" w:pos="760" w:val="left"/>
        </w:tabs>
        <w:numPr>
          <w:ilvl w:val="0"/>
          <w:numId w:val="54"/>
        </w:numPr>
        <w:rPr>
          <w:rFonts w:ascii="Arial" w:cs="Arial" w:eastAsia="Arial" w:hAnsi="Arial"/>
          <w:sz w:val="18"/>
          <w:szCs w:val="18"/>
          <w:color w:val="0093FF"/>
        </w:rPr>
      </w:pPr>
      <w:r>
        <w:rPr>
          <w:rFonts w:ascii="Arial" w:cs="Arial" w:eastAsia="Arial" w:hAnsi="Arial"/>
          <w:sz w:val="18"/>
          <w:szCs w:val="18"/>
          <w:color w:val="auto"/>
        </w:rPr>
        <w:t>Director, Option Care Health, Inc. (NASDAQ: OPCH) (2019 – present)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Experience</w:t>
      </w:r>
    </w:p>
    <w:p>
      <w:pPr>
        <w:spacing w:after="0" w:line="220" w:lineRule="exact"/>
        <w:rPr>
          <w:sz w:val="20"/>
          <w:szCs w:val="20"/>
          <w:color w:val="auto"/>
        </w:rPr>
      </w:pPr>
    </w:p>
    <w:p>
      <w:pPr>
        <w:ind w:left="760" w:hanging="317"/>
        <w:spacing w:after="0"/>
        <w:tabs>
          <w:tab w:leader="none" w:pos="760" w:val="left"/>
        </w:tabs>
        <w:numPr>
          <w:ilvl w:val="0"/>
          <w:numId w:val="55"/>
        </w:numPr>
        <w:rPr>
          <w:rFonts w:ascii="Arial" w:cs="Arial" w:eastAsia="Arial" w:hAnsi="Arial"/>
          <w:sz w:val="18"/>
          <w:szCs w:val="18"/>
          <w:color w:val="0093FF"/>
        </w:rPr>
      </w:pPr>
      <w:r>
        <w:rPr>
          <w:rFonts w:ascii="Arial" w:cs="Arial" w:eastAsia="Arial" w:hAnsi="Arial"/>
          <w:sz w:val="18"/>
          <w:szCs w:val="18"/>
          <w:color w:val="auto"/>
        </w:rPr>
        <w:t>Member of the Board of Trustees, University of Louisville (2017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3600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right"/>
        <w:ind w:right="180"/>
        <w:spacing w:after="0"/>
        <w:tabs>
          <w:tab w:leader="none" w:pos="32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tabs>
          <w:tab w:leader="none" w:pos="8220" w:val="left"/>
        </w:tabs>
        <w:rPr>
          <w:sz w:val="20"/>
          <w:szCs w:val="20"/>
          <w:color w:val="auto"/>
        </w:rPr>
      </w:pPr>
      <w:r>
        <w:rPr>
          <w:rFonts w:ascii="Arial" w:cs="Arial" w:eastAsia="Arial" w:hAnsi="Arial"/>
          <w:sz w:val="32"/>
          <w:szCs w:val="32"/>
          <w:b w:val="1"/>
          <w:bCs w:val="1"/>
          <w:color w:val="FFFFFF"/>
        </w:rPr>
        <w:t>Garen K. Staglin</w:t>
      </w:r>
      <w:r>
        <w:rPr>
          <w:sz w:val="20"/>
          <w:szCs w:val="20"/>
          <w:color w:val="auto"/>
        </w:rPr>
        <w:tab/>
      </w:r>
      <w:r>
        <w:rPr>
          <w:rFonts w:ascii="Arial" w:cs="Arial" w:eastAsia="Arial" w:hAnsi="Arial"/>
          <w:sz w:val="32"/>
          <w:szCs w:val="32"/>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-218440</wp:posOffset>
            </wp:positionV>
            <wp:extent cx="7132320" cy="7389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738949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 since June 2005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Chairman of the Board since February 2014</w:t>
      </w:r>
    </w:p>
    <w:p>
      <w:pPr>
        <w:spacing w:after="0" w:line="200" w:lineRule="exact"/>
        <w:rPr>
          <w:sz w:val="20"/>
          <w:szCs w:val="20"/>
          <w:color w:val="auto"/>
        </w:rPr>
      </w:pPr>
    </w:p>
    <w:p>
      <w:pPr>
        <w:spacing w:after="0" w:line="214" w:lineRule="exact"/>
        <w:rPr>
          <w:sz w:val="20"/>
          <w:szCs w:val="20"/>
          <w:color w:val="auto"/>
        </w:rPr>
      </w:pPr>
    </w:p>
    <w:p>
      <w:pPr>
        <w:ind w:left="3020" w:right="100"/>
        <w:spacing w:after="0" w:line="238" w:lineRule="auto"/>
        <w:rPr>
          <w:sz w:val="20"/>
          <w:szCs w:val="20"/>
          <w:color w:val="auto"/>
        </w:rPr>
      </w:pPr>
      <w:r>
        <w:rPr>
          <w:rFonts w:ascii="Arial" w:cs="Arial" w:eastAsia="Arial" w:hAnsi="Arial"/>
          <w:sz w:val="18"/>
          <w:szCs w:val="18"/>
          <w:color w:val="auto"/>
        </w:rPr>
        <w:t>Age: 75—has over 45 years of experience in the financial services and technology industries. Mr. Staglin’s business experience and directorships are detailed below. The Company has concluded, based in part on Mr. Staglin’s experience in the financial services and technology industries and his past experience as a member of public company boards of directors, that Mr. Staglin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53" w:lineRule="exact"/>
        <w:rPr>
          <w:sz w:val="20"/>
          <w:szCs w:val="20"/>
          <w:color w:val="auto"/>
        </w:rPr>
      </w:pPr>
    </w:p>
    <w:p>
      <w:pPr>
        <w:ind w:left="640" w:hanging="317"/>
        <w:spacing w:after="0"/>
        <w:tabs>
          <w:tab w:leader="none" w:pos="640" w:val="left"/>
        </w:tabs>
        <w:numPr>
          <w:ilvl w:val="0"/>
          <w:numId w:val="56"/>
        </w:numPr>
        <w:rPr>
          <w:rFonts w:ascii="Arial" w:cs="Arial" w:eastAsia="Arial" w:hAnsi="Arial"/>
          <w:sz w:val="18"/>
          <w:szCs w:val="18"/>
          <w:color w:val="0093FF"/>
        </w:rPr>
      </w:pPr>
      <w:r>
        <w:rPr>
          <w:rFonts w:ascii="Arial" w:cs="Arial" w:eastAsia="Arial" w:hAnsi="Arial"/>
          <w:sz w:val="18"/>
          <w:szCs w:val="18"/>
          <w:color w:val="auto"/>
        </w:rPr>
        <w:t>Compensation, Nominating and Governance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w:t>
      </w:r>
    </w:p>
    <w:p>
      <w:pPr>
        <w:spacing w:after="0" w:line="180" w:lineRule="exact"/>
        <w:rPr>
          <w:sz w:val="20"/>
          <w:szCs w:val="20"/>
          <w:color w:val="auto"/>
        </w:rPr>
      </w:pPr>
    </w:p>
    <w:p>
      <w:pPr>
        <w:ind w:left="640" w:hanging="317"/>
        <w:spacing w:after="0"/>
        <w:tabs>
          <w:tab w:leader="none" w:pos="640" w:val="left"/>
        </w:tabs>
        <w:numPr>
          <w:ilvl w:val="0"/>
          <w:numId w:val="57"/>
        </w:numPr>
        <w:rPr>
          <w:rFonts w:ascii="Arial" w:cs="Arial" w:eastAsia="Arial" w:hAnsi="Arial"/>
          <w:sz w:val="18"/>
          <w:szCs w:val="18"/>
          <w:color w:val="0093FF"/>
        </w:rPr>
      </w:pPr>
      <w:r>
        <w:rPr>
          <w:rFonts w:ascii="Arial" w:cs="Arial" w:eastAsia="Arial" w:hAnsi="Arial"/>
          <w:sz w:val="18"/>
          <w:szCs w:val="18"/>
          <w:color w:val="auto"/>
        </w:rPr>
        <w:t>Chief Executive Officer of eONE Global LP, an emerging payments company (2001– 2004)</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57"/>
        </w:numPr>
        <w:rPr>
          <w:rFonts w:ascii="Arial" w:cs="Arial" w:eastAsia="Arial" w:hAnsi="Arial"/>
          <w:sz w:val="18"/>
          <w:szCs w:val="18"/>
          <w:color w:val="0093FF"/>
        </w:rPr>
      </w:pPr>
      <w:r>
        <w:rPr>
          <w:rFonts w:ascii="Arial" w:cs="Arial" w:eastAsia="Arial" w:hAnsi="Arial"/>
          <w:sz w:val="18"/>
          <w:szCs w:val="18"/>
          <w:color w:val="auto"/>
        </w:rPr>
        <w:t>Chief Executive Officer of Safelite Auto Glass, a provider of glass claim solutions (1993 – 1999)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Directorships During Past Five Years</w:t>
      </w:r>
    </w:p>
    <w:p>
      <w:pPr>
        <w:spacing w:after="0" w:line="180" w:lineRule="exact"/>
        <w:rPr>
          <w:sz w:val="20"/>
          <w:szCs w:val="20"/>
          <w:color w:val="auto"/>
        </w:rPr>
      </w:pPr>
    </w:p>
    <w:p>
      <w:pPr>
        <w:ind w:left="640" w:right="440" w:hanging="317"/>
        <w:spacing w:after="0" w:line="246" w:lineRule="auto"/>
        <w:tabs>
          <w:tab w:leader="none" w:pos="624" w:val="left"/>
        </w:tabs>
        <w:numPr>
          <w:ilvl w:val="0"/>
          <w:numId w:val="58"/>
        </w:numPr>
        <w:rPr>
          <w:rFonts w:ascii="Arial" w:cs="Arial" w:eastAsia="Arial" w:hAnsi="Arial"/>
          <w:sz w:val="18"/>
          <w:szCs w:val="18"/>
          <w:color w:val="0093FF"/>
        </w:rPr>
      </w:pPr>
      <w:r>
        <w:rPr>
          <w:rFonts w:ascii="Arial" w:cs="Arial" w:eastAsia="Arial" w:hAnsi="Arial"/>
          <w:sz w:val="18"/>
          <w:szCs w:val="18"/>
          <w:color w:val="auto"/>
        </w:rPr>
        <w:t>Director, chairman of the compensation and member of the governance committee, SVB Financial Group (NASDAQ:SIVB), a financial services provider (2011 – present)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left="640" w:hanging="317"/>
        <w:spacing w:after="0"/>
        <w:tabs>
          <w:tab w:leader="none" w:pos="640" w:val="left"/>
        </w:tabs>
        <w:numPr>
          <w:ilvl w:val="0"/>
          <w:numId w:val="59"/>
        </w:numPr>
        <w:rPr>
          <w:rFonts w:ascii="Arial" w:cs="Arial" w:eastAsia="Arial" w:hAnsi="Arial"/>
          <w:sz w:val="18"/>
          <w:szCs w:val="18"/>
          <w:color w:val="0093FF"/>
        </w:rPr>
      </w:pPr>
      <w:r>
        <w:rPr>
          <w:rFonts w:ascii="Arial" w:cs="Arial" w:eastAsia="Arial" w:hAnsi="Arial"/>
          <w:sz w:val="18"/>
          <w:szCs w:val="18"/>
          <w:color w:val="auto"/>
        </w:rPr>
        <w:t>Senior Advisor and Advisory Director, FTV Capital, a private global investment company (2004 – present)</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59"/>
        </w:numPr>
        <w:rPr>
          <w:rFonts w:ascii="Arial" w:cs="Arial" w:eastAsia="Arial" w:hAnsi="Arial"/>
          <w:sz w:val="18"/>
          <w:szCs w:val="18"/>
          <w:color w:val="0093FF"/>
        </w:rPr>
      </w:pPr>
      <w:r>
        <w:rPr>
          <w:rFonts w:ascii="Arial" w:cs="Arial" w:eastAsia="Arial" w:hAnsi="Arial"/>
          <w:sz w:val="18"/>
          <w:szCs w:val="18"/>
          <w:color w:val="auto"/>
        </w:rPr>
        <w:t>Vice Chairman, Profit Velocity Solutions, a manufacturing analytics firm (2007 – present)</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59"/>
        </w:numPr>
        <w:rPr>
          <w:rFonts w:ascii="Arial" w:cs="Arial" w:eastAsia="Arial" w:hAnsi="Arial"/>
          <w:sz w:val="18"/>
          <w:szCs w:val="18"/>
          <w:color w:val="0093FF"/>
        </w:rPr>
      </w:pPr>
      <w:r>
        <w:rPr>
          <w:rFonts w:ascii="Arial" w:cs="Arial" w:eastAsia="Arial" w:hAnsi="Arial"/>
          <w:sz w:val="18"/>
          <w:szCs w:val="18"/>
          <w:color w:val="auto"/>
        </w:rPr>
        <w:t>Chairman, Nvoicepay, an electronic payment service provider (2010 – 2019)</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59"/>
        </w:numPr>
        <w:rPr>
          <w:rFonts w:ascii="Arial" w:cs="Arial" w:eastAsia="Arial" w:hAnsi="Arial"/>
          <w:sz w:val="18"/>
          <w:szCs w:val="18"/>
          <w:color w:val="0093FF"/>
        </w:rPr>
      </w:pPr>
      <w:r>
        <w:rPr>
          <w:rFonts w:ascii="Arial" w:cs="Arial" w:eastAsia="Arial" w:hAnsi="Arial"/>
          <w:sz w:val="18"/>
          <w:szCs w:val="18"/>
          <w:color w:val="auto"/>
        </w:rPr>
        <w:t>Advisory Director, Specialized Bicycle, a manufacturer of cycling equipment (1995 –2014)</w:t>
      </w:r>
    </w:p>
    <w:p>
      <w:pPr>
        <w:spacing w:after="0" w:line="130" w:lineRule="exact"/>
        <w:rPr>
          <w:rFonts w:ascii="Arial" w:cs="Arial" w:eastAsia="Arial" w:hAnsi="Arial"/>
          <w:sz w:val="18"/>
          <w:szCs w:val="18"/>
          <w:color w:val="0093FF"/>
        </w:rPr>
      </w:pPr>
    </w:p>
    <w:p>
      <w:pPr>
        <w:ind w:left="640" w:right="320" w:hanging="317"/>
        <w:spacing w:after="0" w:line="238" w:lineRule="auto"/>
        <w:tabs>
          <w:tab w:leader="none" w:pos="624" w:val="left"/>
        </w:tabs>
        <w:numPr>
          <w:ilvl w:val="0"/>
          <w:numId w:val="59"/>
        </w:numPr>
        <w:rPr>
          <w:rFonts w:ascii="Arial" w:cs="Arial" w:eastAsia="Arial" w:hAnsi="Arial"/>
          <w:sz w:val="18"/>
          <w:szCs w:val="18"/>
          <w:color w:val="0093FF"/>
        </w:rPr>
      </w:pPr>
      <w:r>
        <w:rPr>
          <w:rFonts w:ascii="Arial" w:cs="Arial" w:eastAsia="Arial" w:hAnsi="Arial"/>
          <w:sz w:val="18"/>
          <w:szCs w:val="18"/>
          <w:color w:val="auto"/>
        </w:rPr>
        <w:t>Other directorships completed prior to 2014 include: Bottomline Technologies, a provider of payment and invoice automation software and services (2007 – 2012); Solera Holdings, a public automotive insurance software service provider (2005 – 2011); First Data Corporation, a payments solutions provider (1992 –2003); and Global Document Solutions, a private document processing outsourcing company (2005 –2010).</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Relevant Experience</w:t>
      </w:r>
    </w:p>
    <w:p>
      <w:pPr>
        <w:spacing w:after="0" w:line="180" w:lineRule="exact"/>
        <w:rPr>
          <w:sz w:val="20"/>
          <w:szCs w:val="20"/>
          <w:color w:val="auto"/>
        </w:rPr>
      </w:pPr>
    </w:p>
    <w:p>
      <w:pPr>
        <w:ind w:left="640" w:hanging="317"/>
        <w:spacing w:after="0"/>
        <w:tabs>
          <w:tab w:leader="none" w:pos="640" w:val="left"/>
        </w:tabs>
        <w:numPr>
          <w:ilvl w:val="0"/>
          <w:numId w:val="60"/>
        </w:numPr>
        <w:rPr>
          <w:rFonts w:ascii="Arial" w:cs="Arial" w:eastAsia="Arial" w:hAnsi="Arial"/>
          <w:sz w:val="18"/>
          <w:szCs w:val="18"/>
          <w:color w:val="0093FF"/>
        </w:rPr>
      </w:pPr>
      <w:r>
        <w:rPr>
          <w:rFonts w:ascii="Arial" w:cs="Arial" w:eastAsia="Arial" w:hAnsi="Arial"/>
          <w:sz w:val="18"/>
          <w:szCs w:val="18"/>
          <w:color w:val="auto"/>
        </w:rPr>
        <w:t>Co-Founder and Co-Chairman, One Mind (1995 – present)</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60"/>
        </w:numPr>
        <w:rPr>
          <w:rFonts w:ascii="Arial" w:cs="Arial" w:eastAsia="Arial" w:hAnsi="Arial"/>
          <w:sz w:val="18"/>
          <w:szCs w:val="18"/>
          <w:color w:val="0093FF"/>
        </w:rPr>
      </w:pPr>
      <w:r>
        <w:rPr>
          <w:rFonts w:ascii="Arial" w:cs="Arial" w:eastAsia="Arial" w:hAnsi="Arial"/>
          <w:sz w:val="18"/>
          <w:szCs w:val="18"/>
          <w:color w:val="auto"/>
        </w:rPr>
        <w:t>Founder and Co-Chairman, Healthy Brains Financing Initiative (2019 – present)</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60"/>
        </w:numPr>
        <w:rPr>
          <w:rFonts w:ascii="Arial" w:cs="Arial" w:eastAsia="Arial" w:hAnsi="Arial"/>
          <w:sz w:val="18"/>
          <w:szCs w:val="18"/>
          <w:color w:val="0093FF"/>
        </w:rPr>
      </w:pPr>
      <w:r>
        <w:rPr>
          <w:rFonts w:ascii="Arial" w:cs="Arial" w:eastAsia="Arial" w:hAnsi="Arial"/>
          <w:sz w:val="18"/>
          <w:szCs w:val="18"/>
          <w:color w:val="auto"/>
        </w:rPr>
        <w:t>Member of the Stewardship Board, World Economic Forum (2019 – present)</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60"/>
        </w:numPr>
        <w:rPr>
          <w:rFonts w:ascii="Arial" w:cs="Arial" w:eastAsia="Arial" w:hAnsi="Arial"/>
          <w:sz w:val="18"/>
          <w:szCs w:val="18"/>
          <w:color w:val="0093FF"/>
        </w:rPr>
      </w:pPr>
      <w:r>
        <w:rPr>
          <w:rFonts w:ascii="Arial" w:cs="Arial" w:eastAsia="Arial" w:hAnsi="Arial"/>
          <w:sz w:val="18"/>
          <w:szCs w:val="18"/>
          <w:color w:val="auto"/>
        </w:rPr>
        <w:t>Founder and President, BringChange2Mind (2009 – 2014)</w:t>
      </w:r>
    </w:p>
    <w:p>
      <w:pPr>
        <w:spacing w:after="0" w:line="130" w:lineRule="exact"/>
        <w:rPr>
          <w:rFonts w:ascii="Arial" w:cs="Arial" w:eastAsia="Arial" w:hAnsi="Arial"/>
          <w:sz w:val="18"/>
          <w:szCs w:val="18"/>
          <w:color w:val="0093FF"/>
        </w:rPr>
      </w:pPr>
    </w:p>
    <w:p>
      <w:pPr>
        <w:ind w:left="640" w:hanging="317"/>
        <w:spacing w:after="0"/>
        <w:tabs>
          <w:tab w:leader="none" w:pos="640" w:val="left"/>
        </w:tabs>
        <w:numPr>
          <w:ilvl w:val="0"/>
          <w:numId w:val="60"/>
        </w:numPr>
        <w:rPr>
          <w:rFonts w:ascii="Arial" w:cs="Arial" w:eastAsia="Arial" w:hAnsi="Arial"/>
          <w:sz w:val="18"/>
          <w:szCs w:val="18"/>
          <w:color w:val="0093FF"/>
        </w:rPr>
      </w:pPr>
      <w:r>
        <w:rPr>
          <w:rFonts w:ascii="Arial" w:cs="Arial" w:eastAsia="Arial" w:hAnsi="Arial"/>
          <w:sz w:val="18"/>
          <w:szCs w:val="18"/>
          <w:color w:val="auto"/>
        </w:rPr>
        <w:t>Co-Chairman, UCLA Centennial Capital Campaign (2014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246380</wp:posOffset>
            </wp:positionV>
            <wp:extent cx="7132320"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9240"/>
        <w:spacing w:after="0"/>
        <w:tabs>
          <w:tab w:leader="none" w:pos="107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339725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637540</wp:posOffset>
            </wp:positionV>
            <wp:extent cx="600075"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0B5497"/>
        </w:rPr>
        <w:t>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Director Independence</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In determining director independence, the board of directors considered the transactions and relationships set forth below under “Certain Relationships and Related Person Transactions—Related Party Transactions.” Based on its review of all applicable relationships, our board of directors has determined that all of the members on our board of directors, other than Mr. Kapoor, meet the independence requirements of the Nasdaq Stock Market and federal securities laws.</w:t>
      </w:r>
    </w:p>
    <w:p>
      <w:pPr>
        <w:sectPr>
          <w:pgSz w:w="11900" w:h="16838" w:orient="portrait"/>
          <w:cols w:equalWidth="0" w:num="1">
            <w:col w:w="11200"/>
          </w:cols>
          <w:pgMar w:left="320" w:top="1440" w:right="37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-139065</wp:posOffset>
            </wp:positionV>
            <wp:extent cx="17145" cy="128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1285875"/>
                    </a:xfrm>
                    <a:prstGeom prst="rect">
                      <a:avLst/>
                    </a:prstGeom>
                    <a:noFill/>
                  </pic:spPr>
                </pic:pic>
              </a:graphicData>
            </a:graphic>
          </wp:anchor>
        </w:drawing>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We expect our directors to attend all board of directors meetings and meetings of committees on which they serve. We also expect our directors to spend sufficient time and meet as frequently as necessary to discharge their responsibilities properly. Each director attended at least 75% of the aggregate meetings of our board of directors and the committees on which they served during 2019. It is our policy that all of our directors should attend our Annual Meetings of Stockholders absent exceptional cause, and all of our then-incumbent directors attended the 2019 Annual Meeting of Stockholders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2019 Meetings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Board — 5</w:t>
      </w:r>
    </w:p>
    <w:p>
      <w:pPr>
        <w:spacing w:after="0" w:line="234" w:lineRule="auto"/>
        <w:rPr>
          <w:sz w:val="20"/>
          <w:szCs w:val="20"/>
          <w:color w:val="auto"/>
        </w:rPr>
      </w:pPr>
      <w:r>
        <w:rPr>
          <w:rFonts w:ascii="Arial" w:cs="Arial" w:eastAsia="Arial" w:hAnsi="Arial"/>
          <w:sz w:val="18"/>
          <w:szCs w:val="18"/>
          <w:color w:val="auto"/>
        </w:rPr>
        <w:t>Audit — 7</w:t>
      </w:r>
    </w:p>
    <w:p>
      <w:pPr>
        <w:spacing w:after="0" w:line="235" w:lineRule="auto"/>
        <w:rPr>
          <w:sz w:val="20"/>
          <w:szCs w:val="20"/>
          <w:color w:val="auto"/>
        </w:rPr>
      </w:pPr>
      <w:r>
        <w:rPr>
          <w:rFonts w:ascii="Arial" w:cs="Arial" w:eastAsia="Arial" w:hAnsi="Arial"/>
          <w:sz w:val="18"/>
          <w:szCs w:val="18"/>
          <w:color w:val="auto"/>
        </w:rPr>
        <w:t>Compensation — 5</w:t>
      </w:r>
    </w:p>
    <w:p>
      <w:pPr>
        <w:spacing w:after="0" w:line="235" w:lineRule="auto"/>
        <w:rPr>
          <w:sz w:val="20"/>
          <w:szCs w:val="20"/>
          <w:color w:val="auto"/>
        </w:rPr>
      </w:pPr>
      <w:r>
        <w:rPr>
          <w:rFonts w:ascii="Arial" w:cs="Arial" w:eastAsia="Arial" w:hAnsi="Arial"/>
          <w:sz w:val="18"/>
          <w:szCs w:val="18"/>
          <w:color w:val="auto"/>
        </w:rPr>
        <w:t>Nominating and</w:t>
      </w:r>
    </w:p>
    <w:p>
      <w:pPr>
        <w:spacing w:after="0" w:line="235" w:lineRule="auto"/>
        <w:rPr>
          <w:sz w:val="20"/>
          <w:szCs w:val="20"/>
          <w:color w:val="auto"/>
        </w:rPr>
      </w:pPr>
      <w:r>
        <w:rPr>
          <w:rFonts w:ascii="Arial" w:cs="Arial" w:eastAsia="Arial" w:hAnsi="Arial"/>
          <w:sz w:val="18"/>
          <w:szCs w:val="18"/>
          <w:color w:val="auto"/>
        </w:rPr>
        <w:t>Governance — 5</w:t>
      </w:r>
    </w:p>
    <w:p>
      <w:pPr>
        <w:ind w:right="1000"/>
        <w:spacing w:after="0" w:line="274" w:lineRule="auto"/>
        <w:rPr>
          <w:sz w:val="20"/>
          <w:szCs w:val="20"/>
          <w:color w:val="auto"/>
        </w:rPr>
      </w:pPr>
      <w:r>
        <w:rPr>
          <w:rFonts w:ascii="Arial" w:cs="Arial" w:eastAsia="Arial" w:hAnsi="Arial"/>
          <w:sz w:val="17"/>
          <w:szCs w:val="17"/>
          <w:b w:val="1"/>
          <w:bCs w:val="1"/>
          <w:color w:val="0093FF"/>
        </w:rPr>
        <w:t>22 Board and Committee Meetings in 2019</w:t>
      </w:r>
    </w:p>
    <w:p>
      <w:pPr>
        <w:spacing w:after="0" w:line="414" w:lineRule="exact"/>
        <w:rPr>
          <w:sz w:val="20"/>
          <w:szCs w:val="20"/>
          <w:color w:val="auto"/>
        </w:rPr>
      </w:pPr>
    </w:p>
    <w:p>
      <w:pPr>
        <w:sectPr>
          <w:pgSz w:w="11900" w:h="16838" w:orient="portrait"/>
          <w:cols w:equalWidth="0" w:num="2">
            <w:col w:w="7740" w:space="340"/>
            <w:col w:w="3120"/>
          </w:cols>
          <w:pgMar w:left="320" w:top="1440" w:right="37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Board Leadership Structure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262626"/>
        </w:rPr>
        <w:t>Our board of directors is currently led by Garen K. Staglin, our Chairman, and Rohit Kapoor, our Vice Chairman and CEO.</w:t>
      </w:r>
    </w:p>
    <w:p>
      <w:pPr>
        <w:sectPr>
          <w:pgSz w:w="11900" w:h="16838" w:orient="portrait"/>
          <w:cols w:equalWidth="0" w:num="1">
            <w:col w:w="11200"/>
          </w:cols>
          <w:pgMar w:left="320" w:top="1440" w:right="379" w:bottom="1440" w:gutter="0" w:footer="0" w:header="0"/>
          <w:type w:val="continuous"/>
        </w:sectPr>
      </w:pP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Our by-laws provide that our Chairman or, in the absence of our Chairman, our Lead Director (if there is a Lead Director serving at such time), or in the absence of both our Chairman and Lead Director, our CEO, calls meetings of our board of directors to order and acts as the chairman for those board meetings. In the absence of our Chairman, our Lead Director (if there is a Lead Director serving at such time), and our CEO,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-1162050</wp:posOffset>
            </wp:positionV>
            <wp:extent cx="17145" cy="1156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1156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Independent Chairman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Garen K. Staglin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FF6503"/>
        </w:rPr>
        <w:t>Vice Chairman and CEO</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Rohit Kapoor</w:t>
      </w:r>
    </w:p>
    <w:p>
      <w:pPr>
        <w:spacing w:after="0" w:line="1014" w:lineRule="exact"/>
        <w:rPr>
          <w:sz w:val="20"/>
          <w:szCs w:val="20"/>
          <w:color w:val="auto"/>
        </w:rPr>
      </w:pPr>
    </w:p>
    <w:p>
      <w:pPr>
        <w:sectPr>
          <w:pgSz w:w="11900" w:h="16838" w:orient="portrait"/>
          <w:cols w:equalWidth="0" w:num="2">
            <w:col w:w="7780" w:space="300"/>
            <w:col w:w="3120"/>
          </w:cols>
          <w:pgMar w:left="320" w:top="1440" w:right="379" w:bottom="1440" w:gutter="0" w:footer="0" w:header="0"/>
          <w:type w:val="continuous"/>
        </w:sectPr>
      </w:pPr>
    </w:p>
    <w:p>
      <w:pPr>
        <w:spacing w:after="0" w:line="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262626"/>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As a result, the Company will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262626"/>
        </w:rPr>
        <w:t>For the foregoing reasons, our board of directors has determined that its leadership structure is appropriate and in the best interests of our stockholders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60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5" w:name="page36"/>
    <w:bookmarkEnd w:id="3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Majority Voting in Director Elections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Under our by-laws, directors who are standing for election in an uncontested election are elected by the affirmative vote of a majority of votes cast (meaning the number of shares voted “for” a nominee must exceed the number of shares voted “against” such nominee) in person or represented by proxy and entitled to vote at the meeting. If any incumbent nominee for director in an uncontested election receives a greater number of votes “against” his or her election than votes “for” such election, our by-laws provide that such person must tender to the board of directors his or her resignation as a director. (In contested elections, directors will be elected by the affirmative vote of a plurality of votes cast in person or represented by proxy and entitled to vote at the Annual Meeting.) An uncontested election means an election in which the number of nominees for director is not greater than the number to be elected.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Committees</w:t>
      </w:r>
    </w:p>
    <w:p>
      <w:pPr>
        <w:spacing w:after="0" w:line="2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262626"/>
        </w:rPr>
        <w:t>Our board of directors currently has three standing committees: the Audit Committee, the Nominating and Governance Committee and the Compensation Committee. As discussed above, our board of directors has determined that each member of the Audit, Nominating and Governance and Compensation Committees meets the independence and experience requirements of the Nasdaq Stock Market and federal securities laws. Copies of our committee charters can be found on the Investor Relations page of our website at: https://ir.exlservice.com/corporate-governance. Information on our website referred to in this proxy statement does not constitute a part of this proxy statement.</w:t>
      </w:r>
    </w:p>
    <w:p>
      <w:pPr>
        <w:spacing w:after="0" w:line="191" w:lineRule="exact"/>
        <w:rPr>
          <w:sz w:val="20"/>
          <w:szCs w:val="20"/>
          <w:color w:val="auto"/>
        </w:rPr>
      </w:pPr>
    </w:p>
    <w:p>
      <w:pPr>
        <w:ind w:right="1960"/>
        <w:spacing w:after="0" w:line="481" w:lineRule="auto"/>
        <w:rPr>
          <w:sz w:val="20"/>
          <w:szCs w:val="20"/>
          <w:color w:val="auto"/>
        </w:rPr>
      </w:pPr>
      <w:r>
        <w:rPr>
          <w:rFonts w:ascii="Arial" w:cs="Arial" w:eastAsia="Arial" w:hAnsi="Arial"/>
          <w:sz w:val="18"/>
          <w:szCs w:val="18"/>
          <w:color w:val="262626"/>
        </w:rPr>
        <w:t xml:space="preserve">The following table sets forth the current chairs and members of each standing committee of the board of directors. </w:t>
      </w:r>
      <w:r>
        <w:rPr>
          <w:rFonts w:ascii="Arial" w:cs="Arial" w:eastAsia="Arial" w:hAnsi="Arial"/>
          <w:sz w:val="18"/>
          <w:szCs w:val="18"/>
          <w:b w:val="1"/>
          <w:bCs w:val="1"/>
          <w:color w:val="262626"/>
        </w:rPr>
        <w:t>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2696845</wp:posOffset>
            </wp:positionV>
            <wp:extent cx="7132320" cy="3600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-11430</wp:posOffset>
            </wp:positionV>
            <wp:extent cx="5143500" cy="2425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6" w:name="page37"/>
    <w:bookmarkEnd w:id="36"/>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Audit Committee</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262626"/>
        </w:rPr>
        <w:t>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 security program and cyber strategy-related risks. Our Audit Committee’s risk oversight is discussed below on beginning on page 32.</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 security program and cyber strategy-related risks. The Audit Committee was established in accordance with Section 3(a)(58)(A) of the Securities Exchange Act of 1934 (the “Exchange Act”). Our Audit Committee annually reviews and assesses the adequacy of the Audit Committee charter and its own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1"/>
        </w:trPr>
        <w:tc>
          <w:tcPr>
            <w:tcW w:w="5360" w:type="dxa"/>
            <w:vAlign w:val="bottom"/>
            <w:gridSpan w:val="2"/>
            <w:shd w:val="clear" w:color="auto" w:fill="0093FF"/>
          </w:tcPr>
          <w:p>
            <w:pPr>
              <w:ind w:left="1420"/>
              <w:spacing w:after="0"/>
              <w:rPr>
                <w:sz w:val="20"/>
                <w:szCs w:val="20"/>
                <w:color w:val="auto"/>
              </w:rPr>
            </w:pPr>
            <w:r>
              <w:rPr>
                <w:rFonts w:ascii="Arial" w:cs="Arial" w:eastAsia="Arial" w:hAnsi="Arial"/>
                <w:sz w:val="18"/>
                <w:szCs w:val="18"/>
                <w:b w:val="1"/>
                <w:bCs w:val="1"/>
                <w:color w:val="FFFFFF"/>
              </w:rPr>
              <w:t>AUDIT COMMITTEE PROFILE</w:t>
            </w:r>
          </w:p>
        </w:tc>
      </w:tr>
      <w:tr>
        <w:trPr>
          <w:trHeight w:val="68"/>
        </w:trPr>
        <w:tc>
          <w:tcPr>
            <w:tcW w:w="2340" w:type="dxa"/>
            <w:vAlign w:val="bottom"/>
            <w:shd w:val="clear" w:color="auto" w:fill="0093FF"/>
          </w:tcPr>
          <w:p>
            <w:pPr>
              <w:spacing w:after="0"/>
              <w:rPr>
                <w:sz w:val="5"/>
                <w:szCs w:val="5"/>
                <w:color w:val="auto"/>
              </w:rPr>
            </w:pPr>
          </w:p>
        </w:tc>
        <w:tc>
          <w:tcPr>
            <w:tcW w:w="3020" w:type="dxa"/>
            <w:vAlign w:val="bottom"/>
            <w:shd w:val="clear" w:color="auto" w:fill="0093FF"/>
          </w:tcPr>
          <w:p>
            <w:pPr>
              <w:spacing w:after="0"/>
              <w:rPr>
                <w:sz w:val="5"/>
                <w:szCs w:val="5"/>
                <w:color w:val="auto"/>
              </w:rPr>
            </w:pPr>
          </w:p>
        </w:tc>
      </w:tr>
      <w:tr>
        <w:trPr>
          <w:trHeight w:val="378"/>
        </w:trPr>
        <w:tc>
          <w:tcPr>
            <w:tcW w:w="2340" w:type="dxa"/>
            <w:vAlign w:val="bottom"/>
            <w:shd w:val="clear" w:color="auto" w:fill="F2F2F2"/>
          </w:tcPr>
          <w:p>
            <w:pPr>
              <w:ind w:left="300"/>
              <w:spacing w:after="0"/>
              <w:rPr>
                <w:sz w:val="20"/>
                <w:szCs w:val="20"/>
                <w:color w:val="auto"/>
              </w:rPr>
            </w:pPr>
            <w:r>
              <w:rPr>
                <w:rFonts w:ascii="Arial" w:cs="Arial" w:eastAsia="Arial" w:hAnsi="Arial"/>
                <w:sz w:val="18"/>
                <w:szCs w:val="18"/>
                <w:b w:val="1"/>
                <w:bCs w:val="1"/>
                <w:color w:val="auto"/>
              </w:rPr>
              <w:t>Clyde Ostler, Chair*</w:t>
            </w:r>
          </w:p>
        </w:tc>
        <w:tc>
          <w:tcPr>
            <w:tcW w:w="3020" w:type="dxa"/>
            <w:vAlign w:val="bottom"/>
            <w:shd w:val="clear" w:color="auto" w:fill="F2F2F2"/>
          </w:tcPr>
          <w:p>
            <w:pPr>
              <w:spacing w:after="0"/>
              <w:rPr>
                <w:sz w:val="24"/>
                <w:szCs w:val="24"/>
                <w:color w:val="auto"/>
              </w:rPr>
            </w:pPr>
          </w:p>
        </w:tc>
      </w:tr>
      <w:tr>
        <w:trPr>
          <w:trHeight w:val="338"/>
        </w:trPr>
        <w:tc>
          <w:tcPr>
            <w:tcW w:w="2340" w:type="dxa"/>
            <w:vAlign w:val="bottom"/>
            <w:shd w:val="clear" w:color="auto" w:fill="F2F2F2"/>
          </w:tcPr>
          <w:p>
            <w:pPr>
              <w:ind w:left="300"/>
              <w:spacing w:after="0"/>
              <w:rPr>
                <w:sz w:val="20"/>
                <w:szCs w:val="20"/>
                <w:color w:val="auto"/>
              </w:rPr>
            </w:pPr>
            <w:r>
              <w:rPr>
                <w:rFonts w:ascii="Arial" w:cs="Arial" w:eastAsia="Arial" w:hAnsi="Arial"/>
                <w:sz w:val="18"/>
                <w:szCs w:val="18"/>
                <w:color w:val="auto"/>
              </w:rPr>
              <w:t>David Kelso*</w:t>
            </w:r>
          </w:p>
        </w:tc>
        <w:tc>
          <w:tcPr>
            <w:tcW w:w="3020" w:type="dxa"/>
            <w:vAlign w:val="bottom"/>
            <w:shd w:val="clear" w:color="auto" w:fill="F2F2F2"/>
          </w:tcPr>
          <w:p>
            <w:pPr>
              <w:ind w:left="340"/>
              <w:spacing w:after="0"/>
              <w:rPr>
                <w:sz w:val="20"/>
                <w:szCs w:val="20"/>
                <w:color w:val="auto"/>
              </w:rPr>
            </w:pPr>
            <w:r>
              <w:rPr>
                <w:rFonts w:ascii="Arial" w:cs="Arial" w:eastAsia="Arial" w:hAnsi="Arial"/>
                <w:sz w:val="18"/>
                <w:szCs w:val="18"/>
                <w:color w:val="auto"/>
              </w:rPr>
              <w:t>Nitin Sahney</w:t>
            </w:r>
          </w:p>
        </w:tc>
      </w:tr>
      <w:tr>
        <w:trPr>
          <w:trHeight w:val="338"/>
        </w:trPr>
        <w:tc>
          <w:tcPr>
            <w:tcW w:w="2340" w:type="dxa"/>
            <w:vAlign w:val="bottom"/>
            <w:shd w:val="clear" w:color="auto" w:fill="F2F2F2"/>
          </w:tcPr>
          <w:p>
            <w:pPr>
              <w:ind w:left="300"/>
              <w:spacing w:after="0"/>
              <w:rPr>
                <w:sz w:val="20"/>
                <w:szCs w:val="20"/>
                <w:color w:val="auto"/>
              </w:rPr>
            </w:pPr>
            <w:r>
              <w:rPr>
                <w:rFonts w:ascii="Arial" w:cs="Arial" w:eastAsia="Arial" w:hAnsi="Arial"/>
                <w:sz w:val="18"/>
                <w:szCs w:val="18"/>
                <w:color w:val="auto"/>
              </w:rPr>
              <w:t>Vikram Pandit</w:t>
            </w:r>
          </w:p>
        </w:tc>
        <w:tc>
          <w:tcPr>
            <w:tcW w:w="3020" w:type="dxa"/>
            <w:vAlign w:val="bottom"/>
            <w:shd w:val="clear" w:color="auto" w:fill="F2F2F2"/>
          </w:tcPr>
          <w:p>
            <w:pPr>
              <w:ind w:left="340"/>
              <w:spacing w:after="0"/>
              <w:rPr>
                <w:sz w:val="20"/>
                <w:szCs w:val="20"/>
                <w:color w:val="auto"/>
              </w:rPr>
            </w:pPr>
            <w:r>
              <w:rPr>
                <w:rFonts w:ascii="Arial" w:cs="Arial" w:eastAsia="Arial" w:hAnsi="Arial"/>
                <w:sz w:val="18"/>
                <w:szCs w:val="18"/>
                <w:color w:val="auto"/>
              </w:rPr>
              <w:t>Jaynie Studenmund*</w:t>
            </w:r>
          </w:p>
        </w:tc>
      </w:tr>
      <w:tr>
        <w:trPr>
          <w:trHeight w:val="121"/>
        </w:trPr>
        <w:tc>
          <w:tcPr>
            <w:tcW w:w="2340" w:type="dxa"/>
            <w:vAlign w:val="bottom"/>
            <w:shd w:val="clear" w:color="auto" w:fill="F2F2F2"/>
          </w:tcPr>
          <w:p>
            <w:pPr>
              <w:spacing w:after="0"/>
              <w:rPr>
                <w:sz w:val="10"/>
                <w:szCs w:val="10"/>
                <w:color w:val="auto"/>
              </w:rPr>
            </w:pPr>
          </w:p>
        </w:tc>
        <w:tc>
          <w:tcPr>
            <w:tcW w:w="3020" w:type="dxa"/>
            <w:vAlign w:val="bottom"/>
            <w:shd w:val="clear" w:color="auto" w:fill="F2F2F2"/>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-1876425</wp:posOffset>
            </wp:positionV>
            <wp:extent cx="600075" cy="411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0075" cy="411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-985520</wp:posOffset>
            </wp:positionV>
            <wp:extent cx="3420110" cy="31464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0110" cy="3146425"/>
                    </a:xfrm>
                    <a:prstGeom prst="rect">
                      <a:avLst/>
                    </a:prstGeom>
                    <a:noFill/>
                  </pic:spPr>
                </pic:pic>
              </a:graphicData>
            </a:graphic>
          </wp:anchor>
        </w:drawing>
      </w:r>
    </w:p>
    <w:p>
      <w:pPr>
        <w:spacing w:after="0" w:line="114" w:lineRule="exact"/>
        <w:rPr>
          <w:sz w:val="20"/>
          <w:szCs w:val="20"/>
          <w:color w:val="auto"/>
        </w:rPr>
      </w:pPr>
    </w:p>
    <w:p>
      <w:pPr>
        <w:ind w:left="540" w:hanging="316"/>
        <w:spacing w:after="0"/>
        <w:tabs>
          <w:tab w:leader="none" w:pos="540" w:val="left"/>
        </w:tabs>
        <w:numPr>
          <w:ilvl w:val="0"/>
          <w:numId w:val="61"/>
        </w:numPr>
        <w:rPr>
          <w:rFonts w:ascii="Arial" w:cs="Arial" w:eastAsia="Arial" w:hAnsi="Arial"/>
          <w:sz w:val="18"/>
          <w:szCs w:val="18"/>
          <w:color w:val="0093FF"/>
        </w:rPr>
      </w:pPr>
      <w:r>
        <w:rPr>
          <w:rFonts w:ascii="Arial" w:cs="Arial" w:eastAsia="Arial" w:hAnsi="Arial"/>
          <w:sz w:val="18"/>
          <w:szCs w:val="18"/>
          <w:color w:val="auto"/>
        </w:rPr>
        <w:t>Accounting and financial reporting processes</w:t>
      </w:r>
    </w:p>
    <w:p>
      <w:pPr>
        <w:spacing w:after="0" w:line="130" w:lineRule="exact"/>
        <w:rPr>
          <w:rFonts w:ascii="Arial" w:cs="Arial" w:eastAsia="Arial" w:hAnsi="Arial"/>
          <w:sz w:val="18"/>
          <w:szCs w:val="18"/>
          <w:color w:val="0093FF"/>
        </w:rPr>
      </w:pPr>
    </w:p>
    <w:p>
      <w:pPr>
        <w:ind w:left="540" w:right="720" w:hanging="316"/>
        <w:spacing w:after="0" w:line="246" w:lineRule="auto"/>
        <w:tabs>
          <w:tab w:leader="none" w:pos="525" w:val="left"/>
        </w:tabs>
        <w:numPr>
          <w:ilvl w:val="0"/>
          <w:numId w:val="61"/>
        </w:numPr>
        <w:rPr>
          <w:rFonts w:ascii="Arial" w:cs="Arial" w:eastAsia="Arial" w:hAnsi="Arial"/>
          <w:sz w:val="18"/>
          <w:szCs w:val="18"/>
          <w:color w:val="0093FF"/>
        </w:rPr>
      </w:pPr>
      <w:r>
        <w:rPr>
          <w:rFonts w:ascii="Arial" w:cs="Arial" w:eastAsia="Arial" w:hAnsi="Arial"/>
          <w:sz w:val="18"/>
          <w:szCs w:val="18"/>
          <w:color w:val="auto"/>
        </w:rPr>
        <w:t>Our independent registered public accounting firm’s appointment and independence</w:t>
      </w:r>
    </w:p>
    <w:p>
      <w:pPr>
        <w:spacing w:after="0" w:line="115" w:lineRule="exact"/>
        <w:rPr>
          <w:rFonts w:ascii="Arial" w:cs="Arial" w:eastAsia="Arial" w:hAnsi="Arial"/>
          <w:sz w:val="18"/>
          <w:szCs w:val="18"/>
          <w:color w:val="0093FF"/>
        </w:rPr>
      </w:pPr>
    </w:p>
    <w:p>
      <w:pPr>
        <w:ind w:left="540" w:right="500" w:hanging="316"/>
        <w:spacing w:after="0" w:line="246" w:lineRule="auto"/>
        <w:tabs>
          <w:tab w:leader="none" w:pos="525" w:val="left"/>
        </w:tabs>
        <w:numPr>
          <w:ilvl w:val="0"/>
          <w:numId w:val="61"/>
        </w:numPr>
        <w:rPr>
          <w:rFonts w:ascii="Arial" w:cs="Arial" w:eastAsia="Arial" w:hAnsi="Arial"/>
          <w:sz w:val="18"/>
          <w:szCs w:val="18"/>
          <w:color w:val="0093FF"/>
        </w:rPr>
      </w:pPr>
      <w:r>
        <w:rPr>
          <w:rFonts w:ascii="Arial" w:cs="Arial" w:eastAsia="Arial" w:hAnsi="Arial"/>
          <w:sz w:val="18"/>
          <w:szCs w:val="18"/>
          <w:color w:val="auto"/>
        </w:rPr>
        <w:t>The audit of our financial statements and internal audit function</w:t>
      </w:r>
    </w:p>
    <w:p>
      <w:pPr>
        <w:spacing w:after="0" w:line="115" w:lineRule="exact"/>
        <w:rPr>
          <w:rFonts w:ascii="Arial" w:cs="Arial" w:eastAsia="Arial" w:hAnsi="Arial"/>
          <w:sz w:val="18"/>
          <w:szCs w:val="18"/>
          <w:color w:val="0093FF"/>
        </w:rPr>
      </w:pPr>
    </w:p>
    <w:p>
      <w:pPr>
        <w:ind w:left="540" w:right="880" w:hanging="316"/>
        <w:spacing w:after="0" w:line="274" w:lineRule="auto"/>
        <w:tabs>
          <w:tab w:leader="none" w:pos="525" w:val="left"/>
        </w:tabs>
        <w:numPr>
          <w:ilvl w:val="0"/>
          <w:numId w:val="61"/>
        </w:numPr>
        <w:rPr>
          <w:rFonts w:ascii="Arial" w:cs="Arial" w:eastAsia="Arial" w:hAnsi="Arial"/>
          <w:sz w:val="17"/>
          <w:szCs w:val="17"/>
          <w:color w:val="0093FF"/>
        </w:rPr>
      </w:pPr>
      <w:r>
        <w:rPr>
          <w:rFonts w:ascii="Arial" w:cs="Arial" w:eastAsia="Arial" w:hAnsi="Arial"/>
          <w:sz w:val="17"/>
          <w:szCs w:val="17"/>
          <w:color w:val="auto"/>
        </w:rPr>
        <w:t>Other key areas including cybersecurity, litigation, compliance and regulatory enforcement matters</w:t>
      </w:r>
    </w:p>
    <w:p>
      <w:pPr>
        <w:spacing w:after="0" w:line="93" w:lineRule="exact"/>
        <w:rPr>
          <w:rFonts w:ascii="Arial" w:cs="Arial" w:eastAsia="Arial" w:hAnsi="Arial"/>
          <w:sz w:val="17"/>
          <w:szCs w:val="17"/>
          <w:color w:val="0093FF"/>
        </w:rPr>
      </w:pPr>
    </w:p>
    <w:p>
      <w:pPr>
        <w:ind w:left="540" w:hanging="316"/>
        <w:spacing w:after="0"/>
        <w:tabs>
          <w:tab w:leader="none" w:pos="540" w:val="left"/>
        </w:tabs>
        <w:numPr>
          <w:ilvl w:val="0"/>
          <w:numId w:val="61"/>
        </w:numPr>
        <w:rPr>
          <w:rFonts w:ascii="Arial" w:cs="Arial" w:eastAsia="Arial" w:hAnsi="Arial"/>
          <w:sz w:val="18"/>
          <w:szCs w:val="18"/>
          <w:color w:val="0093FF"/>
        </w:rPr>
      </w:pPr>
      <w:r>
        <w:rPr>
          <w:rFonts w:ascii="Arial" w:cs="Arial" w:eastAsia="Arial" w:hAnsi="Arial"/>
          <w:sz w:val="18"/>
          <w:szCs w:val="18"/>
          <w:color w:val="auto"/>
        </w:rPr>
        <w:t>Risk oversight</w:t>
      </w:r>
    </w:p>
    <w:p>
      <w:pPr>
        <w:spacing w:after="0" w:line="239" w:lineRule="exact"/>
        <w:rPr>
          <w:sz w:val="20"/>
          <w:szCs w:val="20"/>
          <w:color w:val="auto"/>
        </w:rPr>
      </w:pPr>
    </w:p>
    <w:p>
      <w:pPr>
        <w:ind w:left="240" w:right="280"/>
        <w:spacing w:after="0" w:line="246" w:lineRule="auto"/>
        <w:rPr>
          <w:sz w:val="20"/>
          <w:szCs w:val="20"/>
          <w:color w:val="auto"/>
        </w:rPr>
      </w:pPr>
      <w:r>
        <w:rPr>
          <w:rFonts w:ascii="Arial" w:cs="Arial" w:eastAsia="Arial" w:hAnsi="Arial"/>
          <w:sz w:val="18"/>
          <w:szCs w:val="18"/>
          <w:color w:val="262626"/>
        </w:rPr>
        <w:t>*Audit committee financial expert under applicable SEC rules and regulations</w:t>
      </w:r>
    </w:p>
    <w:p>
      <w:pPr>
        <w:spacing w:after="0" w:line="12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7 Committee Meetings in 2019</w:t>
      </w:r>
    </w:p>
    <w:p>
      <w:pPr>
        <w:spacing w:after="0" w:line="503" w:lineRule="exact"/>
        <w:rPr>
          <w:sz w:val="20"/>
          <w:szCs w:val="20"/>
          <w:color w:val="auto"/>
        </w:rPr>
      </w:pPr>
    </w:p>
    <w:p>
      <w:pPr>
        <w:sectPr>
          <w:pgSz w:w="11900" w:h="16838" w:orient="portrait"/>
          <w:cols w:equalWidth="0" w:num="2">
            <w:col w:w="5400" w:space="460"/>
            <w:col w:w="5360"/>
          </w:cols>
          <w:pgMar w:left="320" w:top="1440" w:right="359" w:bottom="1440" w:gutter="0" w:footer="0" w:header="0"/>
        </w:sectPr>
      </w:pPr>
    </w:p>
    <w:p>
      <w:pPr>
        <w:ind w:right="1000"/>
        <w:spacing w:after="0" w:line="246" w:lineRule="auto"/>
        <w:rPr>
          <w:sz w:val="20"/>
          <w:szCs w:val="20"/>
          <w:color w:val="auto"/>
        </w:rPr>
      </w:pPr>
      <w:r>
        <w:rPr>
          <w:rFonts w:ascii="Arial" w:cs="Arial" w:eastAsia="Arial" w:hAnsi="Arial"/>
          <w:sz w:val="18"/>
          <w:szCs w:val="18"/>
          <w:color w:val="262626"/>
        </w:rPr>
        <w:t>The members of our Audit Committee are appointed by our board of directors. All members of our Audit Committee must also be recommended by our Nominating and Governance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Nominating and Governance Committee</w:t>
      </w:r>
    </w:p>
    <w:p>
      <w:pPr>
        <w:spacing w:after="0" w:line="220" w:lineRule="exact"/>
        <w:rPr>
          <w:sz w:val="20"/>
          <w:szCs w:val="20"/>
          <w:color w:val="auto"/>
        </w:rPr>
      </w:pPr>
    </w:p>
    <w:p>
      <w:pPr>
        <w:ind w:right="280"/>
        <w:spacing w:after="0"/>
        <w:rPr>
          <w:sz w:val="20"/>
          <w:szCs w:val="20"/>
          <w:color w:val="auto"/>
        </w:rPr>
      </w:pPr>
      <w:r>
        <w:rPr>
          <w:rFonts w:ascii="Arial" w:cs="Arial" w:eastAsia="Arial" w:hAnsi="Arial"/>
          <w:sz w:val="18"/>
          <w:szCs w:val="18"/>
          <w:color w:val="262626"/>
        </w:rPr>
        <w:t>Our Nominating and Governance Committee is responsible for: (i) identifying and recommending candidates for election to our board of directors using selection criteria approved by our board of directors, (ii) developing and recommending to our board of directors Corporate Governance Guidelines that are applicable to us, and (iii) overseeing our board of director and management evaluations.</w:t>
      </w:r>
    </w:p>
    <w:p>
      <w:pPr>
        <w:spacing w:after="0" w:line="189"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262626"/>
        </w:rPr>
        <w:t>Our Nominating and Governance Committee has a policy, reflected in its charter, of considering director candidates recommended by our stockholders. Candidate recommendations should be sent to our Nominating and Governance Committee, c/o ExlService Holdings, Inc.,</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18"/>
          <w:szCs w:val="18"/>
          <w:color w:val="262626"/>
        </w:rPr>
        <w:t>320 Park Avenue, 29</w:t>
      </w:r>
      <w:r>
        <w:rPr>
          <w:rFonts w:ascii="Arial" w:cs="Arial" w:eastAsia="Arial" w:hAnsi="Arial"/>
          <w:sz w:val="29"/>
          <w:szCs w:val="29"/>
          <w:color w:val="262626"/>
          <w:vertAlign w:val="superscript"/>
        </w:rPr>
        <w:t>th</w:t>
      </w:r>
      <w:r>
        <w:rPr>
          <w:rFonts w:ascii="Arial" w:cs="Arial" w:eastAsia="Arial" w:hAnsi="Arial"/>
          <w:sz w:val="18"/>
          <w:szCs w:val="18"/>
          <w:color w:val="262626"/>
        </w:rPr>
        <w:t xml:space="preserve"> Floor, New York, New York 10022,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7" w:name="page38"/>
    <w:bookmarkEnd w:id="37"/>
    <w:p>
      <w:pPr>
        <w:spacing w:after="0" w:line="33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262626"/>
        </w:rPr>
        <w:t>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62626"/>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262626"/>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NOMINATING AND GOVERNANCE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-1042035</wp:posOffset>
            </wp:positionV>
            <wp:extent cx="600075"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0075" cy="411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-176530</wp:posOffset>
            </wp:positionV>
            <wp:extent cx="3420110" cy="25888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0110" cy="258889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2280" w:type="dxa"/>
            <w:vAlign w:val="bottom"/>
            <w:shd w:val="clear" w:color="auto" w:fill="F2F2F2"/>
          </w:tcPr>
          <w:p>
            <w:pPr>
              <w:ind w:left="300"/>
              <w:spacing w:after="0"/>
              <w:rPr>
                <w:sz w:val="20"/>
                <w:szCs w:val="20"/>
                <w:color w:val="auto"/>
              </w:rPr>
            </w:pPr>
            <w:r>
              <w:rPr>
                <w:rFonts w:ascii="Arial" w:cs="Arial" w:eastAsia="Arial" w:hAnsi="Arial"/>
                <w:sz w:val="18"/>
                <w:szCs w:val="18"/>
                <w:b w:val="1"/>
                <w:bCs w:val="1"/>
                <w:color w:val="auto"/>
              </w:rPr>
              <w:t>David Kelso, Chair</w:t>
            </w:r>
          </w:p>
        </w:tc>
        <w:tc>
          <w:tcPr>
            <w:tcW w:w="3080" w:type="dxa"/>
            <w:vAlign w:val="bottom"/>
            <w:shd w:val="clear" w:color="auto" w:fill="F2F2F2"/>
          </w:tcPr>
          <w:p>
            <w:pPr>
              <w:spacing w:after="0"/>
              <w:rPr>
                <w:sz w:val="24"/>
                <w:szCs w:val="24"/>
                <w:color w:val="auto"/>
              </w:rPr>
            </w:pPr>
          </w:p>
        </w:tc>
      </w:tr>
      <w:tr>
        <w:trPr>
          <w:trHeight w:val="365"/>
        </w:trPr>
        <w:tc>
          <w:tcPr>
            <w:tcW w:w="2280" w:type="dxa"/>
            <w:vAlign w:val="bottom"/>
            <w:shd w:val="clear" w:color="auto" w:fill="F2F2F2"/>
          </w:tcPr>
          <w:p>
            <w:pPr>
              <w:ind w:left="300"/>
              <w:spacing w:after="0"/>
              <w:rPr>
                <w:sz w:val="20"/>
                <w:szCs w:val="20"/>
                <w:color w:val="auto"/>
              </w:rPr>
            </w:pPr>
            <w:r>
              <w:rPr>
                <w:rFonts w:ascii="Arial" w:cs="Arial" w:eastAsia="Arial" w:hAnsi="Arial"/>
                <w:sz w:val="18"/>
                <w:szCs w:val="18"/>
                <w:color w:val="auto"/>
              </w:rPr>
              <w:t>Deborah Kerr</w:t>
            </w:r>
          </w:p>
        </w:tc>
        <w:tc>
          <w:tcPr>
            <w:tcW w:w="3080" w:type="dxa"/>
            <w:vAlign w:val="bottom"/>
            <w:shd w:val="clear" w:color="auto" w:fill="F2F2F2"/>
          </w:tcPr>
          <w:p>
            <w:pPr>
              <w:ind w:left="400"/>
              <w:spacing w:after="0"/>
              <w:rPr>
                <w:sz w:val="20"/>
                <w:szCs w:val="20"/>
                <w:color w:val="auto"/>
              </w:rPr>
            </w:pPr>
            <w:r>
              <w:rPr>
                <w:rFonts w:ascii="Arial" w:cs="Arial" w:eastAsia="Arial" w:hAnsi="Arial"/>
                <w:sz w:val="18"/>
                <w:szCs w:val="18"/>
                <w:color w:val="auto"/>
              </w:rPr>
              <w:t>Nitin Sahney</w:t>
            </w:r>
          </w:p>
        </w:tc>
      </w:tr>
      <w:tr>
        <w:trPr>
          <w:trHeight w:val="405"/>
        </w:trPr>
        <w:tc>
          <w:tcPr>
            <w:tcW w:w="2280" w:type="dxa"/>
            <w:vAlign w:val="bottom"/>
            <w:shd w:val="clear" w:color="auto" w:fill="F2F2F2"/>
          </w:tcPr>
          <w:p>
            <w:pPr>
              <w:ind w:left="300"/>
              <w:spacing w:after="0"/>
              <w:rPr>
                <w:sz w:val="20"/>
                <w:szCs w:val="20"/>
                <w:color w:val="auto"/>
              </w:rPr>
            </w:pPr>
            <w:r>
              <w:rPr>
                <w:rFonts w:ascii="Arial" w:cs="Arial" w:eastAsia="Arial" w:hAnsi="Arial"/>
                <w:sz w:val="18"/>
                <w:szCs w:val="18"/>
                <w:color w:val="auto"/>
              </w:rPr>
              <w:t>Anne Minto</w:t>
            </w:r>
          </w:p>
        </w:tc>
        <w:tc>
          <w:tcPr>
            <w:tcW w:w="3080" w:type="dxa"/>
            <w:vAlign w:val="bottom"/>
            <w:shd w:val="clear" w:color="auto" w:fill="F2F2F2"/>
          </w:tcPr>
          <w:p>
            <w:pPr>
              <w:ind w:left="400"/>
              <w:spacing w:after="0"/>
              <w:rPr>
                <w:sz w:val="20"/>
                <w:szCs w:val="20"/>
                <w:color w:val="auto"/>
              </w:rPr>
            </w:pPr>
            <w:r>
              <w:rPr>
                <w:rFonts w:ascii="Arial" w:cs="Arial" w:eastAsia="Arial" w:hAnsi="Arial"/>
                <w:sz w:val="18"/>
                <w:szCs w:val="18"/>
                <w:color w:val="auto"/>
              </w:rPr>
              <w:t>Garen Staglin</w:t>
            </w:r>
          </w:p>
        </w:tc>
      </w:tr>
      <w:tr>
        <w:trPr>
          <w:trHeight w:val="405"/>
        </w:trPr>
        <w:tc>
          <w:tcPr>
            <w:tcW w:w="2280" w:type="dxa"/>
            <w:vAlign w:val="bottom"/>
            <w:shd w:val="clear" w:color="auto" w:fill="F2F2F2"/>
          </w:tcPr>
          <w:p>
            <w:pPr>
              <w:ind w:left="300"/>
              <w:spacing w:after="0"/>
              <w:rPr>
                <w:sz w:val="20"/>
                <w:szCs w:val="20"/>
                <w:color w:val="auto"/>
              </w:rPr>
            </w:pPr>
            <w:r>
              <w:rPr>
                <w:rFonts w:ascii="Arial" w:cs="Arial" w:eastAsia="Arial" w:hAnsi="Arial"/>
                <w:sz w:val="18"/>
                <w:szCs w:val="18"/>
                <w:color w:val="auto"/>
              </w:rPr>
              <w:t>Som Mittal</w:t>
            </w:r>
          </w:p>
        </w:tc>
        <w:tc>
          <w:tcPr>
            <w:tcW w:w="3080" w:type="dxa"/>
            <w:vAlign w:val="bottom"/>
            <w:shd w:val="clear" w:color="auto" w:fill="F2F2F2"/>
          </w:tcPr>
          <w:p>
            <w:pPr>
              <w:spacing w:after="0"/>
              <w:rPr>
                <w:sz w:val="24"/>
                <w:szCs w:val="24"/>
                <w:color w:val="auto"/>
              </w:rPr>
            </w:pPr>
          </w:p>
        </w:tc>
      </w:tr>
      <w:tr>
        <w:trPr>
          <w:trHeight w:val="189"/>
        </w:trPr>
        <w:tc>
          <w:tcPr>
            <w:tcW w:w="2280" w:type="dxa"/>
            <w:vAlign w:val="bottom"/>
            <w:shd w:val="clear" w:color="auto" w:fill="F2F2F2"/>
          </w:tcPr>
          <w:p>
            <w:pPr>
              <w:spacing w:after="0"/>
              <w:rPr>
                <w:sz w:val="16"/>
                <w:szCs w:val="16"/>
                <w:color w:val="auto"/>
              </w:rPr>
            </w:pPr>
          </w:p>
        </w:tc>
        <w:tc>
          <w:tcPr>
            <w:tcW w:w="3080" w:type="dxa"/>
            <w:vAlign w:val="bottom"/>
            <w:shd w:val="clear" w:color="auto" w:fill="F2F2F2"/>
          </w:tcPr>
          <w:p>
            <w:pPr>
              <w:spacing w:after="0"/>
              <w:rPr>
                <w:sz w:val="16"/>
                <w:szCs w:val="16"/>
                <w:color w:val="auto"/>
              </w:rPr>
            </w:pPr>
          </w:p>
        </w:tc>
      </w:tr>
    </w:tbl>
    <w:p>
      <w:pPr>
        <w:spacing w:after="0" w:line="161" w:lineRule="exact"/>
        <w:rPr>
          <w:sz w:val="20"/>
          <w:szCs w:val="20"/>
          <w:color w:val="auto"/>
        </w:rPr>
      </w:pPr>
    </w:p>
    <w:p>
      <w:pPr>
        <w:ind w:left="640" w:hanging="314"/>
        <w:spacing w:after="0"/>
        <w:tabs>
          <w:tab w:leader="none" w:pos="640" w:val="left"/>
        </w:tabs>
        <w:numPr>
          <w:ilvl w:val="0"/>
          <w:numId w:val="62"/>
        </w:numPr>
        <w:rPr>
          <w:rFonts w:ascii="Arial" w:cs="Arial" w:eastAsia="Arial" w:hAnsi="Arial"/>
          <w:sz w:val="18"/>
          <w:szCs w:val="18"/>
          <w:color w:val="0093FF"/>
        </w:rPr>
      </w:pPr>
      <w:r>
        <w:rPr>
          <w:rFonts w:ascii="Arial" w:cs="Arial" w:eastAsia="Arial" w:hAnsi="Arial"/>
          <w:sz w:val="18"/>
          <w:szCs w:val="18"/>
          <w:color w:val="auto"/>
        </w:rPr>
        <w:t>Identifying and recommending board candidates</w:t>
      </w:r>
    </w:p>
    <w:p>
      <w:pPr>
        <w:spacing w:after="0" w:line="198" w:lineRule="exact"/>
        <w:rPr>
          <w:rFonts w:ascii="Arial" w:cs="Arial" w:eastAsia="Arial" w:hAnsi="Arial"/>
          <w:sz w:val="18"/>
          <w:szCs w:val="18"/>
          <w:color w:val="0093FF"/>
        </w:rPr>
      </w:pPr>
    </w:p>
    <w:p>
      <w:pPr>
        <w:ind w:left="660" w:right="420" w:hanging="334"/>
        <w:spacing w:after="0" w:line="274" w:lineRule="auto"/>
        <w:tabs>
          <w:tab w:leader="none" w:pos="645" w:val="left"/>
        </w:tabs>
        <w:numPr>
          <w:ilvl w:val="0"/>
          <w:numId w:val="62"/>
        </w:numPr>
        <w:rPr>
          <w:rFonts w:ascii="Arial" w:cs="Arial" w:eastAsia="Arial" w:hAnsi="Arial"/>
          <w:sz w:val="17"/>
          <w:szCs w:val="17"/>
          <w:color w:val="0093FF"/>
        </w:rPr>
      </w:pPr>
      <w:r>
        <w:rPr>
          <w:rFonts w:ascii="Arial" w:cs="Arial" w:eastAsia="Arial" w:hAnsi="Arial"/>
          <w:sz w:val="17"/>
          <w:szCs w:val="17"/>
          <w:color w:val="auto"/>
        </w:rPr>
        <w:t>Developing and recommending governance practices, including our Corporate Governance Guidelines</w:t>
      </w:r>
    </w:p>
    <w:p>
      <w:pPr>
        <w:spacing w:after="0" w:line="161" w:lineRule="exact"/>
        <w:rPr>
          <w:rFonts w:ascii="Arial" w:cs="Arial" w:eastAsia="Arial" w:hAnsi="Arial"/>
          <w:sz w:val="17"/>
          <w:szCs w:val="17"/>
          <w:color w:val="0093FF"/>
        </w:rPr>
      </w:pPr>
    </w:p>
    <w:p>
      <w:pPr>
        <w:ind w:left="640" w:hanging="314"/>
        <w:spacing w:after="0"/>
        <w:tabs>
          <w:tab w:leader="none" w:pos="640" w:val="left"/>
        </w:tabs>
        <w:numPr>
          <w:ilvl w:val="0"/>
          <w:numId w:val="62"/>
        </w:numPr>
        <w:rPr>
          <w:rFonts w:ascii="Arial" w:cs="Arial" w:eastAsia="Arial" w:hAnsi="Arial"/>
          <w:sz w:val="18"/>
          <w:szCs w:val="18"/>
          <w:color w:val="0093FF"/>
        </w:rPr>
      </w:pPr>
      <w:r>
        <w:rPr>
          <w:rFonts w:ascii="Arial" w:cs="Arial" w:eastAsia="Arial" w:hAnsi="Arial"/>
          <w:sz w:val="18"/>
          <w:szCs w:val="18"/>
          <w:color w:val="auto"/>
        </w:rPr>
        <w:t>Overseeing board and management evaluations</w:t>
      </w:r>
    </w:p>
    <w:p>
      <w:pPr>
        <w:spacing w:after="0" w:line="2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5 Committee Meetings in 2019</w:t>
      </w:r>
    </w:p>
    <w:p>
      <w:pPr>
        <w:spacing w:after="0" w:line="1151" w:lineRule="exact"/>
        <w:rPr>
          <w:sz w:val="20"/>
          <w:szCs w:val="20"/>
          <w:color w:val="auto"/>
        </w:rPr>
      </w:pPr>
    </w:p>
    <w:p>
      <w:pPr>
        <w:sectPr>
          <w:pgSz w:w="11900" w:h="16838" w:orient="portrait"/>
          <w:cols w:equalWidth="0" w:num="2">
            <w:col w:w="5280" w:space="580"/>
            <w:col w:w="5360"/>
          </w:cols>
          <w:pgMar w:left="320" w:top="1440" w:right="359" w:bottom="1440" w:gutter="0" w:footer="0" w:header="0"/>
        </w:sectPr>
      </w:pPr>
    </w:p>
    <w:p>
      <w:pPr>
        <w:ind w:right="140"/>
        <w:spacing w:after="0"/>
        <w:rPr>
          <w:sz w:val="20"/>
          <w:szCs w:val="20"/>
          <w:color w:val="auto"/>
        </w:rPr>
      </w:pPr>
      <w:r>
        <w:rPr>
          <w:rFonts w:ascii="Arial" w:cs="Arial" w:eastAsia="Arial" w:hAnsi="Arial"/>
          <w:sz w:val="18"/>
          <w:szCs w:val="18"/>
          <w:color w:val="262626"/>
        </w:rPr>
        <w:t>The Nominating and Governance Committee is responsible for developing and annually reassessing succession plans for our CEO and other key executive officers of the Company. The Nominating and Governance Committee also prepares contingency plans for interim CEO succession in the event of an unexpected occurrence.</w:t>
      </w:r>
    </w:p>
    <w:p>
      <w:pPr>
        <w:spacing w:after="0" w:line="1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262626"/>
        </w:rPr>
        <w:t>The Nominating and Governance Committee also oversees our director onboarding and training program, which provides new directors with training regarding the Company’s policies and procedures and specific requirements that may be needed based on the director’s committee memberships.</w:t>
      </w:r>
    </w:p>
    <w:p>
      <w:pPr>
        <w:spacing w:after="0" w:line="14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62626"/>
        </w:rPr>
        <w:t>In addition, the Nominating and Governance Committee reviews the Company’s corporate social responsibility goals, policies and programs twice annually and the Company’s corporate governance policies and practices regularly. Our Nominating and Governance Committee annually reviews and assesses the adequacy of the Nominating and Governance Committee charter and its own performance. The members of our Nominating and Governance Committee are appointed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0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8" w:name="page39"/>
    <w:bookmarkEnd w:id="38"/>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Compensation Committee</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262626"/>
        </w:rPr>
        <w:t>Our Compensation Committee reviews and recommends policies relating to compensation and benefits of 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COMPENSATION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-870585</wp:posOffset>
            </wp:positionV>
            <wp:extent cx="3420110" cy="3360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0110" cy="336042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2260" w:type="dxa"/>
            <w:vAlign w:val="bottom"/>
            <w:shd w:val="clear" w:color="auto" w:fill="F2F2F2"/>
          </w:tcPr>
          <w:p>
            <w:pPr>
              <w:ind w:left="300"/>
              <w:spacing w:after="0"/>
              <w:rPr>
                <w:sz w:val="20"/>
                <w:szCs w:val="20"/>
                <w:color w:val="auto"/>
              </w:rPr>
            </w:pPr>
            <w:r>
              <w:rPr>
                <w:rFonts w:ascii="Arial" w:cs="Arial" w:eastAsia="Arial" w:hAnsi="Arial"/>
                <w:sz w:val="18"/>
                <w:szCs w:val="18"/>
                <w:b w:val="1"/>
                <w:bCs w:val="1"/>
                <w:color w:val="auto"/>
              </w:rPr>
              <w:t>Anne Minto, Chair</w:t>
            </w:r>
          </w:p>
        </w:tc>
        <w:tc>
          <w:tcPr>
            <w:tcW w:w="3100" w:type="dxa"/>
            <w:vAlign w:val="bottom"/>
            <w:shd w:val="clear" w:color="auto" w:fill="F2F2F2"/>
          </w:tcPr>
          <w:p>
            <w:pPr>
              <w:spacing w:after="0"/>
              <w:rPr>
                <w:sz w:val="24"/>
                <w:szCs w:val="24"/>
                <w:color w:val="auto"/>
              </w:rPr>
            </w:pPr>
          </w:p>
        </w:tc>
      </w:tr>
      <w:tr>
        <w:trPr>
          <w:trHeight w:val="365"/>
        </w:trPr>
        <w:tc>
          <w:tcPr>
            <w:tcW w:w="2260" w:type="dxa"/>
            <w:vAlign w:val="bottom"/>
            <w:shd w:val="clear" w:color="auto" w:fill="F2F2F2"/>
          </w:tcPr>
          <w:p>
            <w:pPr>
              <w:ind w:left="300"/>
              <w:spacing w:after="0"/>
              <w:rPr>
                <w:sz w:val="20"/>
                <w:szCs w:val="20"/>
                <w:color w:val="auto"/>
              </w:rPr>
            </w:pPr>
            <w:r>
              <w:rPr>
                <w:rFonts w:ascii="Arial" w:cs="Arial" w:eastAsia="Arial" w:hAnsi="Arial"/>
                <w:sz w:val="18"/>
                <w:szCs w:val="18"/>
                <w:color w:val="auto"/>
              </w:rPr>
              <w:t>Deborah Kerr</w:t>
            </w:r>
          </w:p>
        </w:tc>
        <w:tc>
          <w:tcPr>
            <w:tcW w:w="3100" w:type="dxa"/>
            <w:vAlign w:val="bottom"/>
            <w:shd w:val="clear" w:color="auto" w:fill="F2F2F2"/>
          </w:tcPr>
          <w:p>
            <w:pPr>
              <w:ind w:left="420"/>
              <w:spacing w:after="0"/>
              <w:rPr>
                <w:sz w:val="20"/>
                <w:szCs w:val="20"/>
                <w:color w:val="auto"/>
              </w:rPr>
            </w:pPr>
            <w:r>
              <w:rPr>
                <w:rFonts w:ascii="Arial" w:cs="Arial" w:eastAsia="Arial" w:hAnsi="Arial"/>
                <w:sz w:val="18"/>
                <w:szCs w:val="18"/>
                <w:color w:val="auto"/>
              </w:rPr>
              <w:t>Garen Staglin</w:t>
            </w:r>
          </w:p>
        </w:tc>
      </w:tr>
      <w:tr>
        <w:trPr>
          <w:trHeight w:val="364"/>
        </w:trPr>
        <w:tc>
          <w:tcPr>
            <w:tcW w:w="2260" w:type="dxa"/>
            <w:vAlign w:val="bottom"/>
            <w:shd w:val="clear" w:color="auto" w:fill="F2F2F2"/>
          </w:tcPr>
          <w:p>
            <w:pPr>
              <w:ind w:left="300"/>
              <w:spacing w:after="0"/>
              <w:rPr>
                <w:sz w:val="20"/>
                <w:szCs w:val="20"/>
                <w:color w:val="auto"/>
              </w:rPr>
            </w:pPr>
            <w:r>
              <w:rPr>
                <w:rFonts w:ascii="Arial" w:cs="Arial" w:eastAsia="Arial" w:hAnsi="Arial"/>
                <w:sz w:val="18"/>
                <w:szCs w:val="18"/>
                <w:color w:val="auto"/>
              </w:rPr>
              <w:t>Som Mittal</w:t>
            </w:r>
          </w:p>
        </w:tc>
        <w:tc>
          <w:tcPr>
            <w:tcW w:w="3100" w:type="dxa"/>
            <w:vAlign w:val="bottom"/>
            <w:shd w:val="clear" w:color="auto" w:fill="F2F2F2"/>
          </w:tcPr>
          <w:p>
            <w:pPr>
              <w:ind w:left="420"/>
              <w:spacing w:after="0"/>
              <w:rPr>
                <w:sz w:val="20"/>
                <w:szCs w:val="20"/>
                <w:color w:val="auto"/>
              </w:rPr>
            </w:pPr>
            <w:r>
              <w:rPr>
                <w:rFonts w:ascii="Arial" w:cs="Arial" w:eastAsia="Arial" w:hAnsi="Arial"/>
                <w:sz w:val="18"/>
                <w:szCs w:val="18"/>
                <w:color w:val="auto"/>
              </w:rPr>
              <w:t>Jaynie Studenmund</w:t>
            </w:r>
          </w:p>
        </w:tc>
      </w:tr>
      <w:tr>
        <w:trPr>
          <w:trHeight w:val="364"/>
        </w:trPr>
        <w:tc>
          <w:tcPr>
            <w:tcW w:w="2260" w:type="dxa"/>
            <w:vAlign w:val="bottom"/>
            <w:shd w:val="clear" w:color="auto" w:fill="F2F2F2"/>
          </w:tcPr>
          <w:p>
            <w:pPr>
              <w:ind w:left="300"/>
              <w:spacing w:after="0"/>
              <w:rPr>
                <w:sz w:val="20"/>
                <w:szCs w:val="20"/>
                <w:color w:val="auto"/>
              </w:rPr>
            </w:pPr>
            <w:r>
              <w:rPr>
                <w:rFonts w:ascii="Arial" w:cs="Arial" w:eastAsia="Arial" w:hAnsi="Arial"/>
                <w:sz w:val="18"/>
                <w:szCs w:val="18"/>
                <w:color w:val="auto"/>
              </w:rPr>
              <w:t>Clyde Ostler</w:t>
            </w:r>
          </w:p>
        </w:tc>
        <w:tc>
          <w:tcPr>
            <w:tcW w:w="3100" w:type="dxa"/>
            <w:vAlign w:val="bottom"/>
            <w:shd w:val="clear" w:color="auto" w:fill="F2F2F2"/>
          </w:tcPr>
          <w:p>
            <w:pPr>
              <w:spacing w:after="0"/>
              <w:rPr>
                <w:sz w:val="24"/>
                <w:szCs w:val="24"/>
                <w:color w:val="auto"/>
              </w:rPr>
            </w:pPr>
          </w:p>
        </w:tc>
      </w:tr>
      <w:tr>
        <w:trPr>
          <w:trHeight w:val="189"/>
        </w:trPr>
        <w:tc>
          <w:tcPr>
            <w:tcW w:w="2260" w:type="dxa"/>
            <w:vAlign w:val="bottom"/>
            <w:shd w:val="clear" w:color="auto" w:fill="F2F2F2"/>
          </w:tcPr>
          <w:p>
            <w:pPr>
              <w:spacing w:after="0"/>
              <w:rPr>
                <w:sz w:val="16"/>
                <w:szCs w:val="16"/>
                <w:color w:val="auto"/>
              </w:rPr>
            </w:pPr>
          </w:p>
        </w:tc>
        <w:tc>
          <w:tcPr>
            <w:tcW w:w="3100" w:type="dxa"/>
            <w:vAlign w:val="bottom"/>
            <w:shd w:val="clear" w:color="auto" w:fill="F2F2F2"/>
          </w:tcPr>
          <w:p>
            <w:pPr>
              <w:spacing w:after="0"/>
              <w:rPr>
                <w:sz w:val="16"/>
                <w:szCs w:val="16"/>
                <w:color w:val="auto"/>
              </w:rPr>
            </w:pPr>
          </w:p>
        </w:tc>
      </w:tr>
    </w:tbl>
    <w:p>
      <w:pPr>
        <w:spacing w:after="0" w:line="161" w:lineRule="exact"/>
        <w:rPr>
          <w:sz w:val="20"/>
          <w:szCs w:val="20"/>
          <w:color w:val="auto"/>
        </w:rPr>
      </w:pPr>
    </w:p>
    <w:p>
      <w:pPr>
        <w:ind w:left="660" w:right="100" w:hanging="334"/>
        <w:spacing w:after="0" w:line="246" w:lineRule="auto"/>
        <w:tabs>
          <w:tab w:leader="none" w:pos="645" w:val="left"/>
        </w:tabs>
        <w:numPr>
          <w:ilvl w:val="0"/>
          <w:numId w:val="63"/>
        </w:numPr>
        <w:rPr>
          <w:rFonts w:ascii="Arial" w:cs="Arial" w:eastAsia="Arial" w:hAnsi="Arial"/>
          <w:sz w:val="18"/>
          <w:szCs w:val="18"/>
          <w:color w:val="0093FF"/>
        </w:rPr>
      </w:pPr>
      <w:r>
        <w:rPr>
          <w:rFonts w:ascii="Arial" w:cs="Arial" w:eastAsia="Arial" w:hAnsi="Arial"/>
          <w:sz w:val="18"/>
          <w:szCs w:val="18"/>
          <w:color w:val="auto"/>
        </w:rPr>
        <w:t>Reviewing and recommending compensation and benefits of directors, officers and employees</w:t>
      </w:r>
    </w:p>
    <w:p>
      <w:pPr>
        <w:spacing w:after="0" w:line="183" w:lineRule="exact"/>
        <w:rPr>
          <w:rFonts w:ascii="Arial" w:cs="Arial" w:eastAsia="Arial" w:hAnsi="Arial"/>
          <w:sz w:val="18"/>
          <w:szCs w:val="18"/>
          <w:color w:val="0093FF"/>
        </w:rPr>
      </w:pPr>
    </w:p>
    <w:p>
      <w:pPr>
        <w:ind w:left="660" w:right="740" w:hanging="334"/>
        <w:spacing w:after="0" w:line="274" w:lineRule="auto"/>
        <w:tabs>
          <w:tab w:leader="none" w:pos="645" w:val="left"/>
        </w:tabs>
        <w:numPr>
          <w:ilvl w:val="0"/>
          <w:numId w:val="63"/>
        </w:numPr>
        <w:rPr>
          <w:rFonts w:ascii="Arial" w:cs="Arial" w:eastAsia="Arial" w:hAnsi="Arial"/>
          <w:sz w:val="17"/>
          <w:szCs w:val="17"/>
          <w:color w:val="0093FF"/>
        </w:rPr>
      </w:pPr>
      <w:r>
        <w:rPr>
          <w:rFonts w:ascii="Arial" w:cs="Arial" w:eastAsia="Arial" w:hAnsi="Arial"/>
          <w:sz w:val="17"/>
          <w:szCs w:val="17"/>
          <w:color w:val="auto"/>
        </w:rPr>
        <w:t>Overall compensation risk management, including recommending incentive compensation plans</w:t>
      </w:r>
    </w:p>
    <w:p>
      <w:pPr>
        <w:spacing w:after="0" w:line="161" w:lineRule="exact"/>
        <w:rPr>
          <w:rFonts w:ascii="Arial" w:cs="Arial" w:eastAsia="Arial" w:hAnsi="Arial"/>
          <w:sz w:val="17"/>
          <w:szCs w:val="17"/>
          <w:color w:val="0093FF"/>
        </w:rPr>
      </w:pPr>
    </w:p>
    <w:p>
      <w:pPr>
        <w:ind w:left="640" w:hanging="314"/>
        <w:spacing w:after="0"/>
        <w:tabs>
          <w:tab w:leader="none" w:pos="640" w:val="left"/>
        </w:tabs>
        <w:numPr>
          <w:ilvl w:val="0"/>
          <w:numId w:val="63"/>
        </w:numPr>
        <w:rPr>
          <w:rFonts w:ascii="Arial" w:cs="Arial" w:eastAsia="Arial" w:hAnsi="Arial"/>
          <w:sz w:val="18"/>
          <w:szCs w:val="18"/>
          <w:color w:val="0093FF"/>
        </w:rPr>
      </w:pPr>
      <w:r>
        <w:rPr>
          <w:rFonts w:ascii="Arial" w:cs="Arial" w:eastAsia="Arial" w:hAnsi="Arial"/>
          <w:sz w:val="18"/>
          <w:szCs w:val="18"/>
          <w:color w:val="auto"/>
        </w:rPr>
        <w:t>Retention of advisors or other compensation consultants</w:t>
      </w:r>
    </w:p>
    <w:p>
      <w:pPr>
        <w:spacing w:after="0" w:line="2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5 Committee Meetings in 2019</w:t>
      </w:r>
    </w:p>
    <w:p>
      <w:pPr>
        <w:spacing w:after="0" w:line="200" w:lineRule="exact"/>
        <w:rPr>
          <w:sz w:val="20"/>
          <w:szCs w:val="20"/>
          <w:color w:val="auto"/>
        </w:rPr>
      </w:pPr>
    </w:p>
    <w:p>
      <w:pPr>
        <w:sectPr>
          <w:pgSz w:w="11900" w:h="16838" w:orient="portrait"/>
          <w:cols w:equalWidth="0" w:num="2">
            <w:col w:w="5280" w:space="580"/>
            <w:col w:w="5360"/>
          </w:cols>
          <w:pgMar w:left="320" w:top="1440" w:right="359" w:bottom="1440" w:gutter="0" w:footer="0" w:header="0"/>
        </w:sectPr>
      </w:pPr>
    </w:p>
    <w:p>
      <w:pPr>
        <w:spacing w:after="0" w:line="26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262626"/>
        </w:rPr>
        <w:t>Our Compensation Committee charter also permits the committee to retain advisors, consultants or other professionals to assist the Compensation Committee to evaluate director, Vice Chairman and CEO or other senior executive compensation and to carry out its duties. For 2019, our Compensation Committee retained the services of Frederick W. Cook &amp; Co., Inc. (“FW Cook”), a qualified and independent compensation consultant, to aid the Compensation Committee in performing its review of executive compensation including executive compensation benchmarking and peer group analysis.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w:t>
      </w:r>
    </w:p>
    <w:p>
      <w:pPr>
        <w:spacing w:after="0" w:line="14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62626"/>
        </w:rPr>
        <w:t>The members of our Compensation Committee are appointed by our board of directors. All new members of our Compensation Committee must be recommended by our Nominating and Governance Committee.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Board Self-Assessment</w:t>
      </w:r>
    </w:p>
    <w:p>
      <w:pPr>
        <w:spacing w:after="0" w:line="18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262626"/>
        </w:rPr>
        <w:t>Our Nominating and Governance Committee provides annual reports to our board of directors on the directors’ self-assessment of the performance of our board of directors, and on our CEO’s performance in respect of certain goals and objectives set by our Nominating and Governance Committee. In 2019, we engaged the National Association of Corporate Directors (the “NACD”) to assist in this process by providing a third party assessment of our board of directors and our committees.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Risk Oversight</w:t>
      </w:r>
    </w:p>
    <w:p>
      <w:pPr>
        <w:spacing w:after="0" w:line="22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262626"/>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9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62626"/>
        </w:rPr>
        <w:t>Our management is responsible for management of our day-to-day risks, and, because we are exposed to financial risks in multiple areas of our business, day-to-day risk management activities and processes are performed by multiple</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9" w:name="page40"/>
    <w:bookmarkEnd w:id="39"/>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160"/>
        <w:spacing w:after="0" w:line="237" w:lineRule="auto"/>
        <w:rPr>
          <w:sz w:val="20"/>
          <w:szCs w:val="20"/>
          <w:color w:val="auto"/>
        </w:rPr>
      </w:pPr>
      <w:r>
        <w:rPr>
          <w:rFonts w:ascii="Arial" w:cs="Arial" w:eastAsia="Arial" w:hAnsi="Arial"/>
          <w:sz w:val="18"/>
          <w:szCs w:val="18"/>
          <w:color w:val="auto"/>
        </w:rPr>
        <w:t>members of our senior and 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ectPr>
          <w:pgSz w:w="11900" w:h="16838" w:orient="portrait"/>
          <w:cols w:equalWidth="0" w:num="1">
            <w:col w:w="11240"/>
          </w:cols>
          <w:pgMar w:left="320" w:top="1440"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Once a year, the full board receives a report from management on the Company’s readiness and capability to prevent, detect and respond to a cyber-attack.</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62626"/>
        </w:rPr>
        <w:t>In addition, we maintain Risk Appetite Guidelines that describe certain categories of risk and qualitative and quantitative thresholds considered by the Company to be consistent with its strategic objectives. These guidelines are designed to serve as a reference in assessing and implementing strategy, and to be actionable by management such that they are meaningful from an operational perspective.</w:t>
      </w:r>
    </w:p>
    <w:p>
      <w:pPr>
        <w:spacing w:after="0" w:line="150" w:lineRule="exact"/>
        <w:rPr>
          <w:sz w:val="20"/>
          <w:szCs w:val="20"/>
          <w:color w:val="auto"/>
        </w:rPr>
      </w:pPr>
    </w:p>
    <w:p>
      <w:pPr>
        <w:ind w:right="740"/>
        <w:spacing w:after="0" w:line="261" w:lineRule="auto"/>
        <w:rPr>
          <w:sz w:val="20"/>
          <w:szCs w:val="20"/>
          <w:color w:val="auto"/>
        </w:rPr>
      </w:pPr>
      <w:r>
        <w:rPr>
          <w:rFonts w:ascii="Arial" w:cs="Arial" w:eastAsia="Arial" w:hAnsi="Arial"/>
          <w:sz w:val="22"/>
          <w:szCs w:val="22"/>
          <w:b w:val="1"/>
          <w:bCs w:val="1"/>
          <w:color w:val="0093FF"/>
        </w:rPr>
        <w:t>Compensation Committee Interlocks and Insider Participation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62626"/>
        </w:rPr>
        <w:t>Ms. Kerr, Ms. Minto, Mr. Mittal, Mr. Ostler, Mr. Staglin and Ms.</w:t>
      </w:r>
    </w:p>
    <w:p>
      <w:pPr>
        <w:spacing w:after="0"/>
        <w:rPr>
          <w:sz w:val="20"/>
          <w:szCs w:val="20"/>
          <w:color w:val="auto"/>
        </w:rPr>
      </w:pPr>
      <w:r>
        <w:rPr>
          <w:rFonts w:ascii="Arial" w:cs="Arial" w:eastAsia="Arial" w:hAnsi="Arial"/>
          <w:sz w:val="18"/>
          <w:szCs w:val="18"/>
          <w:color w:val="262626"/>
        </w:rPr>
        <w:t>Studenmund are the members of our Compensation Committee.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Risk Oversight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-116205</wp:posOffset>
            </wp:positionV>
            <wp:extent cx="17145" cy="21088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2108835"/>
                    </a:xfrm>
                    <a:prstGeom prst="rect">
                      <a:avLst/>
                    </a:prstGeom>
                    <a:noFill/>
                  </pic:spPr>
                </pic:pic>
              </a:graphicData>
            </a:graphic>
          </wp:anchor>
        </w:drawing>
      </w:r>
    </w:p>
    <w:p>
      <w:pPr>
        <w:spacing w:after="0" w:line="119" w:lineRule="exact"/>
        <w:rPr>
          <w:sz w:val="20"/>
          <w:szCs w:val="20"/>
          <w:color w:val="auto"/>
        </w:rPr>
      </w:pPr>
    </w:p>
    <w:p>
      <w:pPr>
        <w:ind w:left="480" w:hanging="318"/>
        <w:spacing w:after="0"/>
        <w:tabs>
          <w:tab w:leader="none" w:pos="480" w:val="left"/>
        </w:tabs>
        <w:numPr>
          <w:ilvl w:val="0"/>
          <w:numId w:val="64"/>
        </w:numPr>
        <w:rPr>
          <w:rFonts w:ascii="Arial" w:cs="Arial" w:eastAsia="Arial" w:hAnsi="Arial"/>
          <w:sz w:val="18"/>
          <w:szCs w:val="18"/>
          <w:color w:val="0093FF"/>
        </w:rPr>
      </w:pPr>
      <w:r>
        <w:rPr>
          <w:rFonts w:ascii="Arial" w:cs="Arial" w:eastAsia="Arial" w:hAnsi="Arial"/>
          <w:sz w:val="18"/>
          <w:szCs w:val="18"/>
          <w:color w:val="auto"/>
        </w:rPr>
        <w:t>Board provides risk oversight</w:t>
      </w:r>
    </w:p>
    <w:p>
      <w:pPr>
        <w:spacing w:after="0" w:line="117" w:lineRule="exact"/>
        <w:rPr>
          <w:rFonts w:ascii="Arial" w:cs="Arial" w:eastAsia="Arial" w:hAnsi="Arial"/>
          <w:sz w:val="18"/>
          <w:szCs w:val="18"/>
          <w:color w:val="0093FF"/>
        </w:rPr>
      </w:pPr>
    </w:p>
    <w:p>
      <w:pPr>
        <w:ind w:left="480" w:hanging="318"/>
        <w:spacing w:after="0"/>
        <w:tabs>
          <w:tab w:leader="none" w:pos="480" w:val="left"/>
        </w:tabs>
        <w:numPr>
          <w:ilvl w:val="0"/>
          <w:numId w:val="64"/>
        </w:numPr>
        <w:rPr>
          <w:rFonts w:ascii="Arial" w:cs="Arial" w:eastAsia="Arial" w:hAnsi="Arial"/>
          <w:sz w:val="18"/>
          <w:szCs w:val="18"/>
          <w:color w:val="0093FF"/>
        </w:rPr>
      </w:pPr>
      <w:r>
        <w:rPr>
          <w:rFonts w:ascii="Arial" w:cs="Arial" w:eastAsia="Arial" w:hAnsi="Arial"/>
          <w:sz w:val="18"/>
          <w:szCs w:val="18"/>
          <w:color w:val="auto"/>
        </w:rPr>
        <w:t>Management is responsible for day-to-day risks</w:t>
      </w:r>
    </w:p>
    <w:p>
      <w:pPr>
        <w:spacing w:after="0" w:line="117" w:lineRule="exact"/>
        <w:rPr>
          <w:rFonts w:ascii="Arial" w:cs="Arial" w:eastAsia="Arial" w:hAnsi="Arial"/>
          <w:sz w:val="18"/>
          <w:szCs w:val="18"/>
          <w:color w:val="0093FF"/>
        </w:rPr>
      </w:pPr>
    </w:p>
    <w:p>
      <w:pPr>
        <w:ind w:left="480" w:hanging="318"/>
        <w:spacing w:after="0" w:line="246" w:lineRule="auto"/>
        <w:tabs>
          <w:tab w:leader="none" w:pos="465" w:val="left"/>
        </w:tabs>
        <w:numPr>
          <w:ilvl w:val="0"/>
          <w:numId w:val="64"/>
        </w:numPr>
        <w:rPr>
          <w:rFonts w:ascii="Arial" w:cs="Arial" w:eastAsia="Arial" w:hAnsi="Arial"/>
          <w:sz w:val="18"/>
          <w:szCs w:val="18"/>
          <w:color w:val="0093FF"/>
        </w:rPr>
      </w:pPr>
      <w:r>
        <w:rPr>
          <w:rFonts w:ascii="Arial" w:cs="Arial" w:eastAsia="Arial" w:hAnsi="Arial"/>
          <w:sz w:val="18"/>
          <w:szCs w:val="18"/>
          <w:color w:val="auto"/>
        </w:rPr>
        <w:t>Audit Committee oversees risk management and cyber security risks</w:t>
      </w:r>
    </w:p>
    <w:p>
      <w:pPr>
        <w:spacing w:after="0" w:line="102" w:lineRule="exact"/>
        <w:rPr>
          <w:rFonts w:ascii="Arial" w:cs="Arial" w:eastAsia="Arial" w:hAnsi="Arial"/>
          <w:sz w:val="18"/>
          <w:szCs w:val="18"/>
          <w:color w:val="0093FF"/>
        </w:rPr>
      </w:pPr>
    </w:p>
    <w:p>
      <w:pPr>
        <w:ind w:left="480" w:right="260" w:hanging="318"/>
        <w:spacing w:after="0" w:line="246" w:lineRule="auto"/>
        <w:tabs>
          <w:tab w:leader="none" w:pos="465" w:val="left"/>
        </w:tabs>
        <w:numPr>
          <w:ilvl w:val="0"/>
          <w:numId w:val="64"/>
        </w:numPr>
        <w:rPr>
          <w:rFonts w:ascii="Arial" w:cs="Arial" w:eastAsia="Arial" w:hAnsi="Arial"/>
          <w:sz w:val="18"/>
          <w:szCs w:val="18"/>
          <w:color w:val="0093FF"/>
        </w:rPr>
      </w:pPr>
      <w:r>
        <w:rPr>
          <w:rFonts w:ascii="Arial" w:cs="Arial" w:eastAsia="Arial" w:hAnsi="Arial"/>
          <w:sz w:val="18"/>
          <w:szCs w:val="18"/>
          <w:color w:val="auto"/>
        </w:rPr>
        <w:t>Compensation Committee oversees risks relating to the Company’s executive compensation plans</w:t>
      </w:r>
    </w:p>
    <w:p>
      <w:pPr>
        <w:spacing w:after="0" w:line="102" w:lineRule="exact"/>
        <w:rPr>
          <w:rFonts w:ascii="Arial" w:cs="Arial" w:eastAsia="Arial" w:hAnsi="Arial"/>
          <w:sz w:val="18"/>
          <w:szCs w:val="18"/>
          <w:color w:val="0093FF"/>
        </w:rPr>
      </w:pPr>
    </w:p>
    <w:p>
      <w:pPr>
        <w:ind w:left="480" w:right="60" w:hanging="318"/>
        <w:spacing w:after="0"/>
        <w:tabs>
          <w:tab w:leader="none" w:pos="465" w:val="left"/>
        </w:tabs>
        <w:numPr>
          <w:ilvl w:val="0"/>
          <w:numId w:val="64"/>
        </w:numPr>
        <w:rPr>
          <w:rFonts w:ascii="Arial" w:cs="Arial" w:eastAsia="Arial" w:hAnsi="Arial"/>
          <w:sz w:val="18"/>
          <w:szCs w:val="18"/>
          <w:color w:val="0093FF"/>
        </w:rPr>
      </w:pPr>
      <w:r>
        <w:rPr>
          <w:rFonts w:ascii="Arial" w:cs="Arial" w:eastAsia="Arial" w:hAnsi="Arial"/>
          <w:sz w:val="18"/>
          <w:szCs w:val="18"/>
          <w:color w:val="auto"/>
        </w:rPr>
        <w:t>Nominating and Governance Committee manages risk associated with independence of directors and potential conflicts of interest</w:t>
      </w:r>
    </w:p>
    <w:p>
      <w:pPr>
        <w:spacing w:after="0" w:line="108" w:lineRule="exact"/>
        <w:rPr>
          <w:rFonts w:ascii="Arial" w:cs="Arial" w:eastAsia="Arial" w:hAnsi="Arial"/>
          <w:sz w:val="18"/>
          <w:szCs w:val="18"/>
          <w:color w:val="0093FF"/>
        </w:rPr>
      </w:pPr>
    </w:p>
    <w:p>
      <w:pPr>
        <w:ind w:left="480" w:right="220" w:hanging="318"/>
        <w:spacing w:after="0" w:line="246" w:lineRule="auto"/>
        <w:tabs>
          <w:tab w:leader="none" w:pos="465" w:val="left"/>
        </w:tabs>
        <w:numPr>
          <w:ilvl w:val="0"/>
          <w:numId w:val="64"/>
        </w:numPr>
        <w:rPr>
          <w:rFonts w:ascii="Arial" w:cs="Arial" w:eastAsia="Arial" w:hAnsi="Arial"/>
          <w:sz w:val="18"/>
          <w:szCs w:val="18"/>
          <w:color w:val="0093FF"/>
        </w:rPr>
      </w:pPr>
      <w:r>
        <w:rPr>
          <w:rFonts w:ascii="Arial" w:cs="Arial" w:eastAsia="Arial" w:hAnsi="Arial"/>
          <w:sz w:val="18"/>
          <w:szCs w:val="18"/>
          <w:color w:val="auto"/>
        </w:rPr>
        <w:t>We have implemented Risk Appetite Guidelines with qualitative and quantitative thresholds</w:t>
      </w:r>
    </w:p>
    <w:p>
      <w:pPr>
        <w:spacing w:after="0" w:line="305" w:lineRule="exact"/>
        <w:rPr>
          <w:sz w:val="20"/>
          <w:szCs w:val="20"/>
          <w:color w:val="auto"/>
        </w:rPr>
      </w:pPr>
    </w:p>
    <w:p>
      <w:pPr>
        <w:sectPr>
          <w:pgSz w:w="11900" w:h="16838" w:orient="portrait"/>
          <w:cols w:equalWidth="0" w:num="2">
            <w:col w:w="5720" w:space="660"/>
            <w:col w:w="4860"/>
          </w:cols>
          <w:pgMar w:left="320" w:top="1440" w:right="339" w:bottom="1440" w:gutter="0" w:footer="0" w:header="0"/>
          <w:type w:val="continuous"/>
        </w:sectPr>
      </w:pPr>
    </w:p>
    <w:p>
      <w:pPr>
        <w:ind w:right="200"/>
        <w:spacing w:after="0" w:line="246" w:lineRule="auto"/>
        <w:rPr>
          <w:sz w:val="20"/>
          <w:szCs w:val="20"/>
          <w:color w:val="auto"/>
        </w:rPr>
      </w:pPr>
      <w:r>
        <w:rPr>
          <w:rFonts w:ascii="Arial" w:cs="Arial" w:eastAsia="Arial" w:hAnsi="Arial"/>
          <w:sz w:val="18"/>
          <w:szCs w:val="18"/>
          <w:color w:val="262626"/>
        </w:rPr>
        <w:t>During 2019, none of our executive officers served as a member of the board of directors or compensation committee of any entity that has one or more executive officers who serve on our board of directors or Compensation Committee.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Other Directorships</w:t>
      </w:r>
    </w:p>
    <w:p>
      <w:pPr>
        <w:spacing w:after="0" w:line="22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262626"/>
        </w:rPr>
        <w:t>Our board of directors maintains a practice whereby our directors disclose any offers to be a director of any other organization, which are then evaluated by the board of directors for potential business and other conflicts. Our directors are subject to a simultaneous service limits that apply to other public company directorships, and, for members of our Audit Committee, service on other public company audit committees. See our Corporate Governance Guidelines on our website at https://ir.exlservice.com/corporate-governance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Code of Conduct and Ethics; Corporate Governance Guidelines</w:t>
      </w:r>
    </w:p>
    <w:p>
      <w:pPr>
        <w:spacing w:after="0" w:line="22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262626"/>
        </w:rPr>
        <w:t>We believe that our core values, which translate into high ethical standards and strong corporate governance, are essential to our long-term success, continued growth and building the trust of our employees, clients, communities and investors. We have adopted a Code of Conduct and Ethics and a set of Corporate Governance Guidelines, which can each be found on our website at https://ir.exlservice.com/corporate-governance.</w:t>
      </w:r>
    </w:p>
    <w:p>
      <w:pPr>
        <w:spacing w:after="0" w:line="191"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262626"/>
        </w:rPr>
        <w:t>Our Code of Conduct and Ethics is applicable to our directors, officers and employees and details how they should conduct themselves when dealing with fellow employees, clients, suppliers, competitors and the general public. Our Code of Conduct and Ethics is reviewed annually by the Audit Committee. We encourage our employees to speak up</w:t>
      </w:r>
    </w:p>
    <w:p>
      <w:pPr>
        <w:spacing w:after="0" w:line="32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520"/>
        <w:spacing w:after="0" w:line="246" w:lineRule="auto"/>
        <w:rPr>
          <w:sz w:val="20"/>
          <w:szCs w:val="20"/>
          <w:color w:val="auto"/>
        </w:rPr>
      </w:pPr>
      <w:r>
        <w:rPr>
          <w:rFonts w:ascii="Arial" w:cs="Arial" w:eastAsia="Arial" w:hAnsi="Arial"/>
          <w:sz w:val="18"/>
          <w:szCs w:val="18"/>
          <w:color w:val="262626"/>
        </w:rPr>
        <w:t>and raise concerns promptly about any situation that they believe may violate our Code of Conduct and Ethics or the law and we are committed to responding promptly to any concerns.</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8"/>
          <w:szCs w:val="18"/>
          <w:color w:val="262626"/>
        </w:rPr>
        <w:t>Our Corporate Governance Guidelines assist our board of directors in the exercise of its responsibilities and reflect the commitment of our board of directors to monitor the effectiveness of policy and decision-making, both at the board and senior management levels, and to enhance stockholder value over the long term.</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Communications with the Board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62626"/>
        </w:rPr>
        <w:t>Stockholders interested in contacting our board of directors, our Chairman or any individual director are invited to do so by writing to:</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Board of Directors of ExlService Holdings,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62626"/>
        </w:rPr>
        <w:t>c/o Corporate Secretary</w:t>
      </w:r>
    </w:p>
    <w:p>
      <w:pPr>
        <w:jc w:val="center"/>
        <w:ind w:right="-59"/>
        <w:spacing w:after="0" w:line="234" w:lineRule="auto"/>
        <w:rPr>
          <w:sz w:val="20"/>
          <w:szCs w:val="20"/>
          <w:color w:val="auto"/>
        </w:rPr>
      </w:pPr>
      <w:r>
        <w:rPr>
          <w:rFonts w:ascii="Arial" w:cs="Arial" w:eastAsia="Arial" w:hAnsi="Arial"/>
          <w:sz w:val="18"/>
          <w:szCs w:val="18"/>
          <w:b w:val="1"/>
          <w:bCs w:val="1"/>
          <w:color w:val="262626"/>
        </w:rPr>
        <w:t>ExlService Holdings, Inc.</w:t>
      </w:r>
    </w:p>
    <w:p>
      <w:pPr>
        <w:jc w:val="center"/>
        <w:ind w:right="-59"/>
        <w:spacing w:after="0" w:line="235" w:lineRule="auto"/>
        <w:rPr>
          <w:sz w:val="20"/>
          <w:szCs w:val="20"/>
          <w:color w:val="auto"/>
        </w:rPr>
      </w:pPr>
      <w:r>
        <w:rPr>
          <w:rFonts w:ascii="Arial" w:cs="Arial" w:eastAsia="Arial" w:hAnsi="Arial"/>
          <w:sz w:val="18"/>
          <w:szCs w:val="18"/>
          <w:b w:val="1"/>
          <w:bCs w:val="1"/>
          <w:color w:val="262626"/>
        </w:rPr>
        <w:t>320 Park Avenue, 29th Floor</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New York, New York 10022</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262626"/>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8"/>
          <w:szCs w:val="18"/>
          <w:color w:val="262626"/>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Audit Committee of the Board of Directors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62626"/>
        </w:rPr>
        <w:t>ExlService Holdings, Inc.</w:t>
      </w:r>
    </w:p>
    <w:p>
      <w:pPr>
        <w:jc w:val="center"/>
        <w:ind w:right="-59"/>
        <w:spacing w:after="0" w:line="234" w:lineRule="auto"/>
        <w:rPr>
          <w:sz w:val="20"/>
          <w:szCs w:val="20"/>
          <w:color w:val="auto"/>
        </w:rPr>
      </w:pPr>
      <w:r>
        <w:rPr>
          <w:rFonts w:ascii="Arial" w:cs="Arial" w:eastAsia="Arial" w:hAnsi="Arial"/>
          <w:sz w:val="18"/>
          <w:szCs w:val="18"/>
          <w:b w:val="1"/>
          <w:bCs w:val="1"/>
          <w:color w:val="262626"/>
        </w:rPr>
        <w:t>320 Park Avenue, 29th Floor</w:t>
      </w:r>
    </w:p>
    <w:p>
      <w:pPr>
        <w:jc w:val="center"/>
        <w:ind w:right="-119"/>
        <w:spacing w:after="0" w:line="235" w:lineRule="auto"/>
        <w:rPr>
          <w:sz w:val="20"/>
          <w:szCs w:val="20"/>
          <w:color w:val="auto"/>
        </w:rPr>
      </w:pPr>
      <w:r>
        <w:rPr>
          <w:rFonts w:ascii="Arial" w:cs="Arial" w:eastAsia="Arial" w:hAnsi="Arial"/>
          <w:sz w:val="18"/>
          <w:szCs w:val="18"/>
          <w:b w:val="1"/>
          <w:bCs w:val="1"/>
          <w:color w:val="262626"/>
        </w:rPr>
        <w:t>New York, New York 10022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Attn: General Counsel</w:t>
      </w:r>
    </w:p>
    <w:p>
      <w:pPr>
        <w:spacing w:after="0" w:line="19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262626"/>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3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41" w:name="page42"/>
    <w:bookmarkEnd w:id="41"/>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CORPORATE SOCIAL RESPONSIBILITY</w:t>
      </w:r>
    </w:p>
    <w:p>
      <w:pPr>
        <w:spacing w:after="0" w:line="248"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262626"/>
        </w:rPr>
        <w:t>We seek to find meaningful ways to help the communities in which we operate. We are committed to positive social change through volunteerism, giving and active engagement at the institutional- and individual employee-levels to help promote these goals.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Charitable and Community Initiatives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EXL is focused on education and assisting community members to develop market-relevant skills.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62626"/>
        </w:rPr>
        <w:t>Highlights of these initiatives include:</w:t>
      </w:r>
    </w:p>
    <w:p>
      <w:pPr>
        <w:spacing w:after="0" w:line="198" w:lineRule="exact"/>
        <w:rPr>
          <w:sz w:val="20"/>
          <w:szCs w:val="20"/>
          <w:color w:val="auto"/>
        </w:rPr>
      </w:pPr>
    </w:p>
    <w:p>
      <w:pPr>
        <w:ind w:left="660" w:hanging="328"/>
        <w:spacing w:after="0" w:line="238" w:lineRule="auto"/>
        <w:tabs>
          <w:tab w:leader="none" w:pos="660" w:val="left"/>
        </w:tabs>
        <w:numPr>
          <w:ilvl w:val="0"/>
          <w:numId w:val="65"/>
        </w:numPr>
        <w:rPr>
          <w:rFonts w:ascii="Arial" w:cs="Arial" w:eastAsia="Arial" w:hAnsi="Arial"/>
          <w:sz w:val="18"/>
          <w:szCs w:val="18"/>
          <w:color w:val="FF6503"/>
        </w:rPr>
      </w:pPr>
      <w:r>
        <w:rPr>
          <w:rFonts w:ascii="Arial" w:cs="Arial" w:eastAsia="Arial" w:hAnsi="Arial"/>
          <w:sz w:val="18"/>
          <w:szCs w:val="18"/>
          <w:color w:val="262626"/>
        </w:rPr>
        <w:t>Skills to Win Initiative – for over five years, we have focused on bridging the gaps between market demands and the skills that some of our community members have. This initiative includes employability skills for back-office roles, finance and accounting trainings, data and analytics and digital capabilities, all coupled with life and workplace skills. In 2019, we brought this program to over 2,000 people in the United States, the Philippines, India and South Africa</w:t>
      </w:r>
    </w:p>
    <w:p>
      <w:pPr>
        <w:spacing w:after="0" w:line="191" w:lineRule="exact"/>
        <w:rPr>
          <w:rFonts w:ascii="Arial" w:cs="Arial" w:eastAsia="Arial" w:hAnsi="Arial"/>
          <w:sz w:val="18"/>
          <w:szCs w:val="18"/>
          <w:color w:val="FF6503"/>
        </w:rPr>
      </w:pPr>
    </w:p>
    <w:p>
      <w:pPr>
        <w:ind w:left="660" w:hanging="328"/>
        <w:spacing w:after="0"/>
        <w:tabs>
          <w:tab w:leader="none" w:pos="660" w:val="left"/>
        </w:tabs>
        <w:numPr>
          <w:ilvl w:val="0"/>
          <w:numId w:val="65"/>
        </w:numPr>
        <w:rPr>
          <w:rFonts w:ascii="Arial" w:cs="Arial" w:eastAsia="Arial" w:hAnsi="Arial"/>
          <w:sz w:val="18"/>
          <w:szCs w:val="18"/>
          <w:color w:val="FF6503"/>
        </w:rPr>
      </w:pPr>
      <w:r>
        <w:rPr>
          <w:rFonts w:ascii="Arial" w:cs="Arial" w:eastAsia="Arial" w:hAnsi="Arial"/>
          <w:sz w:val="18"/>
          <w:szCs w:val="18"/>
          <w:color w:val="262626"/>
        </w:rPr>
        <w:t>Career counseling and communications skills courses</w:t>
      </w:r>
    </w:p>
    <w:p>
      <w:pPr>
        <w:spacing w:after="0" w:line="198" w:lineRule="exact"/>
        <w:rPr>
          <w:rFonts w:ascii="Arial" w:cs="Arial" w:eastAsia="Arial" w:hAnsi="Arial"/>
          <w:sz w:val="18"/>
          <w:szCs w:val="18"/>
          <w:color w:val="FF6503"/>
        </w:rPr>
      </w:pPr>
    </w:p>
    <w:p>
      <w:pPr>
        <w:ind w:left="660" w:right="400" w:hanging="328"/>
        <w:spacing w:after="0" w:line="246" w:lineRule="auto"/>
        <w:tabs>
          <w:tab w:leader="none" w:pos="660" w:val="left"/>
        </w:tabs>
        <w:numPr>
          <w:ilvl w:val="0"/>
          <w:numId w:val="65"/>
        </w:numPr>
        <w:rPr>
          <w:rFonts w:ascii="Arial" w:cs="Arial" w:eastAsia="Arial" w:hAnsi="Arial"/>
          <w:sz w:val="18"/>
          <w:szCs w:val="18"/>
          <w:color w:val="FF6503"/>
        </w:rPr>
      </w:pPr>
      <w:r>
        <w:rPr>
          <w:rFonts w:ascii="Arial" w:cs="Arial" w:eastAsia="Arial" w:hAnsi="Arial"/>
          <w:sz w:val="18"/>
          <w:szCs w:val="18"/>
          <w:color w:val="262626"/>
        </w:rPr>
        <w:t>Supporting STEM education programs in New York City – through a partnership with buildOn we coached fifteen New York City students in data and analytics</w:t>
      </w:r>
    </w:p>
    <w:p>
      <w:pPr>
        <w:spacing w:after="0" w:line="161"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color w:val="262626"/>
        </w:rPr>
        <w:t xml:space="preserve">We support our employees’ charitable efforts </w:t>
      </w:r>
      <w:r>
        <w:rPr>
          <w:rFonts w:ascii="Arial" w:cs="Arial" w:eastAsia="Arial" w:hAnsi="Arial"/>
          <w:sz w:val="18"/>
          <w:szCs w:val="18"/>
          <w:color w:val="262626"/>
        </w:rPr>
        <w:t>by enabling payroll giving, recognizing social impact through individual, geography and</w:t>
      </w:r>
      <w:r>
        <w:rPr>
          <w:rFonts w:ascii="Arial" w:cs="Arial" w:eastAsia="Arial" w:hAnsi="Arial"/>
          <w:sz w:val="18"/>
          <w:szCs w:val="18"/>
          <w:b w:val="1"/>
          <w:bCs w:val="1"/>
          <w:color w:val="262626"/>
        </w:rPr>
        <w:t xml:space="preserve"> </w:t>
      </w:r>
      <w:r>
        <w:rPr>
          <w:rFonts w:ascii="Arial" w:cs="Arial" w:eastAsia="Arial" w:hAnsi="Arial"/>
          <w:sz w:val="18"/>
          <w:szCs w:val="18"/>
          <w:color w:val="262626"/>
        </w:rPr>
        <w:t>business unit awards, organizing social responsibility events in each region in which we operate and creating “volunteer weeks” that our employees can use for volunteer efforts</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262626"/>
        </w:rPr>
        <w:t>We partner with non-profits and our clients to support corporate social responsibility initiatives</w:t>
      </w:r>
      <w:r>
        <w:rPr>
          <w:rFonts w:ascii="Arial" w:cs="Arial" w:eastAsia="Arial" w:hAnsi="Arial"/>
          <w:sz w:val="18"/>
          <w:szCs w:val="18"/>
          <w:color w:val="262626"/>
        </w:rPr>
        <w:t>, in education and skills, global health</w:t>
      </w:r>
      <w:r>
        <w:rPr>
          <w:rFonts w:ascii="Arial" w:cs="Arial" w:eastAsia="Arial" w:hAnsi="Arial"/>
          <w:sz w:val="18"/>
          <w:szCs w:val="18"/>
          <w:b w:val="1"/>
          <w:bCs w:val="1"/>
          <w:color w:val="262626"/>
        </w:rPr>
        <w:t xml:space="preserve"> </w:t>
      </w:r>
      <w:r>
        <w:rPr>
          <w:rFonts w:ascii="Arial" w:cs="Arial" w:eastAsia="Arial" w:hAnsi="Arial"/>
          <w:sz w:val="18"/>
          <w:szCs w:val="18"/>
          <w:color w:val="262626"/>
        </w:rPr>
        <w:t>and disaster relief</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Our Engagement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858000" cy="12598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0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286250" cy="8743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862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SUSTAINABILITY AND WORKPLACE HEALTH AND SAFETY</w:t>
      </w:r>
    </w:p>
    <w:p>
      <w:pPr>
        <w:spacing w:after="0" w:line="24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262626"/>
        </w:rPr>
        <w:t>We are committed to responsible corporate citizenship through sustainable business activities and robust health and safety initiatives for our employees, contractors, clients, visitors and the communities in which we operate.</w:t>
      </w:r>
    </w:p>
    <w:p>
      <w:pPr>
        <w:spacing w:after="0" w:line="152"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0093FF"/>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429000" cy="29057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0" cy="2905760"/>
                    </a:xfrm>
                    <a:prstGeom prst="rect">
                      <a:avLst/>
                    </a:prstGeom>
                    <a:noFill/>
                  </pic:spPr>
                </pic:pic>
              </a:graphicData>
            </a:graphic>
          </wp:anchor>
        </w:drawing>
      </w:r>
    </w:p>
    <w:p>
      <w:pPr>
        <w:spacing w:after="0" w:line="182" w:lineRule="exact"/>
        <w:rPr>
          <w:sz w:val="20"/>
          <w:szCs w:val="20"/>
          <w:color w:val="auto"/>
        </w:rPr>
      </w:pPr>
    </w:p>
    <w:p>
      <w:pPr>
        <w:ind w:left="5840" w:right="60"/>
        <w:spacing w:after="0" w:line="301" w:lineRule="auto"/>
        <w:rPr>
          <w:sz w:val="20"/>
          <w:szCs w:val="20"/>
          <w:color w:val="auto"/>
        </w:rPr>
      </w:pPr>
      <w:r>
        <w:rPr>
          <w:rFonts w:ascii="Arial" w:cs="Arial" w:eastAsia="Arial" w:hAnsi="Arial"/>
          <w:sz w:val="17"/>
          <w:szCs w:val="17"/>
          <w:b w:val="1"/>
          <w:bCs w:val="1"/>
          <w:color w:val="auto"/>
        </w:rPr>
        <w:t xml:space="preserve">Our leadership is dedicated to continuous improvement of our systems </w:t>
      </w:r>
      <w:r>
        <w:rPr>
          <w:rFonts w:ascii="Arial" w:cs="Arial" w:eastAsia="Arial" w:hAnsi="Arial"/>
          <w:sz w:val="17"/>
          <w:szCs w:val="17"/>
          <w:color w:val="auto"/>
        </w:rPr>
        <w:t>and our approach to sustainability and health and safety.</w:t>
      </w:r>
    </w:p>
    <w:p>
      <w:pPr>
        <w:spacing w:after="0" w:line="117" w:lineRule="exact"/>
        <w:rPr>
          <w:sz w:val="20"/>
          <w:szCs w:val="20"/>
          <w:color w:val="auto"/>
        </w:rPr>
      </w:pPr>
    </w:p>
    <w:p>
      <w:pPr>
        <w:ind w:left="5840" w:right="120"/>
        <w:spacing w:after="0" w:line="244" w:lineRule="auto"/>
        <w:rPr>
          <w:sz w:val="20"/>
          <w:szCs w:val="20"/>
          <w:color w:val="auto"/>
        </w:rPr>
      </w:pPr>
      <w:r>
        <w:rPr>
          <w:rFonts w:ascii="Arial" w:cs="Arial" w:eastAsia="Arial" w:hAnsi="Arial"/>
          <w:sz w:val="18"/>
          <w:szCs w:val="18"/>
          <w:b w:val="1"/>
          <w:bCs w:val="1"/>
          <w:color w:val="auto"/>
        </w:rPr>
        <w:t xml:space="preserve">We have established objectives </w:t>
      </w:r>
      <w:r>
        <w:rPr>
          <w:rFonts w:ascii="Arial" w:cs="Arial" w:eastAsia="Arial" w:hAnsi="Arial"/>
          <w:sz w:val="18"/>
          <w:szCs w:val="18"/>
          <w:color w:val="auto"/>
        </w:rPr>
        <w:t>for our Company and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worksites, which are integrated into our Environment, Health and Safety Management System and engage third party experts to </w:t>
      </w:r>
      <w:r>
        <w:rPr>
          <w:rFonts w:ascii="Arial" w:cs="Arial" w:eastAsia="Arial" w:hAnsi="Arial"/>
          <w:sz w:val="18"/>
          <w:szCs w:val="18"/>
          <w:b w:val="1"/>
          <w:bCs w:val="1"/>
          <w:color w:val="auto"/>
        </w:rPr>
        <w:t>assess our direct and indirect emissions and paper and water consumption.</w:t>
      </w:r>
    </w:p>
    <w:p>
      <w:pPr>
        <w:spacing w:after="0" w:line="16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262626"/>
        </w:rPr>
        <w:t>We regularly assess our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Certifications and Awards</w:t>
      </w:r>
    </w:p>
    <w:p>
      <w:pPr>
        <w:spacing w:after="0" w:line="202"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auto"/>
        </w:rPr>
        <w:t xml:space="preserve">All of our delivery centers </w:t>
      </w:r>
      <w:r>
        <w:rPr>
          <w:rFonts w:ascii="Arial" w:cs="Arial" w:eastAsia="Arial" w:hAnsi="Arial"/>
          <w:sz w:val="18"/>
          <w:szCs w:val="18"/>
          <w:color w:val="auto"/>
        </w:rPr>
        <w:t>in India and the Philippines are</w:t>
      </w:r>
      <w:r>
        <w:rPr>
          <w:rFonts w:ascii="Arial" w:cs="Arial" w:eastAsia="Arial" w:hAnsi="Arial"/>
          <w:sz w:val="18"/>
          <w:szCs w:val="18"/>
          <w:b w:val="1"/>
          <w:bCs w:val="1"/>
          <w:color w:val="auto"/>
        </w:rPr>
        <w:t xml:space="preserve"> ISO 14001:2015 certified</w:t>
      </w:r>
      <w:r>
        <w:rPr>
          <w:rFonts w:ascii="Arial" w:cs="Arial" w:eastAsia="Arial" w:hAnsi="Arial"/>
          <w:sz w:val="18"/>
          <w:szCs w:val="18"/>
          <w:color w:val="auto"/>
        </w:rPr>
        <w:t>, meeting international standards for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management systems.</w:t>
      </w:r>
    </w:p>
    <w:p>
      <w:pPr>
        <w:spacing w:after="0" w:line="14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31 of our delivery centers </w:t>
      </w:r>
      <w:r>
        <w:rPr>
          <w:rFonts w:ascii="Arial" w:cs="Arial" w:eastAsia="Arial" w:hAnsi="Arial"/>
          <w:sz w:val="18"/>
          <w:szCs w:val="18"/>
          <w:color w:val="auto"/>
        </w:rPr>
        <w:t>worldwide are</w:t>
      </w:r>
      <w:r>
        <w:rPr>
          <w:rFonts w:ascii="Arial" w:cs="Arial" w:eastAsia="Arial" w:hAnsi="Arial"/>
          <w:sz w:val="18"/>
          <w:szCs w:val="18"/>
          <w:b w:val="1"/>
          <w:bCs w:val="1"/>
          <w:color w:val="auto"/>
        </w:rPr>
        <w:t xml:space="preserve"> OSHAS 18001:2007 certified</w:t>
      </w:r>
      <w:r>
        <w:rPr>
          <w:rFonts w:ascii="Arial" w:cs="Arial" w:eastAsia="Arial" w:hAnsi="Arial"/>
          <w:sz w:val="18"/>
          <w:szCs w:val="18"/>
          <w:color w:val="auto"/>
        </w:rPr>
        <w:t>, meeting international standards for effective occupational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management systems.</w:t>
      </w:r>
    </w:p>
    <w:p>
      <w:pPr>
        <w:spacing w:after="0" w:line="140"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 xml:space="preserve">Five of our delivery centers </w:t>
      </w:r>
      <w:r>
        <w:rPr>
          <w:rFonts w:ascii="Arial" w:cs="Arial" w:eastAsia="Arial" w:hAnsi="Arial"/>
          <w:sz w:val="18"/>
          <w:szCs w:val="18"/>
          <w:color w:val="auto"/>
        </w:rPr>
        <w:t>in India are</w:t>
      </w:r>
      <w:r>
        <w:rPr>
          <w:rFonts w:ascii="Arial" w:cs="Arial" w:eastAsia="Arial" w:hAnsi="Arial"/>
          <w:sz w:val="18"/>
          <w:szCs w:val="18"/>
          <w:b w:val="1"/>
          <w:bCs w:val="1"/>
          <w:color w:val="auto"/>
        </w:rPr>
        <w:t xml:space="preserve"> ISO 50001:2011 </w:t>
      </w:r>
      <w:r>
        <w:rPr>
          <w:rFonts w:ascii="Arial" w:cs="Arial" w:eastAsia="Arial" w:hAnsi="Arial"/>
          <w:sz w:val="18"/>
          <w:szCs w:val="18"/>
          <w:color w:val="auto"/>
        </w:rPr>
        <w:t>certified, meeting international standards for systemic approaches aimed at</w:t>
      </w:r>
      <w:r>
        <w:rPr>
          <w:rFonts w:ascii="Arial" w:cs="Arial" w:eastAsia="Arial" w:hAnsi="Arial"/>
          <w:sz w:val="18"/>
          <w:szCs w:val="18"/>
          <w:b w:val="1"/>
          <w:bCs w:val="1"/>
          <w:color w:val="auto"/>
        </w:rPr>
        <w:t xml:space="preserve"> </w:t>
      </w:r>
      <w:r>
        <w:rPr>
          <w:rFonts w:ascii="Arial" w:cs="Arial" w:eastAsia="Arial" w:hAnsi="Arial"/>
          <w:sz w:val="18"/>
          <w:szCs w:val="18"/>
          <w:color w:val="auto"/>
        </w:rPr>
        <w:t>energy management and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2019, we won </w:t>
      </w:r>
      <w:r>
        <w:rPr>
          <w:rFonts w:ascii="Arial" w:cs="Arial" w:eastAsia="Arial" w:hAnsi="Arial"/>
          <w:sz w:val="18"/>
          <w:szCs w:val="18"/>
          <w:color w:val="auto"/>
        </w:rPr>
        <w:t>the following awards and recognitions for our commitment to sustainability and workplace health and safety: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jc w:val="center"/>
              <w:ind w:left="1088"/>
              <w:spacing w:after="0"/>
              <w:rPr>
                <w:sz w:val="20"/>
                <w:szCs w:val="20"/>
                <w:color w:val="auto"/>
              </w:rPr>
            </w:pPr>
            <w:r>
              <w:rPr>
                <w:rFonts w:ascii="Arial" w:cs="Arial" w:eastAsia="Arial" w:hAnsi="Arial"/>
                <w:sz w:val="14"/>
                <w:szCs w:val="14"/>
                <w:b w:val="1"/>
                <w:bCs w:val="1"/>
                <w:color w:val="FF6503"/>
              </w:rPr>
              <w:t>SAFETY EXCELLENCE</w:t>
            </w:r>
          </w:p>
        </w:tc>
        <w:tc>
          <w:tcPr>
            <w:tcW w:w="2100" w:type="dxa"/>
            <w:vAlign w:val="bottom"/>
          </w:tcPr>
          <w:p>
            <w:pPr>
              <w:jc w:val="center"/>
              <w:ind w:left="28"/>
              <w:spacing w:after="0"/>
              <w:rPr>
                <w:sz w:val="20"/>
                <w:szCs w:val="20"/>
                <w:color w:val="auto"/>
              </w:rPr>
            </w:pPr>
            <w:r>
              <w:rPr>
                <w:rFonts w:ascii="Arial" w:cs="Arial" w:eastAsia="Arial" w:hAnsi="Arial"/>
                <w:sz w:val="14"/>
                <w:szCs w:val="14"/>
                <w:b w:val="1"/>
                <w:bCs w:val="1"/>
                <w:color w:val="FF6503"/>
              </w:rPr>
              <w:t>EHS EXCELLENCE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FF6503"/>
              </w:rPr>
              <w:t>HEALTHY WORKPALCE</w:t>
            </w:r>
          </w:p>
        </w:tc>
        <w:tc>
          <w:tcPr>
            <w:tcW w:w="3200" w:type="dxa"/>
            <w:vAlign w:val="bottom"/>
          </w:tcPr>
          <w:p>
            <w:pPr>
              <w:jc w:val="center"/>
              <w:ind w:right="1128"/>
              <w:spacing w:after="0"/>
              <w:rPr>
                <w:sz w:val="20"/>
                <w:szCs w:val="20"/>
                <w:color w:val="auto"/>
              </w:rPr>
            </w:pPr>
            <w:r>
              <w:rPr>
                <w:rFonts w:ascii="Arial" w:cs="Arial" w:eastAsia="Arial" w:hAnsi="Arial"/>
                <w:sz w:val="14"/>
                <w:szCs w:val="14"/>
                <w:b w:val="1"/>
                <w:bCs w:val="1"/>
                <w:color w:val="FF6503"/>
              </w:rPr>
              <w:t>INDUSTRY SECTOR</w:t>
            </w:r>
          </w:p>
        </w:tc>
      </w:tr>
      <w:tr>
        <w:trPr>
          <w:trHeight w:val="162"/>
        </w:trPr>
        <w:tc>
          <w:tcPr>
            <w:tcW w:w="3640" w:type="dxa"/>
            <w:vAlign w:val="bottom"/>
          </w:tcPr>
          <w:p>
            <w:pPr>
              <w:jc w:val="center"/>
              <w:ind w:left="1048"/>
              <w:spacing w:after="0"/>
              <w:rPr>
                <w:sz w:val="20"/>
                <w:szCs w:val="20"/>
                <w:color w:val="auto"/>
              </w:rPr>
            </w:pPr>
            <w:r>
              <w:rPr>
                <w:rFonts w:ascii="Arial" w:cs="Arial" w:eastAsia="Arial" w:hAnsi="Arial"/>
                <w:sz w:val="14"/>
                <w:szCs w:val="14"/>
                <w:b w:val="1"/>
                <w:bCs w:val="1"/>
                <w:color w:val="FF6503"/>
              </w:rPr>
              <w:t>AWARD FOR</w:t>
            </w:r>
          </w:p>
        </w:tc>
        <w:tc>
          <w:tcPr>
            <w:tcW w:w="2100" w:type="dxa"/>
            <w:vAlign w:val="bottom"/>
          </w:tcPr>
          <w:p>
            <w:pPr>
              <w:jc w:val="center"/>
              <w:ind w:left="28"/>
              <w:spacing w:after="0"/>
              <w:rPr>
                <w:sz w:val="20"/>
                <w:szCs w:val="20"/>
                <w:color w:val="auto"/>
              </w:rPr>
            </w:pPr>
            <w:r>
              <w:rPr>
                <w:rFonts w:ascii="Arial" w:cs="Arial" w:eastAsia="Arial" w:hAnsi="Arial"/>
                <w:sz w:val="14"/>
                <w:szCs w:val="14"/>
                <w:b w:val="1"/>
                <w:bCs w:val="1"/>
                <w:color w:val="FF6503"/>
                <w:w w:val="96"/>
              </w:rPr>
              <w:t>AWARD</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FF6503"/>
                <w:w w:val="98"/>
              </w:rPr>
              <w:t>AWARDS</w:t>
            </w:r>
          </w:p>
        </w:tc>
        <w:tc>
          <w:tcPr>
            <w:tcW w:w="3200" w:type="dxa"/>
            <w:vAlign w:val="bottom"/>
          </w:tcPr>
          <w:p>
            <w:pPr>
              <w:jc w:val="center"/>
              <w:ind w:right="1128"/>
              <w:spacing w:after="0"/>
              <w:rPr>
                <w:sz w:val="20"/>
                <w:szCs w:val="20"/>
                <w:color w:val="auto"/>
              </w:rPr>
            </w:pPr>
            <w:r>
              <w:rPr>
                <w:rFonts w:ascii="Arial" w:cs="Arial" w:eastAsia="Arial" w:hAnsi="Arial"/>
                <w:sz w:val="14"/>
                <w:szCs w:val="14"/>
                <w:b w:val="1"/>
                <w:bCs w:val="1"/>
                <w:color w:val="FF6503"/>
              </w:rPr>
              <w:t>SAFETY AWARD</w:t>
            </w:r>
          </w:p>
        </w:tc>
      </w:tr>
      <w:tr>
        <w:trPr>
          <w:trHeight w:val="190"/>
        </w:trPr>
        <w:tc>
          <w:tcPr>
            <w:tcW w:w="3640" w:type="dxa"/>
            <w:vAlign w:val="bottom"/>
          </w:tcPr>
          <w:p>
            <w:pPr>
              <w:jc w:val="center"/>
              <w:ind w:left="1088"/>
              <w:spacing w:after="0"/>
              <w:rPr>
                <w:sz w:val="20"/>
                <w:szCs w:val="20"/>
                <w:color w:val="auto"/>
              </w:rPr>
            </w:pPr>
            <w:r>
              <w:rPr>
                <w:rFonts w:ascii="Arial" w:cs="Arial" w:eastAsia="Arial" w:hAnsi="Arial"/>
                <w:sz w:val="14"/>
                <w:szCs w:val="14"/>
                <w:b w:val="1"/>
                <w:bCs w:val="1"/>
                <w:color w:val="FF6503"/>
              </w:rPr>
              <w:t>WOMEN’S SAFETY</w:t>
            </w:r>
          </w:p>
        </w:tc>
        <w:tc>
          <w:tcPr>
            <w:tcW w:w="2100" w:type="dxa"/>
            <w:vAlign w:val="bottom"/>
          </w:tcPr>
          <w:p>
            <w:pPr>
              <w:jc w:val="center"/>
              <w:ind w:left="28"/>
              <w:spacing w:after="0"/>
              <w:rPr>
                <w:sz w:val="20"/>
                <w:szCs w:val="20"/>
                <w:color w:val="auto"/>
              </w:rPr>
            </w:pPr>
            <w:r>
              <w:rPr>
                <w:rFonts w:ascii="Arial" w:cs="Arial" w:eastAsia="Arial" w:hAnsi="Arial"/>
                <w:sz w:val="14"/>
                <w:szCs w:val="14"/>
                <w:b w:val="1"/>
                <w:bCs w:val="1"/>
                <w:color w:val="FF6503"/>
              </w:rPr>
              <w:t>2019</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FF6503"/>
              </w:rPr>
              <w:t>2019</w:t>
            </w:r>
          </w:p>
        </w:tc>
        <w:tc>
          <w:tcPr>
            <w:tcW w:w="3200" w:type="dxa"/>
            <w:vAlign w:val="bottom"/>
          </w:tcPr>
          <w:p>
            <w:pPr>
              <w:jc w:val="center"/>
              <w:ind w:right="1128"/>
              <w:spacing w:after="0"/>
              <w:rPr>
                <w:sz w:val="20"/>
                <w:szCs w:val="20"/>
                <w:color w:val="auto"/>
              </w:rPr>
            </w:pPr>
            <w:r>
              <w:rPr>
                <w:rFonts w:ascii="Arial" w:cs="Arial" w:eastAsia="Arial" w:hAnsi="Arial"/>
                <w:sz w:val="14"/>
                <w:szCs w:val="14"/>
                <w:b w:val="1"/>
                <w:bCs w:val="1"/>
                <w:color w:val="FF6503"/>
              </w:rPr>
              <w:t>(IT/ITES)</w:t>
            </w:r>
          </w:p>
        </w:tc>
      </w:tr>
      <w:tr>
        <w:trPr>
          <w:trHeight w:val="314"/>
        </w:trPr>
        <w:tc>
          <w:tcPr>
            <w:tcW w:w="3640" w:type="dxa"/>
            <w:vAlign w:val="bottom"/>
          </w:tcPr>
          <w:p>
            <w:pPr>
              <w:jc w:val="center"/>
              <w:ind w:left="1068"/>
              <w:spacing w:after="0"/>
              <w:rPr>
                <w:sz w:val="20"/>
                <w:szCs w:val="20"/>
                <w:color w:val="auto"/>
              </w:rPr>
            </w:pPr>
            <w:r>
              <w:rPr>
                <w:rFonts w:ascii="Arial" w:cs="Arial" w:eastAsia="Arial" w:hAnsi="Arial"/>
                <w:sz w:val="14"/>
                <w:szCs w:val="14"/>
                <w:color w:val="auto"/>
              </w:rPr>
              <w:t>International Institute</w:t>
            </w:r>
          </w:p>
        </w:tc>
        <w:tc>
          <w:tcPr>
            <w:tcW w:w="2100" w:type="dxa"/>
            <w:vAlign w:val="bottom"/>
          </w:tcPr>
          <w:p>
            <w:pPr>
              <w:jc w:val="center"/>
              <w:ind w:left="28"/>
              <w:spacing w:after="0"/>
              <w:rPr>
                <w:sz w:val="20"/>
                <w:szCs w:val="20"/>
                <w:color w:val="auto"/>
              </w:rPr>
            </w:pPr>
            <w:r>
              <w:rPr>
                <w:rFonts w:ascii="Arial" w:cs="Arial" w:eastAsia="Arial" w:hAnsi="Arial"/>
                <w:sz w:val="14"/>
                <w:szCs w:val="14"/>
                <w:color w:val="auto"/>
              </w:rPr>
              <w:t>3 Star Rating,</w:t>
            </w:r>
          </w:p>
        </w:tc>
        <w:tc>
          <w:tcPr>
            <w:tcW w:w="2300" w:type="dxa"/>
            <w:vAlign w:val="bottom"/>
          </w:tcPr>
          <w:p>
            <w:pPr>
              <w:jc w:val="center"/>
              <w:spacing w:after="0"/>
              <w:rPr>
                <w:sz w:val="20"/>
                <w:szCs w:val="20"/>
                <w:color w:val="auto"/>
              </w:rPr>
            </w:pPr>
            <w:r>
              <w:rPr>
                <w:rFonts w:ascii="Arial" w:cs="Arial" w:eastAsia="Arial" w:hAnsi="Arial"/>
                <w:sz w:val="14"/>
                <w:szCs w:val="14"/>
                <w:color w:val="auto"/>
              </w:rPr>
              <w:t>Silver Level</w:t>
            </w:r>
          </w:p>
        </w:tc>
        <w:tc>
          <w:tcPr>
            <w:tcW w:w="3200" w:type="dxa"/>
            <w:vAlign w:val="bottom"/>
          </w:tcPr>
          <w:p>
            <w:pPr>
              <w:jc w:val="center"/>
              <w:ind w:right="1128"/>
              <w:spacing w:after="0"/>
              <w:rPr>
                <w:sz w:val="20"/>
                <w:szCs w:val="20"/>
                <w:color w:val="auto"/>
              </w:rPr>
            </w:pPr>
            <w:r>
              <w:rPr>
                <w:rFonts w:ascii="Arial" w:cs="Arial" w:eastAsia="Arial" w:hAnsi="Arial"/>
                <w:sz w:val="14"/>
                <w:szCs w:val="14"/>
                <w:color w:val="auto"/>
              </w:rPr>
              <w:t>International Institute</w:t>
            </w:r>
          </w:p>
        </w:tc>
      </w:tr>
      <w:tr>
        <w:trPr>
          <w:trHeight w:val="162"/>
        </w:trPr>
        <w:tc>
          <w:tcPr>
            <w:tcW w:w="3640" w:type="dxa"/>
            <w:vAlign w:val="bottom"/>
          </w:tcPr>
          <w:p>
            <w:pPr>
              <w:jc w:val="center"/>
              <w:ind w:left="1068"/>
              <w:spacing w:after="0"/>
              <w:rPr>
                <w:sz w:val="20"/>
                <w:szCs w:val="20"/>
                <w:color w:val="auto"/>
              </w:rPr>
            </w:pPr>
            <w:r>
              <w:rPr>
                <w:rFonts w:ascii="Arial" w:cs="Arial" w:eastAsia="Arial" w:hAnsi="Arial"/>
                <w:sz w:val="14"/>
                <w:szCs w:val="14"/>
                <w:color w:val="auto"/>
              </w:rPr>
              <w:t>of Safety &amp; Security</w:t>
            </w:r>
          </w:p>
        </w:tc>
        <w:tc>
          <w:tcPr>
            <w:tcW w:w="2100" w:type="dxa"/>
            <w:vAlign w:val="bottom"/>
          </w:tcPr>
          <w:p>
            <w:pPr>
              <w:jc w:val="center"/>
              <w:ind w:left="28"/>
              <w:spacing w:after="0"/>
              <w:rPr>
                <w:sz w:val="20"/>
                <w:szCs w:val="20"/>
                <w:color w:val="auto"/>
              </w:rPr>
            </w:pPr>
            <w:r>
              <w:rPr>
                <w:rFonts w:ascii="Arial" w:cs="Arial" w:eastAsia="Arial" w:hAnsi="Arial"/>
                <w:sz w:val="14"/>
                <w:szCs w:val="14"/>
                <w:color w:val="auto"/>
              </w:rPr>
              <w:t>CII-South Region</w:t>
            </w:r>
          </w:p>
        </w:tc>
        <w:tc>
          <w:tcPr>
            <w:tcW w:w="2300" w:type="dxa"/>
            <w:vAlign w:val="bottom"/>
          </w:tcPr>
          <w:p>
            <w:pPr>
              <w:jc w:val="center"/>
              <w:spacing w:after="0"/>
              <w:rPr>
                <w:sz w:val="20"/>
                <w:szCs w:val="20"/>
                <w:color w:val="auto"/>
              </w:rPr>
            </w:pPr>
            <w:r>
              <w:rPr>
                <w:rFonts w:ascii="Arial" w:cs="Arial" w:eastAsia="Arial" w:hAnsi="Arial"/>
                <w:sz w:val="14"/>
                <w:szCs w:val="14"/>
                <w:color w:val="auto"/>
              </w:rPr>
              <w:t>Recognition Award,</w:t>
            </w:r>
          </w:p>
        </w:tc>
        <w:tc>
          <w:tcPr>
            <w:tcW w:w="3200" w:type="dxa"/>
            <w:vAlign w:val="bottom"/>
          </w:tcPr>
          <w:p>
            <w:pPr>
              <w:jc w:val="center"/>
              <w:ind w:right="1128"/>
              <w:spacing w:after="0"/>
              <w:rPr>
                <w:sz w:val="20"/>
                <w:szCs w:val="20"/>
                <w:color w:val="auto"/>
              </w:rPr>
            </w:pPr>
            <w:r>
              <w:rPr>
                <w:rFonts w:ascii="Arial" w:cs="Arial" w:eastAsia="Arial" w:hAnsi="Arial"/>
                <w:sz w:val="14"/>
                <w:szCs w:val="14"/>
                <w:color w:val="auto"/>
              </w:rPr>
              <w:t>of Safety &amp; Security</w:t>
            </w:r>
          </w:p>
        </w:tc>
      </w:tr>
      <w:tr>
        <w:trPr>
          <w:trHeight w:val="162"/>
        </w:trPr>
        <w:tc>
          <w:tcPr>
            <w:tcW w:w="3640" w:type="dxa"/>
            <w:vAlign w:val="bottom"/>
          </w:tcPr>
          <w:p>
            <w:pPr>
              <w:jc w:val="center"/>
              <w:ind w:left="1088"/>
              <w:spacing w:after="0"/>
              <w:rPr>
                <w:sz w:val="20"/>
                <w:szCs w:val="20"/>
                <w:color w:val="auto"/>
              </w:rPr>
            </w:pPr>
            <w:r>
              <w:rPr>
                <w:rFonts w:ascii="Arial" w:cs="Arial" w:eastAsia="Arial" w:hAnsi="Arial"/>
                <w:sz w:val="14"/>
                <w:szCs w:val="14"/>
                <w:color w:val="auto"/>
              </w:rPr>
              <w:t>Management (IISM)</w:t>
            </w:r>
          </w:p>
        </w:tc>
        <w:tc>
          <w:tcPr>
            <w:tcW w:w="2100" w:type="dxa"/>
            <w:vAlign w:val="bottom"/>
          </w:tcPr>
          <w:p>
            <w:pPr>
              <w:jc w:val="center"/>
              <w:ind w:left="28"/>
              <w:spacing w:after="0"/>
              <w:rPr>
                <w:sz w:val="20"/>
                <w:szCs w:val="20"/>
                <w:color w:val="auto"/>
              </w:rPr>
            </w:pPr>
            <w:r>
              <w:rPr>
                <w:rFonts w:ascii="Arial" w:cs="Arial" w:eastAsia="Arial" w:hAnsi="Arial"/>
                <w:sz w:val="14"/>
                <w:szCs w:val="14"/>
                <w:color w:val="auto"/>
              </w:rPr>
              <w:t>India</w:t>
            </w:r>
          </w:p>
        </w:tc>
        <w:tc>
          <w:tcPr>
            <w:tcW w:w="2300" w:type="dxa"/>
            <w:vAlign w:val="bottom"/>
          </w:tcPr>
          <w:p>
            <w:pPr>
              <w:jc w:val="center"/>
              <w:spacing w:after="0"/>
              <w:rPr>
                <w:sz w:val="20"/>
                <w:szCs w:val="20"/>
                <w:color w:val="auto"/>
              </w:rPr>
            </w:pPr>
            <w:r>
              <w:rPr>
                <w:rFonts w:ascii="Arial" w:cs="Arial" w:eastAsia="Arial" w:hAnsi="Arial"/>
                <w:sz w:val="14"/>
                <w:szCs w:val="14"/>
                <w:color w:val="auto"/>
              </w:rPr>
              <w:t>Arogya</w:t>
            </w:r>
          </w:p>
        </w:tc>
        <w:tc>
          <w:tcPr>
            <w:tcW w:w="3200" w:type="dxa"/>
            <w:vAlign w:val="bottom"/>
          </w:tcPr>
          <w:p>
            <w:pPr>
              <w:jc w:val="center"/>
              <w:ind w:right="1128"/>
              <w:spacing w:after="0"/>
              <w:rPr>
                <w:sz w:val="20"/>
                <w:szCs w:val="20"/>
                <w:color w:val="auto"/>
              </w:rPr>
            </w:pPr>
            <w:r>
              <w:rPr>
                <w:rFonts w:ascii="Arial" w:cs="Arial" w:eastAsia="Arial" w:hAnsi="Arial"/>
                <w:sz w:val="14"/>
                <w:szCs w:val="14"/>
                <w:color w:val="auto"/>
              </w:rPr>
              <w:t>Management (IISM)</w:t>
            </w:r>
          </w:p>
        </w:tc>
      </w:tr>
      <w:tr>
        <w:trPr>
          <w:trHeight w:val="172"/>
        </w:trPr>
        <w:tc>
          <w:tcPr>
            <w:tcW w:w="3640" w:type="dxa"/>
            <w:vAlign w:val="bottom"/>
          </w:tcPr>
          <w:p>
            <w:pPr>
              <w:jc w:val="center"/>
              <w:ind w:left="1068"/>
              <w:spacing w:after="0"/>
              <w:rPr>
                <w:sz w:val="20"/>
                <w:szCs w:val="20"/>
                <w:color w:val="auto"/>
              </w:rPr>
            </w:pPr>
            <w:r>
              <w:rPr>
                <w:rFonts w:ascii="Arial" w:cs="Arial" w:eastAsia="Arial" w:hAnsi="Arial"/>
                <w:sz w:val="14"/>
                <w:szCs w:val="14"/>
                <w:color w:val="auto"/>
              </w:rPr>
              <w:t>Global Conclave</w:t>
            </w:r>
          </w:p>
        </w:tc>
        <w:tc>
          <w:tcPr>
            <w:tcW w:w="2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0" w:type="dxa"/>
            <w:vAlign w:val="bottom"/>
          </w:tcPr>
          <w:p>
            <w:pPr>
              <w:jc w:val="center"/>
              <w:ind w:right="1128"/>
              <w:spacing w:after="0"/>
              <w:rPr>
                <w:sz w:val="20"/>
                <w:szCs w:val="20"/>
                <w:color w:val="auto"/>
              </w:rPr>
            </w:pPr>
            <w:r>
              <w:rPr>
                <w:rFonts w:ascii="Arial" w:cs="Arial" w:eastAsia="Arial" w:hAnsi="Arial"/>
                <w:sz w:val="14"/>
                <w:szCs w:val="14"/>
                <w:color w:val="auto"/>
              </w:rPr>
              <w:t>Global Conclave</w:t>
            </w:r>
          </w:p>
        </w:tc>
      </w:tr>
      <w:tr>
        <w:trPr>
          <w:trHeight w:val="628"/>
        </w:trPr>
        <w:tc>
          <w:tcPr>
            <w:tcW w:w="3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ind w:left="132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36</w:t>
            </w:r>
          </w:p>
        </w:tc>
      </w:tr>
      <w:tr>
        <w:trPr>
          <w:trHeight w:val="680"/>
        </w:trPr>
        <w:tc>
          <w:tcPr>
            <w:tcW w:w="36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3" w:name="page44"/>
    <w:bookmarkEnd w:id="43"/>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HUMAN CAPITAL MANAGEMENT</w:t>
      </w:r>
    </w:p>
    <w:p>
      <w:pPr>
        <w:spacing w:after="0" w:line="24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Our people are our primary assets. The world we work and live in is full of diversity and powered by innovation. We believe success in such a world will come through an environment that embraces diversity of thought. In line with our core values, one of our principal priorities is promoting the talent of our employees while creating an inclusive work environment to permit us to leverage our employees’ diversity and to deliver exceptional results for our clients.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Our People</w:t>
      </w:r>
    </w:p>
    <w:p>
      <w:pPr>
        <w:spacing w:after="0" w:line="22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62626"/>
        </w:rPr>
        <w:t>EXL is made up of more than 32,700 professionals (as of March 31, 2020) in locations throughout the United States, the United Kingdom, Europe, India, the Philippines, Colombia, Australia and 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858000" cy="1045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Diversity &amp; Inclusion</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262626"/>
        </w:rPr>
        <w:t xml:space="preserve">Our Diversity and Inclusion Council </w:t>
      </w:r>
      <w:r>
        <w:rPr>
          <w:rFonts w:ascii="Arial" w:cs="Arial" w:eastAsia="Arial" w:hAnsi="Arial"/>
          <w:sz w:val="18"/>
          <w:szCs w:val="18"/>
          <w:color w:val="262626"/>
        </w:rPr>
        <w:t>consists of a global, diverse mix of leaders, provides inputs to the design of our diversity and</w:t>
      </w:r>
      <w:r>
        <w:rPr>
          <w:rFonts w:ascii="Arial" w:cs="Arial" w:eastAsia="Arial" w:hAnsi="Arial"/>
          <w:sz w:val="18"/>
          <w:szCs w:val="18"/>
          <w:b w:val="1"/>
          <w:bCs w:val="1"/>
          <w:color w:val="262626"/>
        </w:rPr>
        <w:t xml:space="preserve"> </w:t>
      </w:r>
      <w:r>
        <w:rPr>
          <w:rFonts w:ascii="Arial" w:cs="Arial" w:eastAsia="Arial" w:hAnsi="Arial"/>
          <w:sz w:val="18"/>
          <w:szCs w:val="18"/>
          <w:color w:val="262626"/>
        </w:rPr>
        <w:t>inclusion program to bring in diverse perspectives, collaborates with external partners for customization inputs, conducts periodic reviews of the progress of our program and provides execution leadership for specific diversity initiatives.</w:t>
      </w:r>
    </w:p>
    <w:p>
      <w:pPr>
        <w:spacing w:after="0" w:line="155"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262626"/>
        </w:rPr>
        <w:t xml:space="preserve">We seek to improve diversity and inclusion through offering a blend </w:t>
      </w:r>
      <w:r>
        <w:rPr>
          <w:rFonts w:ascii="Arial" w:cs="Arial" w:eastAsia="Arial" w:hAnsi="Arial"/>
          <w:sz w:val="18"/>
          <w:szCs w:val="18"/>
          <w:b w:val="1"/>
          <w:bCs w:val="1"/>
          <w:color w:val="262626"/>
        </w:rPr>
        <w:t>of in-person workshops, virtual sessions, and e-learning</w:t>
      </w:r>
      <w:r>
        <w:rPr>
          <w:rFonts w:ascii="Arial" w:cs="Arial" w:eastAsia="Arial" w:hAnsi="Arial"/>
          <w:sz w:val="18"/>
          <w:szCs w:val="18"/>
          <w:color w:val="262626"/>
        </w:rPr>
        <w:t xml:space="preserve"> </w:t>
      </w:r>
      <w:r>
        <w:rPr>
          <w:rFonts w:ascii="Arial" w:cs="Arial" w:eastAsia="Arial" w:hAnsi="Arial"/>
          <w:sz w:val="18"/>
          <w:szCs w:val="18"/>
          <w:b w:val="1"/>
          <w:bCs w:val="1"/>
          <w:color w:val="262626"/>
        </w:rPr>
        <w:t>programs</w:t>
      </w:r>
      <w:r>
        <w:rPr>
          <w:rFonts w:ascii="Arial" w:cs="Arial" w:eastAsia="Arial" w:hAnsi="Arial"/>
          <w:sz w:val="18"/>
          <w:szCs w:val="18"/>
          <w:color w:val="262626"/>
        </w:rPr>
        <w:t>.</w:t>
      </w:r>
    </w:p>
    <w:p>
      <w:pPr>
        <w:spacing w:after="0" w:line="14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262626"/>
        </w:rPr>
        <w:t xml:space="preserve">We are committed to hiring a diverse workforce </w:t>
      </w:r>
      <w:r>
        <w:rPr>
          <w:rFonts w:ascii="Arial" w:cs="Arial" w:eastAsia="Arial" w:hAnsi="Arial"/>
          <w:sz w:val="18"/>
          <w:szCs w:val="18"/>
          <w:color w:val="262626"/>
        </w:rPr>
        <w:t>and to improving diversity in our senior leadership, and include diversity and inclusion</w:t>
      </w:r>
      <w:r>
        <w:rPr>
          <w:rFonts w:ascii="Arial" w:cs="Arial" w:eastAsia="Arial" w:hAnsi="Arial"/>
          <w:sz w:val="18"/>
          <w:szCs w:val="18"/>
          <w:b w:val="1"/>
          <w:bCs w:val="1"/>
          <w:color w:val="262626"/>
        </w:rPr>
        <w:t xml:space="preserve"> </w:t>
      </w:r>
      <w:r>
        <w:rPr>
          <w:rFonts w:ascii="Arial" w:cs="Arial" w:eastAsia="Arial" w:hAnsi="Arial"/>
          <w:sz w:val="18"/>
          <w:szCs w:val="18"/>
          <w:color w:val="262626"/>
        </w:rPr>
        <w:t>among the guiding principles in our talent acquisition, training and retention practices.</w:t>
      </w:r>
    </w:p>
    <w:p>
      <w:pPr>
        <w:spacing w:after="0" w:line="140"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color w:val="262626"/>
        </w:rPr>
        <w:t xml:space="preserve">We have several Company-wide initiatives </w:t>
      </w:r>
      <w:r>
        <w:rPr>
          <w:rFonts w:ascii="Arial" w:cs="Arial" w:eastAsia="Arial" w:hAnsi="Arial"/>
          <w:sz w:val="18"/>
          <w:szCs w:val="18"/>
          <w:color w:val="262626"/>
        </w:rPr>
        <w:t>aimed at promoting diversity, inclusion and leadership opportunities for our diverse</w:t>
      </w:r>
      <w:r>
        <w:rPr>
          <w:rFonts w:ascii="Arial" w:cs="Arial" w:eastAsia="Arial" w:hAnsi="Arial"/>
          <w:sz w:val="18"/>
          <w:szCs w:val="18"/>
          <w:b w:val="1"/>
          <w:bCs w:val="1"/>
          <w:color w:val="262626"/>
        </w:rPr>
        <w:t xml:space="preserve"> </w:t>
      </w:r>
      <w:r>
        <w:rPr>
          <w:rFonts w:ascii="Arial" w:cs="Arial" w:eastAsia="Arial" w:hAnsi="Arial"/>
          <w:sz w:val="18"/>
          <w:szCs w:val="18"/>
          <w:color w:val="262626"/>
        </w:rPr>
        <w:t>employees:</w:t>
      </w:r>
    </w:p>
    <w:p>
      <w:pPr>
        <w:spacing w:after="0" w:line="140" w:lineRule="exact"/>
        <w:rPr>
          <w:sz w:val="20"/>
          <w:szCs w:val="20"/>
          <w:color w:val="auto"/>
        </w:rPr>
      </w:pPr>
    </w:p>
    <w:p>
      <w:pPr>
        <w:ind w:left="660" w:hanging="328"/>
        <w:spacing w:after="0" w:line="271" w:lineRule="auto"/>
        <w:tabs>
          <w:tab w:leader="none" w:pos="660" w:val="left"/>
        </w:tabs>
        <w:numPr>
          <w:ilvl w:val="0"/>
          <w:numId w:val="66"/>
        </w:numPr>
        <w:rPr>
          <w:rFonts w:ascii="Arial" w:cs="Arial" w:eastAsia="Arial" w:hAnsi="Arial"/>
          <w:sz w:val="18"/>
          <w:szCs w:val="18"/>
          <w:color w:val="FF6503"/>
        </w:rPr>
      </w:pPr>
      <w:r>
        <w:rPr>
          <w:rFonts w:ascii="Arial" w:cs="Arial" w:eastAsia="Arial" w:hAnsi="Arial"/>
          <w:sz w:val="18"/>
          <w:szCs w:val="18"/>
          <w:b w:val="1"/>
          <w:bCs w:val="1"/>
          <w:color w:val="262626"/>
        </w:rPr>
        <w:t>Managing Unconscious Bias Training</w:t>
      </w:r>
      <w:r>
        <w:rPr>
          <w:rFonts w:ascii="Arial" w:cs="Arial" w:eastAsia="Arial" w:hAnsi="Arial"/>
          <w:sz w:val="18"/>
          <w:szCs w:val="18"/>
          <w:color w:val="262626"/>
        </w:rPr>
        <w:t>, a Company-wide, mandatory training for all employees to bring awareness to and address</w:t>
      </w:r>
      <w:r>
        <w:rPr>
          <w:rFonts w:ascii="Arial" w:cs="Arial" w:eastAsia="Arial" w:hAnsi="Arial"/>
          <w:sz w:val="18"/>
          <w:szCs w:val="18"/>
          <w:b w:val="1"/>
          <w:bCs w:val="1"/>
          <w:color w:val="262626"/>
        </w:rPr>
        <w:t xml:space="preserve"> </w:t>
      </w:r>
      <w:r>
        <w:rPr>
          <w:rFonts w:ascii="Arial" w:cs="Arial" w:eastAsia="Arial" w:hAnsi="Arial"/>
          <w:sz w:val="18"/>
          <w:szCs w:val="18"/>
          <w:color w:val="262626"/>
        </w:rPr>
        <w:t>unconscious bias in the workplace to create a more inclusive workplace</w:t>
      </w:r>
    </w:p>
    <w:p>
      <w:pPr>
        <w:spacing w:after="0" w:line="140" w:lineRule="exact"/>
        <w:rPr>
          <w:rFonts w:ascii="Arial" w:cs="Arial" w:eastAsia="Arial" w:hAnsi="Arial"/>
          <w:sz w:val="18"/>
          <w:szCs w:val="18"/>
          <w:color w:val="FF6503"/>
        </w:rPr>
      </w:pPr>
    </w:p>
    <w:p>
      <w:pPr>
        <w:ind w:left="660" w:right="360" w:hanging="328"/>
        <w:spacing w:after="0" w:line="271" w:lineRule="auto"/>
        <w:tabs>
          <w:tab w:leader="none" w:pos="660" w:val="left"/>
        </w:tabs>
        <w:numPr>
          <w:ilvl w:val="0"/>
          <w:numId w:val="66"/>
        </w:numPr>
        <w:rPr>
          <w:rFonts w:ascii="Arial" w:cs="Arial" w:eastAsia="Arial" w:hAnsi="Arial"/>
          <w:sz w:val="18"/>
          <w:szCs w:val="18"/>
          <w:color w:val="FF6503"/>
        </w:rPr>
      </w:pPr>
      <w:r>
        <w:rPr>
          <w:rFonts w:ascii="Arial" w:cs="Arial" w:eastAsia="Arial" w:hAnsi="Arial"/>
          <w:sz w:val="18"/>
          <w:szCs w:val="18"/>
          <w:b w:val="1"/>
          <w:bCs w:val="1"/>
          <w:color w:val="262626"/>
        </w:rPr>
        <w:t>Employee Resource Groups</w:t>
      </w:r>
      <w:r>
        <w:rPr>
          <w:rFonts w:ascii="Arial" w:cs="Arial" w:eastAsia="Arial" w:hAnsi="Arial"/>
          <w:sz w:val="18"/>
          <w:szCs w:val="18"/>
          <w:color w:val="262626"/>
        </w:rPr>
        <w:t>, focus groups of select employee-communities aimed at supporting diverse groups and interests</w:t>
      </w:r>
      <w:r>
        <w:rPr>
          <w:rFonts w:ascii="Arial" w:cs="Arial" w:eastAsia="Arial" w:hAnsi="Arial"/>
          <w:sz w:val="18"/>
          <w:szCs w:val="18"/>
          <w:b w:val="1"/>
          <w:bCs w:val="1"/>
          <w:color w:val="262626"/>
        </w:rPr>
        <w:t xml:space="preserve"> </w:t>
      </w:r>
      <w:r>
        <w:rPr>
          <w:rFonts w:ascii="Arial" w:cs="Arial" w:eastAsia="Arial" w:hAnsi="Arial"/>
          <w:sz w:val="18"/>
          <w:szCs w:val="18"/>
          <w:color w:val="262626"/>
        </w:rPr>
        <w:t>within the Company</w:t>
      </w:r>
    </w:p>
    <w:p>
      <w:pPr>
        <w:spacing w:after="0" w:line="140" w:lineRule="exact"/>
        <w:rPr>
          <w:rFonts w:ascii="Arial" w:cs="Arial" w:eastAsia="Arial" w:hAnsi="Arial"/>
          <w:sz w:val="18"/>
          <w:szCs w:val="18"/>
          <w:color w:val="FF6503"/>
        </w:rPr>
      </w:pPr>
    </w:p>
    <w:p>
      <w:pPr>
        <w:ind w:left="660" w:right="400" w:hanging="328"/>
        <w:spacing w:after="0" w:line="271" w:lineRule="auto"/>
        <w:tabs>
          <w:tab w:leader="none" w:pos="660" w:val="left"/>
        </w:tabs>
        <w:numPr>
          <w:ilvl w:val="0"/>
          <w:numId w:val="66"/>
        </w:numPr>
        <w:rPr>
          <w:rFonts w:ascii="Arial" w:cs="Arial" w:eastAsia="Arial" w:hAnsi="Arial"/>
          <w:sz w:val="18"/>
          <w:szCs w:val="18"/>
          <w:color w:val="FF6503"/>
        </w:rPr>
      </w:pPr>
      <w:r>
        <w:rPr>
          <w:rFonts w:ascii="Arial" w:cs="Arial" w:eastAsia="Arial" w:hAnsi="Arial"/>
          <w:sz w:val="18"/>
          <w:szCs w:val="18"/>
          <w:b w:val="1"/>
          <w:bCs w:val="1"/>
          <w:color w:val="262626"/>
        </w:rPr>
        <w:t>Springboard</w:t>
      </w:r>
      <w:r>
        <w:rPr>
          <w:rFonts w:ascii="Arial" w:cs="Arial" w:eastAsia="Arial" w:hAnsi="Arial"/>
          <w:sz w:val="18"/>
          <w:szCs w:val="18"/>
          <w:color w:val="262626"/>
        </w:rPr>
        <w:t>, a program for leadership development for women at the mid- to senior-level, providing a platform to develop key</w:t>
      </w:r>
      <w:r>
        <w:rPr>
          <w:rFonts w:ascii="Arial" w:cs="Arial" w:eastAsia="Arial" w:hAnsi="Arial"/>
          <w:sz w:val="18"/>
          <w:szCs w:val="18"/>
          <w:b w:val="1"/>
          <w:bCs w:val="1"/>
          <w:color w:val="262626"/>
        </w:rPr>
        <w:t xml:space="preserve"> </w:t>
      </w:r>
      <w:r>
        <w:rPr>
          <w:rFonts w:ascii="Arial" w:cs="Arial" w:eastAsia="Arial" w:hAnsi="Arial"/>
          <w:sz w:val="18"/>
          <w:szCs w:val="18"/>
          <w:color w:val="262626"/>
        </w:rPr>
        <w:t>leadership traits through real life experiential learning and help them build an effective leadership brand</w:t>
      </w:r>
    </w:p>
    <w:p>
      <w:pPr>
        <w:spacing w:after="0" w:line="140" w:lineRule="exact"/>
        <w:rPr>
          <w:rFonts w:ascii="Arial" w:cs="Arial" w:eastAsia="Arial" w:hAnsi="Arial"/>
          <w:sz w:val="18"/>
          <w:szCs w:val="18"/>
          <w:color w:val="FF6503"/>
        </w:rPr>
      </w:pPr>
    </w:p>
    <w:p>
      <w:pPr>
        <w:ind w:left="660" w:right="60" w:hanging="328"/>
        <w:spacing w:after="0" w:line="253" w:lineRule="auto"/>
        <w:tabs>
          <w:tab w:leader="none" w:pos="660" w:val="left"/>
        </w:tabs>
        <w:numPr>
          <w:ilvl w:val="0"/>
          <w:numId w:val="66"/>
        </w:numPr>
        <w:rPr>
          <w:rFonts w:ascii="Arial" w:cs="Arial" w:eastAsia="Arial" w:hAnsi="Arial"/>
          <w:sz w:val="18"/>
          <w:szCs w:val="18"/>
          <w:color w:val="FF6503"/>
        </w:rPr>
      </w:pPr>
      <w:r>
        <w:rPr>
          <w:rFonts w:ascii="Arial" w:cs="Arial" w:eastAsia="Arial" w:hAnsi="Arial"/>
          <w:sz w:val="18"/>
          <w:szCs w:val="18"/>
          <w:b w:val="1"/>
          <w:bCs w:val="1"/>
          <w:color w:val="262626"/>
        </w:rPr>
        <w:t xml:space="preserve">“Super Mom,” </w:t>
      </w:r>
      <w:r>
        <w:rPr>
          <w:rFonts w:ascii="Arial" w:cs="Arial" w:eastAsia="Arial" w:hAnsi="Arial"/>
          <w:sz w:val="18"/>
          <w:szCs w:val="18"/>
          <w:color w:val="262626"/>
        </w:rPr>
        <w:t>a program to improve retention and engagement of new mothers through employee-friendly parental leave policies,</w:t>
      </w:r>
      <w:r>
        <w:rPr>
          <w:rFonts w:ascii="Arial" w:cs="Arial" w:eastAsia="Arial" w:hAnsi="Arial"/>
          <w:sz w:val="18"/>
          <w:szCs w:val="18"/>
          <w:b w:val="1"/>
          <w:bCs w:val="1"/>
          <w:color w:val="262626"/>
        </w:rPr>
        <w:t xml:space="preserve"> </w:t>
      </w:r>
      <w:r>
        <w:rPr>
          <w:rFonts w:ascii="Arial" w:cs="Arial" w:eastAsia="Arial" w:hAnsi="Arial"/>
          <w:sz w:val="18"/>
          <w:szCs w:val="18"/>
          <w:color w:val="262626"/>
        </w:rPr>
        <w:t>flexible / reduced working hours for pre- and post-maternity, reorientation after long leave, extended leave, nursing stations and employee care, among others</w:t>
      </w:r>
    </w:p>
    <w:p>
      <w:pPr>
        <w:spacing w:after="0" w:line="31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4" w:name="page45"/>
    <w:bookmarkEnd w:id="44"/>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left="660" w:right="200" w:hanging="328"/>
        <w:spacing w:after="0" w:line="247" w:lineRule="auto"/>
        <w:tabs>
          <w:tab w:leader="none" w:pos="660" w:val="left"/>
        </w:tabs>
        <w:numPr>
          <w:ilvl w:val="0"/>
          <w:numId w:val="67"/>
        </w:numPr>
        <w:rPr>
          <w:rFonts w:ascii="Arial" w:cs="Arial" w:eastAsia="Arial" w:hAnsi="Arial"/>
          <w:sz w:val="18"/>
          <w:szCs w:val="18"/>
          <w:color w:val="FF6503"/>
        </w:rPr>
      </w:pPr>
      <w:r>
        <w:rPr>
          <w:rFonts w:ascii="Arial" w:cs="Arial" w:eastAsia="Arial" w:hAnsi="Arial"/>
          <w:sz w:val="18"/>
          <w:szCs w:val="18"/>
          <w:b w:val="1"/>
          <w:bCs w:val="1"/>
          <w:color w:val="262626"/>
        </w:rPr>
        <w:t xml:space="preserve">WE (Women at EXL), </w:t>
      </w:r>
      <w:r>
        <w:rPr>
          <w:rFonts w:ascii="Arial" w:cs="Arial" w:eastAsia="Arial" w:hAnsi="Arial"/>
          <w:sz w:val="18"/>
          <w:szCs w:val="18"/>
          <w:color w:val="262626"/>
        </w:rPr>
        <w:t>a platform with initiatives such as Employee Resource Groups, Mentoring program (WE NURTURE), Inner</w:t>
      </w:r>
      <w:r>
        <w:rPr>
          <w:rFonts w:ascii="Arial" w:cs="Arial" w:eastAsia="Arial" w:hAnsi="Arial"/>
          <w:sz w:val="18"/>
          <w:szCs w:val="18"/>
          <w:b w:val="1"/>
          <w:bCs w:val="1"/>
          <w:color w:val="262626"/>
        </w:rPr>
        <w:t xml:space="preserve"> </w:t>
      </w:r>
      <w:r>
        <w:rPr>
          <w:rFonts w:ascii="Arial" w:cs="Arial" w:eastAsia="Arial" w:hAnsi="Arial"/>
          <w:sz w:val="18"/>
          <w:szCs w:val="18"/>
          <w:color w:val="262626"/>
        </w:rPr>
        <w:t>circles, Women back to work, Series of web chats and face to face talks. WE has been designed to enable women at EXL to advance their careers and achieve professional growth through discussion, collaboration, networking, training, development and mentorship opportunities</w:t>
      </w:r>
    </w:p>
    <w:p>
      <w:pPr>
        <w:spacing w:after="0" w:line="16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262626"/>
        </w:rPr>
        <w:t xml:space="preserve">We are committed to building a strong network of diverse suppliers </w:t>
      </w:r>
      <w:r>
        <w:rPr>
          <w:rFonts w:ascii="Arial" w:cs="Arial" w:eastAsia="Arial" w:hAnsi="Arial"/>
          <w:sz w:val="18"/>
          <w:szCs w:val="18"/>
          <w:color w:val="262626"/>
        </w:rPr>
        <w:t>through our U.S. supplier diversity program, which provides</w:t>
      </w:r>
      <w:r>
        <w:rPr>
          <w:rFonts w:ascii="Arial" w:cs="Arial" w:eastAsia="Arial" w:hAnsi="Arial"/>
          <w:sz w:val="18"/>
          <w:szCs w:val="18"/>
          <w:b w:val="1"/>
          <w:bCs w:val="1"/>
          <w:color w:val="262626"/>
        </w:rPr>
        <w:t xml:space="preserve"> </w:t>
      </w:r>
      <w:r>
        <w:rPr>
          <w:rFonts w:ascii="Arial" w:cs="Arial" w:eastAsia="Arial" w:hAnsi="Arial"/>
          <w:sz w:val="18"/>
          <w:szCs w:val="18"/>
          <w:color w:val="262626"/>
        </w:rPr>
        <w:t>opportunities to small businesses and minority, veteran disability, LGBT and women-owned businesses.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Talent Recruitment, Development and Retention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262626"/>
        </w:rPr>
        <w:t xml:space="preserve">We view talent as a differentiator </w:t>
      </w:r>
      <w:r>
        <w:rPr>
          <w:rFonts w:ascii="Arial" w:cs="Arial" w:eastAsia="Arial" w:hAnsi="Arial"/>
          <w:sz w:val="18"/>
          <w:szCs w:val="18"/>
          <w:color w:val="262626"/>
        </w:rPr>
        <w:t>for our Company’s competitive advantage and, under the leadership of our board of directors and senior</w:t>
      </w:r>
      <w:r>
        <w:rPr>
          <w:rFonts w:ascii="Arial" w:cs="Arial" w:eastAsia="Arial" w:hAnsi="Arial"/>
          <w:sz w:val="18"/>
          <w:szCs w:val="18"/>
          <w:b w:val="1"/>
          <w:bCs w:val="1"/>
          <w:color w:val="262626"/>
        </w:rPr>
        <w:t xml:space="preserve"> </w:t>
      </w:r>
      <w:r>
        <w:rPr>
          <w:rFonts w:ascii="Arial" w:cs="Arial" w:eastAsia="Arial" w:hAnsi="Arial"/>
          <w:sz w:val="18"/>
          <w:szCs w:val="18"/>
          <w:color w:val="262626"/>
        </w:rPr>
        <w:t>executives, are committed to a talent-first mindset.</w:t>
      </w:r>
    </w:p>
    <w:p>
      <w:pPr>
        <w:spacing w:after="0" w:line="140"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color w:val="262626"/>
        </w:rPr>
        <w:t>We maintain an integrated talent management framework</w:t>
      </w:r>
      <w:r>
        <w:rPr>
          <w:rFonts w:ascii="Arial" w:cs="Arial" w:eastAsia="Arial" w:hAnsi="Arial"/>
          <w:sz w:val="18"/>
          <w:szCs w:val="18"/>
          <w:color w:val="262626"/>
        </w:rPr>
        <w:t>, employing active collaboration between our recruitment, capability</w:t>
      </w:r>
      <w:r>
        <w:rPr>
          <w:rFonts w:ascii="Arial" w:cs="Arial" w:eastAsia="Arial" w:hAnsi="Arial"/>
          <w:sz w:val="18"/>
          <w:szCs w:val="18"/>
          <w:b w:val="1"/>
          <w:bCs w:val="1"/>
          <w:color w:val="262626"/>
        </w:rPr>
        <w:t xml:space="preserve"> </w:t>
      </w:r>
      <w:r>
        <w:rPr>
          <w:rFonts w:ascii="Arial" w:cs="Arial" w:eastAsia="Arial" w:hAnsi="Arial"/>
          <w:sz w:val="18"/>
          <w:szCs w:val="18"/>
          <w:color w:val="262626"/>
        </w:rPr>
        <w:t>development and human resource functions.</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262626"/>
        </w:rPr>
        <w:t xml:space="preserve">Our senior leadership team and board of directors play a critical role in defining our talent priorities </w:t>
      </w:r>
      <w:r>
        <w:rPr>
          <w:rFonts w:ascii="Arial" w:cs="Arial" w:eastAsia="Arial" w:hAnsi="Arial"/>
          <w:sz w:val="18"/>
          <w:szCs w:val="18"/>
          <w:color w:val="262626"/>
        </w:rPr>
        <w:t>to align with our strategic vision</w:t>
      </w:r>
      <w:r>
        <w:rPr>
          <w:rFonts w:ascii="Arial" w:cs="Arial" w:eastAsia="Arial" w:hAnsi="Arial"/>
          <w:sz w:val="18"/>
          <w:szCs w:val="18"/>
          <w:b w:val="1"/>
          <w:bCs w:val="1"/>
          <w:color w:val="262626"/>
        </w:rPr>
        <w:t xml:space="preserve"> </w:t>
      </w:r>
      <w:r>
        <w:rPr>
          <w:rFonts w:ascii="Arial" w:cs="Arial" w:eastAsia="Arial" w:hAnsi="Arial"/>
          <w:sz w:val="18"/>
          <w:szCs w:val="18"/>
          <w:color w:val="262626"/>
        </w:rPr>
        <w:t>for each of our business units, as well as with our clients’ priorities.</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262626"/>
        </w:rPr>
        <w:t xml:space="preserve">We focus on recruiting the right talent and continuously developing our employees </w:t>
      </w:r>
      <w:r>
        <w:rPr>
          <w:rFonts w:ascii="Arial" w:cs="Arial" w:eastAsia="Arial" w:hAnsi="Arial"/>
          <w:sz w:val="18"/>
          <w:szCs w:val="18"/>
          <w:color w:val="262626"/>
        </w:rPr>
        <w:t>through our rigorous promotion standards, client</w:t>
      </w:r>
      <w:r>
        <w:rPr>
          <w:rFonts w:ascii="Arial" w:cs="Arial" w:eastAsia="Arial" w:hAnsi="Arial"/>
          <w:sz w:val="18"/>
          <w:szCs w:val="18"/>
          <w:b w:val="1"/>
          <w:bCs w:val="1"/>
          <w:color w:val="262626"/>
        </w:rPr>
        <w:t xml:space="preserve"> </w:t>
      </w:r>
      <w:r>
        <w:rPr>
          <w:rFonts w:ascii="Arial" w:cs="Arial" w:eastAsia="Arial" w:hAnsi="Arial"/>
          <w:sz w:val="18"/>
          <w:szCs w:val="18"/>
          <w:color w:val="262626"/>
        </w:rPr>
        <w:t>and industry-specific training and competitive compensation packages that include incentive-based compensation.</w:t>
      </w:r>
    </w:p>
    <w:p>
      <w:pPr>
        <w:spacing w:after="0" w:line="14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262626"/>
        </w:rPr>
        <w:t>We have institutionalized a comprehensive set of practices, processes and programs to create an active learning culture and to build market-relevant talent within our Company in four stages:</w:t>
      </w:r>
    </w:p>
    <w:p>
      <w:pPr>
        <w:spacing w:after="0" w:line="14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b w:val="1"/>
          <w:bCs w:val="1"/>
          <w:color w:val="FF6503"/>
        </w:rPr>
      </w:pPr>
      <w:r>
        <w:rPr>
          <w:rFonts w:ascii="Arial" w:cs="Arial" w:eastAsia="Arial" w:hAnsi="Arial"/>
          <w:sz w:val="18"/>
          <w:szCs w:val="18"/>
          <w:b w:val="1"/>
          <w:bCs w:val="1"/>
          <w:color w:val="FF6503"/>
        </w:rPr>
        <w:t xml:space="preserve">Prejoining: </w:t>
      </w:r>
      <w:r>
        <w:rPr>
          <w:rFonts w:ascii="Arial" w:cs="Arial" w:eastAsia="Arial" w:hAnsi="Arial"/>
          <w:sz w:val="18"/>
          <w:szCs w:val="18"/>
          <w:color w:val="262626"/>
        </w:rPr>
        <w:t>Assessments, development on online learning platforms</w:t>
      </w:r>
    </w:p>
    <w:p>
      <w:pPr>
        <w:spacing w:after="0" w:line="198" w:lineRule="exact"/>
        <w:rPr>
          <w:rFonts w:ascii="Arial" w:cs="Arial" w:eastAsia="Arial" w:hAnsi="Arial"/>
          <w:sz w:val="18"/>
          <w:szCs w:val="18"/>
          <w:b w:val="1"/>
          <w:bCs w:val="1"/>
          <w:color w:val="FF6503"/>
        </w:rPr>
      </w:pPr>
    </w:p>
    <w:p>
      <w:pPr>
        <w:ind w:left="660" w:hanging="328"/>
        <w:spacing w:after="0"/>
        <w:tabs>
          <w:tab w:leader="none" w:pos="660" w:val="left"/>
        </w:tabs>
        <w:numPr>
          <w:ilvl w:val="0"/>
          <w:numId w:val="68"/>
        </w:numPr>
        <w:rPr>
          <w:rFonts w:ascii="Arial" w:cs="Arial" w:eastAsia="Arial" w:hAnsi="Arial"/>
          <w:sz w:val="18"/>
          <w:szCs w:val="18"/>
          <w:b w:val="1"/>
          <w:bCs w:val="1"/>
          <w:color w:val="FF6503"/>
        </w:rPr>
      </w:pPr>
      <w:r>
        <w:rPr>
          <w:rFonts w:ascii="Arial" w:cs="Arial" w:eastAsia="Arial" w:hAnsi="Arial"/>
          <w:sz w:val="18"/>
          <w:szCs w:val="18"/>
          <w:b w:val="1"/>
          <w:bCs w:val="1"/>
          <w:color w:val="FF6503"/>
        </w:rPr>
        <w:t xml:space="preserve">Onboarding: </w:t>
      </w:r>
      <w:r>
        <w:rPr>
          <w:rFonts w:ascii="Arial" w:cs="Arial" w:eastAsia="Arial" w:hAnsi="Arial"/>
          <w:sz w:val="18"/>
          <w:szCs w:val="18"/>
          <w:color w:val="262626"/>
        </w:rPr>
        <w:t>Company orientation, trainings and informal team meetings</w:t>
      </w:r>
    </w:p>
    <w:p>
      <w:pPr>
        <w:spacing w:after="0" w:line="198" w:lineRule="exact"/>
        <w:rPr>
          <w:rFonts w:ascii="Arial" w:cs="Arial" w:eastAsia="Arial" w:hAnsi="Arial"/>
          <w:sz w:val="18"/>
          <w:szCs w:val="18"/>
          <w:b w:val="1"/>
          <w:bCs w:val="1"/>
          <w:color w:val="FF6503"/>
        </w:rPr>
      </w:pPr>
    </w:p>
    <w:p>
      <w:pPr>
        <w:ind w:left="660" w:hanging="328"/>
        <w:spacing w:after="0"/>
        <w:tabs>
          <w:tab w:leader="none" w:pos="660" w:val="left"/>
        </w:tabs>
        <w:numPr>
          <w:ilvl w:val="0"/>
          <w:numId w:val="68"/>
        </w:numPr>
        <w:rPr>
          <w:rFonts w:ascii="Arial" w:cs="Arial" w:eastAsia="Arial" w:hAnsi="Arial"/>
          <w:sz w:val="18"/>
          <w:szCs w:val="18"/>
          <w:b w:val="1"/>
          <w:bCs w:val="1"/>
          <w:color w:val="FF6503"/>
        </w:rPr>
      </w:pPr>
      <w:r>
        <w:rPr>
          <w:rFonts w:ascii="Arial" w:cs="Arial" w:eastAsia="Arial" w:hAnsi="Arial"/>
          <w:sz w:val="18"/>
          <w:szCs w:val="18"/>
          <w:b w:val="1"/>
          <w:bCs w:val="1"/>
          <w:color w:val="FF6503"/>
        </w:rPr>
        <w:t xml:space="preserve">Job Readiness: </w:t>
      </w:r>
      <w:r>
        <w:rPr>
          <w:rFonts w:ascii="Arial" w:cs="Arial" w:eastAsia="Arial" w:hAnsi="Arial"/>
          <w:sz w:val="18"/>
          <w:szCs w:val="18"/>
          <w:color w:val="262626"/>
        </w:rPr>
        <w:t>Education on client processes, tools and technologies, communication effectiveness and cultural sensitivity</w:t>
      </w:r>
    </w:p>
    <w:p>
      <w:pPr>
        <w:spacing w:after="0" w:line="198" w:lineRule="exact"/>
        <w:rPr>
          <w:rFonts w:ascii="Arial" w:cs="Arial" w:eastAsia="Arial" w:hAnsi="Arial"/>
          <w:sz w:val="18"/>
          <w:szCs w:val="18"/>
          <w:b w:val="1"/>
          <w:bCs w:val="1"/>
          <w:color w:val="FF6503"/>
        </w:rPr>
      </w:pPr>
    </w:p>
    <w:p>
      <w:pPr>
        <w:ind w:left="660" w:right="220" w:hanging="328"/>
        <w:spacing w:after="0" w:line="271" w:lineRule="auto"/>
        <w:tabs>
          <w:tab w:leader="none" w:pos="660" w:val="left"/>
        </w:tabs>
        <w:numPr>
          <w:ilvl w:val="0"/>
          <w:numId w:val="68"/>
        </w:numPr>
        <w:rPr>
          <w:rFonts w:ascii="Arial" w:cs="Arial" w:eastAsia="Arial" w:hAnsi="Arial"/>
          <w:sz w:val="18"/>
          <w:szCs w:val="18"/>
          <w:b w:val="1"/>
          <w:bCs w:val="1"/>
          <w:color w:val="FF6503"/>
        </w:rPr>
      </w:pPr>
      <w:r>
        <w:rPr>
          <w:rFonts w:ascii="Arial" w:cs="Arial" w:eastAsia="Arial" w:hAnsi="Arial"/>
          <w:sz w:val="18"/>
          <w:szCs w:val="18"/>
          <w:b w:val="1"/>
          <w:bCs w:val="1"/>
          <w:color w:val="FF6503"/>
        </w:rPr>
        <w:t xml:space="preserve">Ongoing Development: </w:t>
      </w:r>
      <w:r>
        <w:rPr>
          <w:rFonts w:ascii="Arial" w:cs="Arial" w:eastAsia="Arial" w:hAnsi="Arial"/>
          <w:sz w:val="18"/>
          <w:szCs w:val="18"/>
          <w:color w:val="262626"/>
        </w:rPr>
        <w:t>Continue formal learning activities, on the job, supervisor feedback and coaching, regular talent reviews</w:t>
      </w:r>
      <w:r>
        <w:rPr>
          <w:rFonts w:ascii="Arial" w:cs="Arial" w:eastAsia="Arial" w:hAnsi="Arial"/>
          <w:sz w:val="18"/>
          <w:szCs w:val="18"/>
          <w:b w:val="1"/>
          <w:bCs w:val="1"/>
          <w:color w:val="FF6503"/>
        </w:rPr>
        <w:t xml:space="preserve"> </w:t>
      </w:r>
      <w:r>
        <w:rPr>
          <w:rFonts w:ascii="Arial" w:cs="Arial" w:eastAsia="Arial" w:hAnsi="Arial"/>
          <w:sz w:val="18"/>
          <w:szCs w:val="18"/>
          <w:color w:val="262626"/>
        </w:rPr>
        <w:t>and talent inventory succession, leadership training to identify and develop new leaders</w:t>
      </w:r>
    </w:p>
    <w:p>
      <w:pPr>
        <w:spacing w:after="0" w:line="14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262626"/>
        </w:rPr>
        <w:t xml:space="preserve">Our capability development framework is focused on developing our employees’ digital and domain expertise </w:t>
      </w:r>
      <w:r>
        <w:rPr>
          <w:rFonts w:ascii="Arial" w:cs="Arial" w:eastAsia="Arial" w:hAnsi="Arial"/>
          <w:sz w:val="18"/>
          <w:szCs w:val="18"/>
          <w:color w:val="262626"/>
        </w:rPr>
        <w:t>and leadership. We</w:t>
      </w:r>
      <w:r>
        <w:rPr>
          <w:rFonts w:ascii="Arial" w:cs="Arial" w:eastAsia="Arial" w:hAnsi="Arial"/>
          <w:sz w:val="18"/>
          <w:szCs w:val="18"/>
          <w:b w:val="1"/>
          <w:bCs w:val="1"/>
          <w:color w:val="262626"/>
        </w:rPr>
        <w:t xml:space="preserve"> </w:t>
      </w:r>
      <w:r>
        <w:rPr>
          <w:rFonts w:ascii="Arial" w:cs="Arial" w:eastAsia="Arial" w:hAnsi="Arial"/>
          <w:sz w:val="18"/>
          <w:szCs w:val="18"/>
          <w:color w:val="262626"/>
        </w:rPr>
        <w:t>do this through our learning academies, and through partnerships with industry organizations, institutes, business schools and consulting firms.</w:t>
      </w:r>
    </w:p>
    <w:p>
      <w:pPr>
        <w:spacing w:after="0" w:line="31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5" w:name="page46"/>
    <w:bookmarkEnd w:id="4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140335</wp:posOffset>
            </wp:positionV>
            <wp:extent cx="6858000" cy="19716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2019 Trainings:</w:t>
      </w:r>
    </w:p>
    <w:p>
      <w:pPr>
        <w:spacing w:after="0" w:line="198" w:lineRule="exact"/>
        <w:rPr>
          <w:sz w:val="20"/>
          <w:szCs w:val="20"/>
          <w:color w:val="auto"/>
        </w:rPr>
      </w:pPr>
    </w:p>
    <w:p>
      <w:pPr>
        <w:ind w:left="660" w:right="520" w:hanging="328"/>
        <w:spacing w:after="0" w:line="271" w:lineRule="auto"/>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99+% of employees </w:t>
      </w:r>
      <w:r>
        <w:rPr>
          <w:rFonts w:ascii="Arial" w:cs="Arial" w:eastAsia="Arial" w:hAnsi="Arial"/>
          <w:sz w:val="18"/>
          <w:szCs w:val="18"/>
          <w:color w:val="262626"/>
        </w:rPr>
        <w:t>trained in “Digital Intelligence” and EXL’s proprietary “Digital EXLerator” framework for delivering digital</w:t>
      </w:r>
      <w:r>
        <w:rPr>
          <w:rFonts w:ascii="Arial" w:cs="Arial" w:eastAsia="Arial" w:hAnsi="Arial"/>
          <w:sz w:val="18"/>
          <w:szCs w:val="18"/>
          <w:b w:val="1"/>
          <w:bCs w:val="1"/>
          <w:color w:val="262626"/>
        </w:rPr>
        <w:t xml:space="preserve"> </w:t>
      </w:r>
      <w:r>
        <w:rPr>
          <w:rFonts w:ascii="Arial" w:cs="Arial" w:eastAsia="Arial" w:hAnsi="Arial"/>
          <w:sz w:val="18"/>
          <w:szCs w:val="18"/>
          <w:color w:val="262626"/>
        </w:rPr>
        <w:t>transformation to our clients</w:t>
      </w:r>
    </w:p>
    <w:p>
      <w:pPr>
        <w:spacing w:after="0" w:line="140"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99+% of employees </w:t>
      </w:r>
      <w:r>
        <w:rPr>
          <w:rFonts w:ascii="Arial" w:cs="Arial" w:eastAsia="Arial" w:hAnsi="Arial"/>
          <w:sz w:val="18"/>
          <w:szCs w:val="18"/>
          <w:color w:val="262626"/>
        </w:rPr>
        <w:t>trained in diversity and inclusion – managing unconscious bias</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250+ </w:t>
      </w:r>
      <w:r>
        <w:rPr>
          <w:rFonts w:ascii="Arial" w:cs="Arial" w:eastAsia="Arial" w:hAnsi="Arial"/>
          <w:sz w:val="18"/>
          <w:szCs w:val="18"/>
          <w:color w:val="262626"/>
        </w:rPr>
        <w:t>employees trained in intelligent automation</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2100+ </w:t>
      </w:r>
      <w:r>
        <w:rPr>
          <w:rFonts w:ascii="Arial" w:cs="Arial" w:eastAsia="Arial" w:hAnsi="Arial"/>
          <w:sz w:val="18"/>
          <w:szCs w:val="18"/>
          <w:color w:val="262626"/>
        </w:rPr>
        <w:t>employees trained on various analytics tools and technologies</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655 </w:t>
      </w:r>
      <w:r>
        <w:rPr>
          <w:rFonts w:ascii="Arial" w:cs="Arial" w:eastAsia="Arial" w:hAnsi="Arial"/>
          <w:sz w:val="18"/>
          <w:szCs w:val="18"/>
          <w:color w:val="262626"/>
        </w:rPr>
        <w:t>employees trained on digital methodologies</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450 </w:t>
      </w:r>
      <w:r>
        <w:rPr>
          <w:rFonts w:ascii="Arial" w:cs="Arial" w:eastAsia="Arial" w:hAnsi="Arial"/>
          <w:sz w:val="18"/>
          <w:szCs w:val="18"/>
          <w:color w:val="262626"/>
        </w:rPr>
        <w:t>team leaders were trained in our new leaders training</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550 </w:t>
      </w:r>
      <w:r>
        <w:rPr>
          <w:rFonts w:ascii="Arial" w:cs="Arial" w:eastAsia="Arial" w:hAnsi="Arial"/>
          <w:sz w:val="18"/>
          <w:szCs w:val="18"/>
          <w:color w:val="262626"/>
        </w:rPr>
        <w:t>team leaders were trained in operations management</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69"/>
        </w:numPr>
        <w:rPr>
          <w:rFonts w:ascii="Arial" w:cs="Arial" w:eastAsia="Arial" w:hAnsi="Arial"/>
          <w:sz w:val="18"/>
          <w:szCs w:val="18"/>
          <w:color w:val="FF6503"/>
        </w:rPr>
      </w:pPr>
      <w:r>
        <w:rPr>
          <w:rFonts w:ascii="Arial" w:cs="Arial" w:eastAsia="Arial" w:hAnsi="Arial"/>
          <w:sz w:val="18"/>
          <w:szCs w:val="18"/>
          <w:b w:val="1"/>
          <w:bCs w:val="1"/>
          <w:color w:val="262626"/>
        </w:rPr>
        <w:t xml:space="preserve">1,030 </w:t>
      </w:r>
      <w:r>
        <w:rPr>
          <w:rFonts w:ascii="Arial" w:cs="Arial" w:eastAsia="Arial" w:hAnsi="Arial"/>
          <w:sz w:val="18"/>
          <w:szCs w:val="18"/>
          <w:color w:val="262626"/>
        </w:rPr>
        <w:t>employee certified in the insurance, healthcare, travel, transport and logistics and finance and accounting</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We have an active employee relations function to ensure that </w:t>
      </w:r>
      <w:r>
        <w:rPr>
          <w:rFonts w:ascii="Arial" w:cs="Arial" w:eastAsia="Arial" w:hAnsi="Arial"/>
          <w:sz w:val="18"/>
          <w:szCs w:val="18"/>
          <w:b w:val="1"/>
          <w:bCs w:val="1"/>
          <w:color w:val="auto"/>
        </w:rPr>
        <w:t>we regularly communicate with and understand our employees</w:t>
      </w:r>
      <w:r>
        <w:rPr>
          <w:rFonts w:ascii="Arial" w:cs="Arial" w:eastAsia="Arial" w:hAnsi="Arial"/>
          <w:sz w:val="18"/>
          <w:szCs w:val="18"/>
          <w:color w:val="auto"/>
        </w:rPr>
        <w:t>, and are able to swiftly respond to specific needs and concerns as they arise.</w:t>
      </w:r>
    </w:p>
    <w:p>
      <w:pPr>
        <w:spacing w:after="0" w:line="200" w:lineRule="exact"/>
        <w:rPr>
          <w:sz w:val="20"/>
          <w:szCs w:val="20"/>
          <w:color w:val="auto"/>
        </w:rPr>
      </w:pPr>
    </w:p>
    <w:p>
      <w:pPr>
        <w:spacing w:after="0" w:line="3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46" w:name="page47"/>
    <w:bookmarkEnd w:id="46"/>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Our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Rohit Kapoor </w:t>
      </w:r>
      <w:r>
        <w:rPr>
          <w:rFonts w:ascii="Arial" w:cs="Arial" w:eastAsia="Arial" w:hAnsi="Arial"/>
          <w:sz w:val="18"/>
          <w:szCs w:val="18"/>
          <w:color w:val="262626"/>
        </w:rPr>
        <w:t>(age 55)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Vice Chairman and CEO</w:t>
      </w:r>
    </w:p>
    <w:p>
      <w:pPr>
        <w:spacing w:after="0"/>
        <w:rPr>
          <w:sz w:val="20"/>
          <w:szCs w:val="20"/>
          <w:color w:val="auto"/>
        </w:rPr>
      </w:pPr>
      <w:r>
        <w:rPr>
          <w:rFonts w:ascii="Arial" w:cs="Arial" w:eastAsia="Arial" w:hAnsi="Arial"/>
          <w:sz w:val="18"/>
          <w:szCs w:val="18"/>
          <w:color w:val="262626"/>
        </w:rPr>
        <w:t>See section entitled “Our Board of Directors”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Ajay Ayyappan </w:t>
      </w:r>
      <w:r>
        <w:rPr>
          <w:rFonts w:ascii="Arial" w:cs="Arial" w:eastAsia="Arial" w:hAnsi="Arial"/>
          <w:sz w:val="18"/>
          <w:szCs w:val="18"/>
          <w:color w:val="262626"/>
        </w:rPr>
        <w:t>(age 42)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Senior Vice President, General Counsel and Corporate Secretary</w:t>
      </w:r>
    </w:p>
    <w:p>
      <w:pPr>
        <w:spacing w:after="0" w:line="19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262626"/>
        </w:rPr>
        <w:t>Mr. Ayyappan has served as our Senior Vice President, General Counsel and Corporate Secretary since December 2018 and our Vice President, Acting General Counsel and Corporate Secretary since August 2018. He previously served as Vice President, Deputy General Counsel and Assistant Secretary from April 2014 to August 2018 and Vice President and Assistant General Counsel from March 2007 to March 2014. Prior to joining us, Mr. Ayyappan was a corporate associate at the law firm of Morgan, Lewis &amp; Bockius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Pavan Bagai </w:t>
      </w:r>
      <w:r>
        <w:rPr>
          <w:rFonts w:ascii="Arial" w:cs="Arial" w:eastAsia="Arial" w:hAnsi="Arial"/>
          <w:sz w:val="18"/>
          <w:szCs w:val="18"/>
          <w:color w:val="262626"/>
        </w:rPr>
        <w:t>(age 58)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President and Chief Operating Officer</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Mr. Bagai has served as our President and Chief Operating Officer since April 2012, as our Chief Operating Officer from May 2008 to March 2012 and as Vice President, Head of Outsourcing Services of EXL India from June 2006 until April 2008. In addition, he served as our interim Chief Financial Officer from December 2019 through February 2020.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across markets in Europe and Asia, including India, at Bank of America beginning in 1985.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Vikas Bhalla </w:t>
      </w:r>
      <w:r>
        <w:rPr>
          <w:rFonts w:ascii="Arial" w:cs="Arial" w:eastAsia="Arial" w:hAnsi="Arial"/>
          <w:sz w:val="18"/>
          <w:szCs w:val="18"/>
          <w:color w:val="262626"/>
        </w:rPr>
        <w:t>(age 48)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Executive Vice President and Business Head, Insurance</w:t>
      </w:r>
    </w:p>
    <w:p>
      <w:pPr>
        <w:spacing w:after="0" w:line="1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262626"/>
        </w:rPr>
        <w:t>Mr. Bhalla has served as our Executive Vice President and Business Head, Insurance since January 2014 and as our Head of Outsourcing since November 2009. He previously served as Vice President, Operations of EXL India from June 2006 to October 2009 and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Vivek Jetley </w:t>
      </w:r>
      <w:r>
        <w:rPr>
          <w:rFonts w:ascii="Arial" w:cs="Arial" w:eastAsia="Arial" w:hAnsi="Arial"/>
          <w:sz w:val="18"/>
          <w:szCs w:val="18"/>
          <w:color w:val="262626"/>
        </w:rPr>
        <w:t>(age 45)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Executive Vice President and Business Head, Analytics</w:t>
      </w:r>
    </w:p>
    <w:p>
      <w:pPr>
        <w:spacing w:after="0" w:line="198" w:lineRule="exact"/>
        <w:rPr>
          <w:sz w:val="20"/>
          <w:szCs w:val="20"/>
          <w:color w:val="auto"/>
        </w:rPr>
      </w:pPr>
    </w:p>
    <w:p>
      <w:pPr>
        <w:ind w:right="220"/>
        <w:spacing w:after="0"/>
        <w:rPr>
          <w:sz w:val="20"/>
          <w:szCs w:val="20"/>
          <w:color w:val="auto"/>
        </w:rPr>
      </w:pPr>
      <w:r>
        <w:rPr>
          <w:rFonts w:ascii="Arial" w:cs="Arial" w:eastAsia="Arial" w:hAnsi="Arial"/>
          <w:sz w:val="18"/>
          <w:szCs w:val="18"/>
          <w:color w:val="262626"/>
        </w:rPr>
        <w:t>Mr. Jetley began serving as our Executive Vice President and Business Head, Analytics in January 2020. He previously served in various leadership roles with us, including heading enterprise strategy and setting up a strategic deal team. Mr. Jetley has been with EXL since 2006. Prior to joining us, Mr. Jetley was a Partner at Inductis.</w:t>
      </w:r>
    </w:p>
    <w:p>
      <w:pPr>
        <w:spacing w:after="0" w:line="32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7" w:name="page48"/>
    <w:bookmarkEnd w:id="47"/>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 xml:space="preserve">Anita Mahon </w:t>
      </w:r>
      <w:r>
        <w:rPr>
          <w:rFonts w:ascii="Arial" w:cs="Arial" w:eastAsia="Arial" w:hAnsi="Arial"/>
          <w:sz w:val="18"/>
          <w:szCs w:val="18"/>
          <w:color w:val="262626"/>
        </w:rPr>
        <w:t>(age 51)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Executive Vice President and Chief Growth Officer</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Ms. Mahon began serving as our Executive Vice President and Chief Growth Officer in March 2020. Prior to joining us, Ms. Mahon served as Vice President, Data, Strategy &amp; Portfolio Officer at IBM Watson Health, a business unit focused on developing cognitive and data-driven technologies to advance health. Ms. Mahon joined IBM in 2016 through its acquisition of Truven Health Analytics, a healthcare information and analytics business, where she served as Chief Strategy Officer. Prior to Truven, she held other leadership roles that placed her at the intersection of strategy, technology and analytics.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Samuel Meckey </w:t>
      </w:r>
      <w:r>
        <w:rPr>
          <w:rFonts w:ascii="Arial" w:cs="Arial" w:eastAsia="Arial" w:hAnsi="Arial"/>
          <w:sz w:val="18"/>
          <w:szCs w:val="18"/>
          <w:color w:val="262626"/>
        </w:rPr>
        <w:t>(age 49)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Executive Vice President and Business Head, Healthcare</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Mr. Meckey has served as an Executive Vice President since November 2018 and as Business Head, Healthcare beginning in 2019. Prior to joining us, Mr. Meckey served as President of UnitedHealth Group’s Optum Global Solutions and before that has held various executive roles at UnitedHealth Group, where he was employed from May 2004 to June 2018. Prior to joining UnitedHealth Group, Mr. Meckey was an officer and naval aviator in the United States Navy from May 1992 to August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Nalin Miglani </w:t>
      </w:r>
      <w:r>
        <w:rPr>
          <w:rFonts w:ascii="Arial" w:cs="Arial" w:eastAsia="Arial" w:hAnsi="Arial"/>
          <w:sz w:val="18"/>
          <w:szCs w:val="18"/>
          <w:color w:val="262626"/>
        </w:rPr>
        <w:t>(age 59)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Executive Vice President and Chief Human Resource Officer</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262626"/>
        </w:rPr>
        <w:t>Mr. Miglani has served as our Executive Vice President, Chief Human Resource Officer since December 2014. Mr. Miglani is responsible for the global human resources function at the Company. Prior to joining the Company, he was the Chief HR and Corporate Development Officer for Nutreco, based in Amsterdam, Netherlands, from March 2013 to November 2014. Mr. Miglani also served as the Chief HR and Communications Officer for Tata Global Beverages Company, London, UK, from June 2008 to February 2013. In addition, Mr. Miglani held various global and regional HR leadership roles around the world during his career at The Coca-Cola Company and British American Tobacco.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Maurizio Nicolelli </w:t>
      </w:r>
      <w:r>
        <w:rPr>
          <w:rFonts w:ascii="Arial" w:cs="Arial" w:eastAsia="Arial" w:hAnsi="Arial"/>
          <w:sz w:val="18"/>
          <w:szCs w:val="18"/>
          <w:color w:val="262626"/>
        </w:rPr>
        <w:t>(age 51)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Executive Vice President and Chief Financial Officer</w:t>
      </w:r>
    </w:p>
    <w:p>
      <w:pPr>
        <w:spacing w:after="0" w:line="19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262626"/>
        </w:rPr>
        <w:t>Mr. Nicolelli was appointed as Executive Vice President and Chief Financial Officer of the Company in January 2020. Prior to joining the Company, Mr. Nicolelli served as Senior Vice President and Chief Financial Officer of Casa Systems beginning in 2019. He previously served 23 years at FactSet Research Systems, where he was Senior Vice President, Principal and Chief Financial Officer from 2009 to 2018.</w:t>
      </w:r>
    </w:p>
    <w:p>
      <w:pPr>
        <w:spacing w:after="0" w:line="32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8" w:name="page49"/>
    <w:bookmarkEnd w:id="48"/>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EXECUTIVE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Compensation Discussion and Analysis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spacing w:after="0"/>
              <w:rPr>
                <w:sz w:val="20"/>
                <w:szCs w:val="20"/>
                <w:color w:val="auto"/>
              </w:rPr>
            </w:pPr>
            <w:r>
              <w:rPr>
                <w:rFonts w:ascii="Arial" w:cs="Arial" w:eastAsia="Arial" w:hAnsi="Arial"/>
                <w:sz w:val="18"/>
                <w:szCs w:val="18"/>
                <w:b w:val="1"/>
                <w:bCs w:val="1"/>
                <w:color w:val="auto"/>
              </w:rPr>
              <w:t>Named Executive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Executive Summary</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Select 2019 Financial and Business Highlights</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Total Stockholder Return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Awards and Industry Recognition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Clients and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Summary of Key Compensation Considerations &amp; Decisions in 2019</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Pay-for-Performance</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Executive Compensation Program, Practices and Policies</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Overview of Compensation Policies and Philosophies</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Our Compensation Committee’s Processes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Assessment of Company Performance</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Assessment of Individual Performance</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7"/>
        </w:trPr>
        <w:tc>
          <w:tcPr>
            <w:tcW w:w="10820" w:type="dxa"/>
            <w:vAlign w:val="bottom"/>
          </w:tcPr>
          <w:p>
            <w:pPr>
              <w:ind w:left="180"/>
              <w:spacing w:after="0"/>
              <w:rPr>
                <w:sz w:val="20"/>
                <w:szCs w:val="20"/>
                <w:color w:val="auto"/>
              </w:rPr>
            </w:pPr>
            <w:r>
              <w:rPr>
                <w:rFonts w:ascii="Arial" w:cs="Arial" w:eastAsia="Arial" w:hAnsi="Arial"/>
                <w:sz w:val="18"/>
                <w:szCs w:val="18"/>
                <w:color w:val="auto"/>
              </w:rPr>
              <w:t>Review of Peer Company Market Data</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Total Compensation Review</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Role of the Compensation Committee’s Independent Compensation Consultant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Components of Executive Compensation for 2019</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Detailed Review of Compensation Components</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Base Salary</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Incentive Bonus</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38"/>
        </w:trPr>
        <w:tc>
          <w:tcPr>
            <w:tcW w:w="10820" w:type="dxa"/>
            <w:vAlign w:val="bottom"/>
          </w:tcPr>
          <w:p>
            <w:pPr>
              <w:ind w:left="180"/>
              <w:spacing w:after="0"/>
              <w:rPr>
                <w:sz w:val="20"/>
                <w:szCs w:val="20"/>
                <w:color w:val="auto"/>
              </w:rPr>
            </w:pPr>
            <w:r>
              <w:rPr>
                <w:rFonts w:ascii="Arial" w:cs="Arial" w:eastAsia="Arial" w:hAnsi="Arial"/>
                <w:sz w:val="18"/>
                <w:szCs w:val="18"/>
                <w:color w:val="auto"/>
              </w:rPr>
              <w:t>Long-Term Equity Incentives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Fiscal Year 2019 Awards</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Payout of Awards Granted in Prior Fiscal Years</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Benefits and Perquisites</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Risk and Compensation Policies</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91"/>
        </w:trPr>
        <w:tc>
          <w:tcPr>
            <w:tcW w:w="10820" w:type="dxa"/>
            <w:vAlign w:val="bottom"/>
          </w:tcPr>
          <w:p>
            <w:pPr>
              <w:spacing w:after="0"/>
              <w:rPr>
                <w:sz w:val="20"/>
                <w:szCs w:val="20"/>
                <w:color w:val="auto"/>
              </w:rPr>
            </w:pPr>
            <w:r>
              <w:rPr>
                <w:rFonts w:ascii="Arial" w:cs="Arial" w:eastAsia="Arial" w:hAnsi="Arial"/>
                <w:sz w:val="18"/>
                <w:szCs w:val="18"/>
                <w:b w:val="1"/>
                <w:bCs w:val="1"/>
                <w:color w:val="auto"/>
              </w:rPr>
              <w:t>Severance and Change-in-Control Benefits</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91"/>
        </w:trPr>
        <w:tc>
          <w:tcPr>
            <w:tcW w:w="10820" w:type="dxa"/>
            <w:vAlign w:val="bottom"/>
          </w:tcPr>
          <w:p>
            <w:pPr>
              <w:spacing w:after="0"/>
              <w:rPr>
                <w:sz w:val="20"/>
                <w:szCs w:val="20"/>
                <w:color w:val="auto"/>
              </w:rPr>
            </w:pPr>
            <w:r>
              <w:rPr>
                <w:rFonts w:ascii="Arial" w:cs="Arial" w:eastAsia="Arial" w:hAnsi="Arial"/>
                <w:sz w:val="18"/>
                <w:szCs w:val="18"/>
                <w:b w:val="1"/>
                <w:bCs w:val="1"/>
                <w:color w:val="auto"/>
              </w:rPr>
              <w:t>2020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8"/>
        </w:trPr>
        <w:tc>
          <w:tcPr>
            <w:tcW w:w="10820" w:type="dxa"/>
            <w:vAlign w:val="bottom"/>
          </w:tcPr>
          <w:p>
            <w:pPr>
              <w:spacing w:after="0"/>
              <w:rPr>
                <w:sz w:val="20"/>
                <w:szCs w:val="20"/>
                <w:color w:val="auto"/>
              </w:rPr>
            </w:pPr>
            <w:r>
              <w:rPr>
                <w:rFonts w:ascii="Arial" w:cs="Arial" w:eastAsia="Arial" w:hAnsi="Arial"/>
                <w:sz w:val="18"/>
                <w:szCs w:val="18"/>
                <w:b w:val="1"/>
                <w:bCs w:val="1"/>
                <w:color w:val="auto"/>
              </w:rPr>
              <w:t>Deductibility Cap on Executive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7"/>
        </w:trPr>
        <w:tc>
          <w:tcPr>
            <w:tcW w:w="10820" w:type="dxa"/>
            <w:vAlign w:val="bottom"/>
          </w:tcPr>
          <w:p>
            <w:pPr>
              <w:spacing w:after="0"/>
              <w:rPr>
                <w:sz w:val="20"/>
                <w:szCs w:val="20"/>
                <w:color w:val="auto"/>
              </w:rPr>
            </w:pPr>
            <w:r>
              <w:rPr>
                <w:rFonts w:ascii="Arial" w:cs="Arial" w:eastAsia="Arial" w:hAnsi="Arial"/>
                <w:sz w:val="18"/>
                <w:szCs w:val="18"/>
                <w:b w:val="1"/>
                <w:bCs w:val="1"/>
                <w:color w:val="auto"/>
              </w:rPr>
              <w:t>Compensation Committee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630"/>
        </w:trPr>
        <w:tc>
          <w:tcPr>
            <w:tcW w:w="10820" w:type="dxa"/>
            <w:vAlign w:val="bottom"/>
          </w:tcPr>
          <w:p>
            <w:pPr>
              <w:ind w:left="936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p>
        </w:tc>
        <w:tc>
          <w:tcPr>
            <w:tcW w:w="420" w:type="dxa"/>
            <w:vAlign w:val="bottom"/>
          </w:tcPr>
          <w:p>
            <w:pPr>
              <w:jc w:val="right"/>
              <w:ind w:right="111"/>
              <w:spacing w:after="0"/>
              <w:rPr>
                <w:sz w:val="20"/>
                <w:szCs w:val="20"/>
                <w:color w:val="auto"/>
              </w:rPr>
            </w:pPr>
            <w:r>
              <w:rPr>
                <w:rFonts w:ascii="Arial" w:cs="Arial" w:eastAsia="Arial" w:hAnsi="Arial"/>
                <w:sz w:val="14"/>
                <w:szCs w:val="14"/>
                <w:color w:val="0094FF"/>
              </w:rPr>
              <w:t>42</w:t>
            </w:r>
          </w:p>
        </w:tc>
      </w:tr>
      <w:tr>
        <w:trPr>
          <w:trHeight w:val="680"/>
        </w:trPr>
        <w:tc>
          <w:tcPr>
            <w:tcW w:w="10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9" w:name="page50"/>
    <w:bookmarkEnd w:id="49"/>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Named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62626"/>
        </w:rPr>
        <w:t>As determined in accordance with SEC rules, our named executive officers (“NEOs”) for 2019 are:</w:t>
      </w:r>
    </w:p>
    <w:p>
      <w:pPr>
        <w:spacing w:after="0" w:line="176"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FF6503"/>
        </w:rPr>
      </w:pPr>
      <w:r>
        <w:rPr>
          <w:rFonts w:ascii="Arial" w:cs="Arial" w:eastAsia="Arial" w:hAnsi="Arial"/>
          <w:sz w:val="18"/>
          <w:szCs w:val="18"/>
          <w:b w:val="1"/>
          <w:bCs w:val="1"/>
          <w:color w:val="0093FF"/>
        </w:rPr>
        <w:t>Rohit Kapoor</w:t>
      </w:r>
      <w:r>
        <w:rPr>
          <w:rFonts w:ascii="Arial" w:cs="Arial" w:eastAsia="Arial" w:hAnsi="Arial"/>
          <w:sz w:val="18"/>
          <w:szCs w:val="18"/>
          <w:color w:val="262626"/>
        </w:rPr>
        <w:t>, our Vice Chairman and CEO</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0"/>
        </w:numPr>
        <w:rPr>
          <w:rFonts w:ascii="Arial" w:cs="Arial" w:eastAsia="Arial" w:hAnsi="Arial"/>
          <w:sz w:val="18"/>
          <w:szCs w:val="18"/>
          <w:color w:val="FF6503"/>
        </w:rPr>
      </w:pPr>
      <w:r>
        <w:rPr>
          <w:rFonts w:ascii="Arial" w:cs="Arial" w:eastAsia="Arial" w:hAnsi="Arial"/>
          <w:sz w:val="18"/>
          <w:szCs w:val="18"/>
          <w:b w:val="1"/>
          <w:bCs w:val="1"/>
          <w:color w:val="0093FF"/>
        </w:rPr>
        <w:t>Vishal Chhibbar</w:t>
      </w:r>
      <w:r>
        <w:rPr>
          <w:rFonts w:ascii="Arial" w:cs="Arial" w:eastAsia="Arial" w:hAnsi="Arial"/>
          <w:sz w:val="18"/>
          <w:szCs w:val="18"/>
          <w:color w:val="262626"/>
        </w:rPr>
        <w:t>, our former Executive Vice President and CFO</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0"/>
        </w:numPr>
        <w:rPr>
          <w:rFonts w:ascii="Arial" w:cs="Arial" w:eastAsia="Arial" w:hAnsi="Arial"/>
          <w:sz w:val="18"/>
          <w:szCs w:val="18"/>
          <w:color w:val="FF6503"/>
        </w:rPr>
      </w:pPr>
      <w:r>
        <w:rPr>
          <w:rFonts w:ascii="Arial" w:cs="Arial" w:eastAsia="Arial" w:hAnsi="Arial"/>
          <w:sz w:val="18"/>
          <w:szCs w:val="18"/>
          <w:b w:val="1"/>
          <w:bCs w:val="1"/>
          <w:color w:val="0093FF"/>
        </w:rPr>
        <w:t>Pavan Bagai</w:t>
      </w:r>
      <w:r>
        <w:rPr>
          <w:rFonts w:ascii="Arial" w:cs="Arial" w:eastAsia="Arial" w:hAnsi="Arial"/>
          <w:sz w:val="18"/>
          <w:szCs w:val="18"/>
          <w:color w:val="262626"/>
        </w:rPr>
        <w:t>, our President, Chief Operating Officer and interim CFO</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0"/>
        </w:numPr>
        <w:rPr>
          <w:rFonts w:ascii="Arial" w:cs="Arial" w:eastAsia="Arial" w:hAnsi="Arial"/>
          <w:sz w:val="18"/>
          <w:szCs w:val="18"/>
          <w:color w:val="FF6503"/>
        </w:rPr>
      </w:pPr>
      <w:r>
        <w:rPr>
          <w:rFonts w:ascii="Arial" w:cs="Arial" w:eastAsia="Arial" w:hAnsi="Arial"/>
          <w:sz w:val="18"/>
          <w:szCs w:val="18"/>
          <w:b w:val="1"/>
          <w:bCs w:val="1"/>
          <w:color w:val="0093FF"/>
        </w:rPr>
        <w:t>Nalin Miglani</w:t>
      </w:r>
      <w:r>
        <w:rPr>
          <w:rFonts w:ascii="Arial" w:cs="Arial" w:eastAsia="Arial" w:hAnsi="Arial"/>
          <w:sz w:val="18"/>
          <w:szCs w:val="18"/>
          <w:color w:val="262626"/>
        </w:rPr>
        <w:t>, our Executive Vice President and Chief Human Resources Officer</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0"/>
        </w:numPr>
        <w:rPr>
          <w:rFonts w:ascii="Arial" w:cs="Arial" w:eastAsia="Arial" w:hAnsi="Arial"/>
          <w:sz w:val="18"/>
          <w:szCs w:val="18"/>
          <w:color w:val="FF6503"/>
        </w:rPr>
      </w:pPr>
      <w:r>
        <w:rPr>
          <w:rFonts w:ascii="Arial" w:cs="Arial" w:eastAsia="Arial" w:hAnsi="Arial"/>
          <w:sz w:val="18"/>
          <w:szCs w:val="18"/>
          <w:b w:val="1"/>
          <w:bCs w:val="1"/>
          <w:color w:val="0093FF"/>
        </w:rPr>
        <w:t>Vikas Bhalla</w:t>
      </w:r>
      <w:r>
        <w:rPr>
          <w:rFonts w:ascii="Arial" w:cs="Arial" w:eastAsia="Arial" w:hAnsi="Arial"/>
          <w:sz w:val="18"/>
          <w:szCs w:val="18"/>
          <w:color w:val="262626"/>
        </w:rPr>
        <w:t>, our Executive Vice President and Business Head, Insurance</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0"/>
        </w:numPr>
        <w:rPr>
          <w:rFonts w:ascii="Arial" w:cs="Arial" w:eastAsia="Arial" w:hAnsi="Arial"/>
          <w:sz w:val="18"/>
          <w:szCs w:val="18"/>
          <w:color w:val="FF6503"/>
        </w:rPr>
      </w:pPr>
      <w:r>
        <w:rPr>
          <w:rFonts w:ascii="Arial" w:cs="Arial" w:eastAsia="Arial" w:hAnsi="Arial"/>
          <w:sz w:val="18"/>
          <w:szCs w:val="18"/>
          <w:b w:val="1"/>
          <w:bCs w:val="1"/>
          <w:color w:val="0093FF"/>
        </w:rPr>
        <w:t>Samuel Meckey</w:t>
      </w:r>
      <w:r>
        <w:rPr>
          <w:rFonts w:ascii="Arial" w:cs="Arial" w:eastAsia="Arial" w:hAnsi="Arial"/>
          <w:sz w:val="18"/>
          <w:szCs w:val="18"/>
          <w:color w:val="262626"/>
        </w:rPr>
        <w:t>, our Executive Vice President and Business Head, Healthcare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Executive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Select 2019 Financial and Business Highlights</w:t>
      </w:r>
    </w:p>
    <w:p>
      <w:pPr>
        <w:spacing w:after="0" w:line="220" w:lineRule="exact"/>
        <w:rPr>
          <w:sz w:val="20"/>
          <w:szCs w:val="20"/>
          <w:color w:val="auto"/>
        </w:rPr>
      </w:pPr>
    </w:p>
    <w:p>
      <w:pPr>
        <w:ind w:left="660" w:right="280" w:hanging="328"/>
        <w:spacing w:after="0" w:line="246" w:lineRule="auto"/>
        <w:tabs>
          <w:tab w:leader="none" w:pos="660" w:val="left"/>
        </w:tabs>
        <w:numPr>
          <w:ilvl w:val="0"/>
          <w:numId w:val="71"/>
        </w:numPr>
        <w:rPr>
          <w:rFonts w:ascii="Arial" w:cs="Arial" w:eastAsia="Arial" w:hAnsi="Arial"/>
          <w:sz w:val="18"/>
          <w:szCs w:val="18"/>
          <w:color w:val="FF6503"/>
        </w:rPr>
      </w:pPr>
      <w:r>
        <w:rPr>
          <w:rFonts w:ascii="Arial" w:cs="Arial" w:eastAsia="Arial" w:hAnsi="Arial"/>
          <w:sz w:val="18"/>
          <w:szCs w:val="18"/>
          <w:color w:val="262626"/>
        </w:rPr>
        <w:t>Improved our annual revenues from $883.1 million in fiscal year 2018 to $991.3 million in fiscal year 2019 on a reported currency basis (an increase of over 12%)</w:t>
      </w:r>
    </w:p>
    <w:p>
      <w:pPr>
        <w:spacing w:after="0" w:line="183" w:lineRule="exact"/>
        <w:rPr>
          <w:rFonts w:ascii="Arial" w:cs="Arial" w:eastAsia="Arial" w:hAnsi="Arial"/>
          <w:sz w:val="18"/>
          <w:szCs w:val="18"/>
          <w:color w:val="FF6503"/>
        </w:rPr>
      </w:pPr>
    </w:p>
    <w:p>
      <w:pPr>
        <w:ind w:left="660" w:hanging="328"/>
        <w:spacing w:after="0"/>
        <w:tabs>
          <w:tab w:leader="none" w:pos="660" w:val="left"/>
        </w:tabs>
        <w:numPr>
          <w:ilvl w:val="0"/>
          <w:numId w:val="71"/>
        </w:numPr>
        <w:rPr>
          <w:rFonts w:ascii="Arial" w:cs="Arial" w:eastAsia="Arial" w:hAnsi="Arial"/>
          <w:sz w:val="18"/>
          <w:szCs w:val="18"/>
          <w:color w:val="FF6503"/>
        </w:rPr>
      </w:pPr>
      <w:r>
        <w:rPr>
          <w:rFonts w:ascii="Arial" w:cs="Arial" w:eastAsia="Arial" w:hAnsi="Arial"/>
          <w:sz w:val="18"/>
          <w:szCs w:val="18"/>
          <w:color w:val="262626"/>
        </w:rPr>
        <w:t>Improved net income attributable to stockholders by 19% to $67.7 million</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1"/>
        </w:numPr>
        <w:rPr>
          <w:rFonts w:ascii="Arial" w:cs="Arial" w:eastAsia="Arial" w:hAnsi="Arial"/>
          <w:sz w:val="18"/>
          <w:szCs w:val="18"/>
          <w:color w:val="FF6503"/>
        </w:rPr>
      </w:pPr>
      <w:r>
        <w:rPr>
          <w:rFonts w:ascii="Arial" w:cs="Arial" w:eastAsia="Arial" w:hAnsi="Arial"/>
          <w:sz w:val="18"/>
          <w:szCs w:val="18"/>
          <w:color w:val="262626"/>
        </w:rPr>
        <w:t>Substantially completed the wind down of the operations of our Health Integrated business on December 31, 2019</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1"/>
        </w:numPr>
        <w:rPr>
          <w:rFonts w:ascii="Arial" w:cs="Arial" w:eastAsia="Arial" w:hAnsi="Arial"/>
          <w:sz w:val="18"/>
          <w:szCs w:val="18"/>
          <w:color w:val="FF6503"/>
        </w:rPr>
      </w:pPr>
      <w:r>
        <w:rPr>
          <w:rFonts w:ascii="Arial" w:cs="Arial" w:eastAsia="Arial" w:hAnsi="Arial"/>
          <w:sz w:val="18"/>
          <w:szCs w:val="18"/>
          <w:color w:val="262626"/>
        </w:rPr>
        <w:t>Added approximately 2,600 employees to our global work force, mainly in our delivery centers</w:t>
      </w:r>
    </w:p>
    <w:p>
      <w:pPr>
        <w:spacing w:after="0" w:line="198" w:lineRule="exact"/>
        <w:rPr>
          <w:rFonts w:ascii="Arial" w:cs="Arial" w:eastAsia="Arial" w:hAnsi="Arial"/>
          <w:sz w:val="18"/>
          <w:szCs w:val="18"/>
          <w:color w:val="FF6503"/>
        </w:rPr>
      </w:pPr>
    </w:p>
    <w:p>
      <w:pPr>
        <w:ind w:left="660" w:right="220" w:hanging="328"/>
        <w:spacing w:after="0" w:line="246" w:lineRule="auto"/>
        <w:tabs>
          <w:tab w:leader="none" w:pos="660" w:val="left"/>
        </w:tabs>
        <w:numPr>
          <w:ilvl w:val="0"/>
          <w:numId w:val="71"/>
        </w:numPr>
        <w:rPr>
          <w:rFonts w:ascii="Arial" w:cs="Arial" w:eastAsia="Arial" w:hAnsi="Arial"/>
          <w:sz w:val="18"/>
          <w:szCs w:val="18"/>
          <w:color w:val="FF6503"/>
        </w:rPr>
      </w:pPr>
      <w:r>
        <w:rPr>
          <w:rFonts w:ascii="Arial" w:cs="Arial" w:eastAsia="Arial" w:hAnsi="Arial"/>
          <w:sz w:val="18"/>
          <w:szCs w:val="18"/>
          <w:color w:val="262626"/>
        </w:rPr>
        <w:t>Added our fourth Digital Lab in London to complement our labs in Manila, Philippines, Noida and Bangalore, India, and our Digital Experience Center in the United States</w:t>
      </w:r>
    </w:p>
    <w:p>
      <w:pPr>
        <w:spacing w:after="0" w:line="183" w:lineRule="exact"/>
        <w:rPr>
          <w:rFonts w:ascii="Arial" w:cs="Arial" w:eastAsia="Arial" w:hAnsi="Arial"/>
          <w:sz w:val="18"/>
          <w:szCs w:val="18"/>
          <w:color w:val="FF6503"/>
        </w:rPr>
      </w:pPr>
    </w:p>
    <w:p>
      <w:pPr>
        <w:ind w:left="660" w:hanging="328"/>
        <w:spacing w:after="0" w:line="246" w:lineRule="auto"/>
        <w:tabs>
          <w:tab w:leader="none" w:pos="660" w:val="left"/>
        </w:tabs>
        <w:numPr>
          <w:ilvl w:val="0"/>
          <w:numId w:val="71"/>
        </w:numPr>
        <w:rPr>
          <w:rFonts w:ascii="Arial" w:cs="Arial" w:eastAsia="Arial" w:hAnsi="Arial"/>
          <w:sz w:val="18"/>
          <w:szCs w:val="18"/>
          <w:color w:val="FF6503"/>
        </w:rPr>
      </w:pPr>
      <w:r>
        <w:rPr>
          <w:rFonts w:ascii="Arial" w:cs="Arial" w:eastAsia="Arial" w:hAnsi="Arial"/>
          <w:sz w:val="18"/>
          <w:szCs w:val="18"/>
          <w:color w:val="262626"/>
        </w:rPr>
        <w:t>Won 28 new clients and received numerous awards and industry recognitions in our primary segments of Insurance, Healthcare and Analytics</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0" w:name="page51"/>
    <w:bookmarkEnd w:id="50"/>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Total Stockholder Return</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262626"/>
        </w:rPr>
        <w:t>The following graphs compare our 1-year, 3-year and 5-year total stockholder return (“TSR”) with that of the companies comprising Nasdaq, S&amp;P 500 and our peer group. As shown in the table, our 1-Year TSR outperformed all but one of our market benchmarks while our 5-year TSR outperformed all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120650</wp:posOffset>
            </wp:positionV>
            <wp:extent cx="6000750" cy="17399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007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4"/>
          <w:szCs w:val="14"/>
          <w:color w:val="262626"/>
        </w:rPr>
      </w:pPr>
      <w:r>
        <w:rPr>
          <w:rFonts w:ascii="Arial" w:cs="Arial" w:eastAsia="Arial" w:hAnsi="Arial"/>
          <w:sz w:val="14"/>
          <w:szCs w:val="14"/>
          <w:color w:val="262626"/>
        </w:rPr>
        <w:t>Cumulative growth rate as of December 31, 2019.</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72"/>
        </w:numPr>
        <w:rPr>
          <w:rFonts w:ascii="Arial" w:cs="Arial" w:eastAsia="Arial" w:hAnsi="Arial"/>
          <w:sz w:val="14"/>
          <w:szCs w:val="14"/>
          <w:color w:val="262626"/>
        </w:rPr>
      </w:pPr>
      <w:r>
        <w:rPr>
          <w:rFonts w:ascii="Arial" w:cs="Arial" w:eastAsia="Arial" w:hAnsi="Arial"/>
          <w:sz w:val="14"/>
          <w:szCs w:val="14"/>
          <w:color w:val="262626"/>
        </w:rPr>
        <w:t>Peer group TSR data excludes Convergys Corporation, which was acquired in October 2018, and DST Systems, which was acquired in April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Awards and Industry Recognition</w:t>
      </w:r>
    </w:p>
    <w:p>
      <w:pPr>
        <w:spacing w:after="0" w:line="22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FF6503"/>
        </w:rPr>
      </w:pPr>
      <w:r>
        <w:rPr>
          <w:rFonts w:ascii="Arial" w:cs="Arial" w:eastAsia="Arial" w:hAnsi="Arial"/>
          <w:sz w:val="18"/>
          <w:szCs w:val="18"/>
          <w:color w:val="262626"/>
        </w:rPr>
        <w:t>Our people are our primary assets, and they continue to be recognized across the industry.</w:t>
      </w:r>
    </w:p>
    <w:p>
      <w:pPr>
        <w:spacing w:after="0" w:line="198" w:lineRule="exact"/>
        <w:rPr>
          <w:rFonts w:ascii="Arial" w:cs="Arial" w:eastAsia="Arial" w:hAnsi="Arial"/>
          <w:sz w:val="18"/>
          <w:szCs w:val="18"/>
          <w:color w:val="FF6503"/>
        </w:rPr>
      </w:pPr>
    </w:p>
    <w:p>
      <w:pPr>
        <w:ind w:left="660" w:hanging="328"/>
        <w:spacing w:after="0" w:line="238" w:lineRule="auto"/>
        <w:tabs>
          <w:tab w:leader="none" w:pos="660" w:val="left"/>
        </w:tabs>
        <w:numPr>
          <w:ilvl w:val="0"/>
          <w:numId w:val="73"/>
        </w:numPr>
        <w:rPr>
          <w:rFonts w:ascii="Arial" w:cs="Arial" w:eastAsia="Arial" w:hAnsi="Arial"/>
          <w:sz w:val="18"/>
          <w:szCs w:val="18"/>
          <w:color w:val="FF6503"/>
        </w:rPr>
      </w:pPr>
      <w:r>
        <w:rPr>
          <w:rFonts w:ascii="Arial" w:cs="Arial" w:eastAsia="Arial" w:hAnsi="Arial"/>
          <w:sz w:val="18"/>
          <w:szCs w:val="18"/>
          <w:color w:val="262626"/>
        </w:rPr>
        <w:t>As in prior years, we continued to receive numerous industry recognitions and awards, including being recognized as a Leader in the ISG Provider Lens for Insurance BPO Digital Services – U.S. 2019 for Property &amp; Casualty Insurance Services, Life &amp; Annuity Digital Services and Life &amp; Annuity TPA Services and recognized as a Leader in the Everest Group Clinical and Care Management BPS Services PEAK Matrix™ Assessment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Clients and Operations</w:t>
      </w:r>
    </w:p>
    <w:p>
      <w:pPr>
        <w:spacing w:after="0" w:line="22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FF6503"/>
        </w:rPr>
      </w:pPr>
      <w:r>
        <w:rPr>
          <w:rFonts w:ascii="Arial" w:cs="Arial" w:eastAsia="Arial" w:hAnsi="Arial"/>
          <w:sz w:val="18"/>
          <w:szCs w:val="18"/>
          <w:color w:val="262626"/>
        </w:rPr>
        <w:t>In 2019 we won 28 new clients adding to the 50 new clients we won in 2018.</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74"/>
        </w:numPr>
        <w:rPr>
          <w:rFonts w:ascii="Arial" w:cs="Arial" w:eastAsia="Arial" w:hAnsi="Arial"/>
          <w:sz w:val="18"/>
          <w:szCs w:val="18"/>
          <w:color w:val="FF6503"/>
        </w:rPr>
      </w:pPr>
      <w:r>
        <w:rPr>
          <w:rFonts w:ascii="Arial" w:cs="Arial" w:eastAsia="Arial" w:hAnsi="Arial"/>
          <w:sz w:val="18"/>
          <w:szCs w:val="18"/>
          <w:color w:val="262626"/>
        </w:rPr>
        <w:t>In the past year, revenue from our top 30 clients grew by 14.6%.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Summary of Key Compensation Considerations &amp; Decisions in 2019</w:t>
      </w:r>
    </w:p>
    <w:p>
      <w:pPr>
        <w:spacing w:after="0" w:line="220"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262626"/>
        </w:rPr>
        <w:t>The following highlights the Compensation Committee’s key considerations and compensation decisions in 2019 and with respect to performance for 2019 for our NEOs.</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540" w:type="dxa"/>
            <w:vAlign w:val="bottom"/>
            <w:tcBorders>
              <w:left w:val="single" w:sz="8" w:color="0093FF"/>
              <w:right w:val="single" w:sz="8" w:color="0093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Items</w:t>
            </w:r>
          </w:p>
        </w:tc>
        <w:tc>
          <w:tcPr>
            <w:tcW w:w="5700" w:type="dxa"/>
            <w:vAlign w:val="bottom"/>
            <w:tcBorders>
              <w:right w:val="single" w:sz="8" w:color="0093FF"/>
            </w:tcBorders>
            <w:shd w:val="clear" w:color="auto" w:fill="0093FF"/>
          </w:tcPr>
          <w:p>
            <w:pPr>
              <w:ind w:left="80"/>
              <w:spacing w:after="0"/>
              <w:rPr>
                <w:sz w:val="20"/>
                <w:szCs w:val="20"/>
                <w:color w:val="auto"/>
              </w:rPr>
            </w:pPr>
            <w:r>
              <w:rPr>
                <w:rFonts w:ascii="Arial" w:cs="Arial" w:eastAsia="Arial" w:hAnsi="Arial"/>
                <w:sz w:val="18"/>
                <w:szCs w:val="18"/>
                <w:b w:val="1"/>
                <w:bCs w:val="1"/>
                <w:color w:val="FFFFFF"/>
              </w:rPr>
              <w:t>Considerations and Decisions</w:t>
            </w:r>
          </w:p>
        </w:tc>
      </w:tr>
      <w:tr>
        <w:trPr>
          <w:trHeight w:val="108"/>
        </w:trPr>
        <w:tc>
          <w:tcPr>
            <w:tcW w:w="5540" w:type="dxa"/>
            <w:vAlign w:val="bottom"/>
            <w:tcBorders>
              <w:left w:val="single" w:sz="8" w:color="0093FF"/>
              <w:right w:val="single" w:sz="8" w:color="0093FF"/>
            </w:tcBorders>
            <w:shd w:val="clear" w:color="auto" w:fill="0093FF"/>
          </w:tcPr>
          <w:p>
            <w:pPr>
              <w:spacing w:after="0"/>
              <w:rPr>
                <w:sz w:val="9"/>
                <w:szCs w:val="9"/>
                <w:color w:val="auto"/>
              </w:rPr>
            </w:pPr>
          </w:p>
        </w:tc>
        <w:tc>
          <w:tcPr>
            <w:tcW w:w="5700" w:type="dxa"/>
            <w:vAlign w:val="bottom"/>
            <w:tcBorders>
              <w:right w:val="single" w:sz="8" w:color="0093FF"/>
            </w:tcBorders>
            <w:shd w:val="clear" w:color="auto" w:fill="0093FF"/>
          </w:tcPr>
          <w:p>
            <w:pPr>
              <w:spacing w:after="0"/>
              <w:rPr>
                <w:sz w:val="9"/>
                <w:szCs w:val="9"/>
                <w:color w:val="auto"/>
              </w:rPr>
            </w:pPr>
          </w:p>
        </w:tc>
      </w:tr>
      <w:tr>
        <w:trPr>
          <w:trHeight w:val="310"/>
        </w:trPr>
        <w:tc>
          <w:tcPr>
            <w:tcW w:w="5540" w:type="dxa"/>
            <w:vAlign w:val="bottom"/>
            <w:tcBorders>
              <w:left w:val="single" w:sz="8" w:color="0093FF"/>
              <w:right w:val="single" w:sz="8" w:color="0093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Say on Pay Approval</w:t>
            </w:r>
          </w:p>
        </w:tc>
        <w:tc>
          <w:tcPr>
            <w:tcW w:w="5700" w:type="dxa"/>
            <w:vAlign w:val="bottom"/>
            <w:tcBorders>
              <w:right w:val="single" w:sz="8" w:color="0093FF"/>
            </w:tcBorders>
            <w:shd w:val="clear" w:color="auto" w:fill="F3F9FF"/>
          </w:tcPr>
          <w:p>
            <w:pPr>
              <w:ind w:left="80"/>
              <w:spacing w:after="0"/>
              <w:rPr>
                <w:sz w:val="20"/>
                <w:szCs w:val="20"/>
                <w:color w:val="auto"/>
              </w:rPr>
            </w:pPr>
            <w:r>
              <w:rPr>
                <w:rFonts w:ascii="Arial" w:cs="Arial" w:eastAsia="Arial" w:hAnsi="Arial"/>
                <w:sz w:val="18"/>
                <w:szCs w:val="18"/>
                <w:color w:val="auto"/>
              </w:rPr>
              <w:t>97% of our stockholders approved, on a non-binding basis</w:t>
            </w:r>
          </w:p>
        </w:tc>
      </w:tr>
      <w:tr>
        <w:trPr>
          <w:trHeight w:val="217"/>
        </w:trPr>
        <w:tc>
          <w:tcPr>
            <w:tcW w:w="5540" w:type="dxa"/>
            <w:vAlign w:val="bottom"/>
            <w:tcBorders>
              <w:left w:val="single" w:sz="8" w:color="0093FF"/>
              <w:right w:val="single" w:sz="8" w:color="0093FF"/>
            </w:tcBorders>
            <w:shd w:val="clear" w:color="auto" w:fill="F3F9FF"/>
          </w:tcPr>
          <w:p>
            <w:pPr>
              <w:spacing w:after="0"/>
              <w:rPr>
                <w:sz w:val="18"/>
                <w:szCs w:val="18"/>
                <w:color w:val="auto"/>
              </w:rPr>
            </w:pPr>
          </w:p>
        </w:tc>
        <w:tc>
          <w:tcPr>
            <w:tcW w:w="5700" w:type="dxa"/>
            <w:vAlign w:val="bottom"/>
            <w:tcBorders>
              <w:right w:val="single" w:sz="8" w:color="0093FF"/>
            </w:tcBorders>
            <w:shd w:val="clear" w:color="auto" w:fill="F3F9FF"/>
          </w:tcPr>
          <w:p>
            <w:pPr>
              <w:ind w:left="80"/>
              <w:spacing w:after="0"/>
              <w:rPr>
                <w:sz w:val="20"/>
                <w:szCs w:val="20"/>
                <w:color w:val="auto"/>
              </w:rPr>
            </w:pPr>
            <w:r>
              <w:rPr>
                <w:rFonts w:ascii="Arial" w:cs="Arial" w:eastAsia="Arial" w:hAnsi="Arial"/>
                <w:sz w:val="18"/>
                <w:szCs w:val="18"/>
                <w:color w:val="auto"/>
              </w:rPr>
              <w:t>(excluding broker non-votes), of our compensation of our NEOs.</w:t>
            </w:r>
          </w:p>
        </w:tc>
      </w:tr>
      <w:tr>
        <w:trPr>
          <w:trHeight w:val="94"/>
        </w:trPr>
        <w:tc>
          <w:tcPr>
            <w:tcW w:w="5540" w:type="dxa"/>
            <w:vAlign w:val="bottom"/>
            <w:tcBorders>
              <w:left w:val="single" w:sz="8" w:color="0093FF"/>
              <w:bottom w:val="single" w:sz="8" w:color="DBEFFF"/>
              <w:right w:val="single" w:sz="8" w:color="0093FF"/>
            </w:tcBorders>
            <w:shd w:val="clear" w:color="auto" w:fill="F3F9FF"/>
          </w:tcPr>
          <w:p>
            <w:pPr>
              <w:spacing w:after="0"/>
              <w:rPr>
                <w:sz w:val="8"/>
                <w:szCs w:val="8"/>
                <w:color w:val="auto"/>
              </w:rPr>
            </w:pPr>
          </w:p>
        </w:tc>
        <w:tc>
          <w:tcPr>
            <w:tcW w:w="5700" w:type="dxa"/>
            <w:vAlign w:val="bottom"/>
            <w:tcBorders>
              <w:bottom w:val="single" w:sz="8" w:color="DBEFFF"/>
              <w:right w:val="single" w:sz="8" w:color="0093FF"/>
            </w:tcBorders>
            <w:shd w:val="clear" w:color="auto" w:fill="F3F9FF"/>
          </w:tcPr>
          <w:p>
            <w:pPr>
              <w:spacing w:after="0"/>
              <w:rPr>
                <w:sz w:val="8"/>
                <w:szCs w:val="8"/>
                <w:color w:val="auto"/>
              </w:rPr>
            </w:pPr>
          </w:p>
        </w:tc>
      </w:tr>
      <w:tr>
        <w:trPr>
          <w:trHeight w:val="318"/>
        </w:trPr>
        <w:tc>
          <w:tcPr>
            <w:tcW w:w="5540" w:type="dxa"/>
            <w:vAlign w:val="bottom"/>
            <w:tcBorders>
              <w:left w:val="single" w:sz="8" w:color="0093FF"/>
              <w:right w:val="single" w:sz="8" w:color="0093FF"/>
            </w:tcBorders>
          </w:tcPr>
          <w:p>
            <w:pPr>
              <w:ind w:left="120"/>
              <w:spacing w:after="0"/>
              <w:rPr>
                <w:sz w:val="20"/>
                <w:szCs w:val="20"/>
                <w:color w:val="auto"/>
              </w:rPr>
            </w:pPr>
            <w:r>
              <w:rPr>
                <w:rFonts w:ascii="Arial" w:cs="Arial" w:eastAsia="Arial" w:hAnsi="Arial"/>
                <w:sz w:val="18"/>
                <w:szCs w:val="18"/>
                <w:b w:val="1"/>
                <w:bCs w:val="1"/>
                <w:color w:val="auto"/>
              </w:rPr>
              <w:t>Base Salaries</w:t>
            </w:r>
          </w:p>
        </w:tc>
        <w:tc>
          <w:tcPr>
            <w:tcW w:w="5700" w:type="dxa"/>
            <w:vAlign w:val="bottom"/>
            <w:tcBorders>
              <w:right w:val="single" w:sz="8" w:color="0093FF"/>
            </w:tcBorders>
          </w:tcPr>
          <w:p>
            <w:pPr>
              <w:ind w:left="80"/>
              <w:spacing w:after="0"/>
              <w:rPr>
                <w:sz w:val="20"/>
                <w:szCs w:val="20"/>
                <w:color w:val="auto"/>
              </w:rPr>
            </w:pPr>
            <w:r>
              <w:rPr>
                <w:rFonts w:ascii="Arial" w:cs="Arial" w:eastAsia="Arial" w:hAnsi="Arial"/>
                <w:sz w:val="18"/>
                <w:szCs w:val="18"/>
                <w:color w:val="auto"/>
              </w:rPr>
              <w:t>We held base salaries constant in 2019.</w:t>
            </w:r>
          </w:p>
        </w:tc>
      </w:tr>
      <w:tr>
        <w:trPr>
          <w:trHeight w:val="94"/>
        </w:trPr>
        <w:tc>
          <w:tcPr>
            <w:tcW w:w="5540" w:type="dxa"/>
            <w:vAlign w:val="bottom"/>
            <w:tcBorders>
              <w:left w:val="single" w:sz="8" w:color="0093FF"/>
              <w:bottom w:val="single" w:sz="8" w:color="DBEFFF"/>
              <w:right w:val="single" w:sz="8" w:color="0093FF"/>
            </w:tcBorders>
          </w:tcPr>
          <w:p>
            <w:pPr>
              <w:spacing w:after="0"/>
              <w:rPr>
                <w:sz w:val="8"/>
                <w:szCs w:val="8"/>
                <w:color w:val="auto"/>
              </w:rPr>
            </w:pPr>
          </w:p>
        </w:tc>
        <w:tc>
          <w:tcPr>
            <w:tcW w:w="5700" w:type="dxa"/>
            <w:vAlign w:val="bottom"/>
            <w:tcBorders>
              <w:bottom w:val="single" w:sz="8" w:color="DBEFFF"/>
              <w:right w:val="single" w:sz="8" w:color="0093FF"/>
            </w:tcBorders>
          </w:tcPr>
          <w:p>
            <w:pPr>
              <w:spacing w:after="0"/>
              <w:rPr>
                <w:sz w:val="8"/>
                <w:szCs w:val="8"/>
                <w:color w:val="auto"/>
              </w:rPr>
            </w:pPr>
          </w:p>
        </w:tc>
      </w:tr>
      <w:tr>
        <w:trPr>
          <w:trHeight w:val="303"/>
        </w:trPr>
        <w:tc>
          <w:tcPr>
            <w:tcW w:w="5540" w:type="dxa"/>
            <w:vAlign w:val="bottom"/>
            <w:tcBorders>
              <w:left w:val="single" w:sz="8" w:color="0093FF"/>
              <w:right w:val="single" w:sz="8" w:color="0093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Annual Bonuses</w:t>
            </w:r>
          </w:p>
        </w:tc>
        <w:tc>
          <w:tcPr>
            <w:tcW w:w="5700" w:type="dxa"/>
            <w:vAlign w:val="bottom"/>
            <w:tcBorders>
              <w:right w:val="single" w:sz="8" w:color="0093FF"/>
            </w:tcBorders>
            <w:shd w:val="clear" w:color="auto" w:fill="F3F9FF"/>
          </w:tcPr>
          <w:p>
            <w:pPr>
              <w:ind w:left="80"/>
              <w:spacing w:after="0"/>
              <w:rPr>
                <w:sz w:val="20"/>
                <w:szCs w:val="20"/>
                <w:color w:val="auto"/>
              </w:rPr>
            </w:pPr>
            <w:r>
              <w:rPr>
                <w:rFonts w:ascii="Arial" w:cs="Arial" w:eastAsia="Arial" w:hAnsi="Arial"/>
                <w:sz w:val="18"/>
                <w:szCs w:val="18"/>
                <w:color w:val="auto"/>
              </w:rPr>
              <w:t>We based our annual bonuses on achievement of company goals</w:t>
            </w:r>
          </w:p>
        </w:tc>
      </w:tr>
      <w:tr>
        <w:trPr>
          <w:trHeight w:val="203"/>
        </w:trPr>
        <w:tc>
          <w:tcPr>
            <w:tcW w:w="5540" w:type="dxa"/>
            <w:vAlign w:val="bottom"/>
            <w:tcBorders>
              <w:left w:val="single" w:sz="8" w:color="0093FF"/>
              <w:right w:val="single" w:sz="8" w:color="0093FF"/>
            </w:tcBorders>
            <w:shd w:val="clear" w:color="auto" w:fill="F3F9FF"/>
          </w:tcPr>
          <w:p>
            <w:pPr>
              <w:spacing w:after="0"/>
              <w:rPr>
                <w:sz w:val="17"/>
                <w:szCs w:val="17"/>
                <w:color w:val="auto"/>
              </w:rPr>
            </w:pPr>
          </w:p>
        </w:tc>
        <w:tc>
          <w:tcPr>
            <w:tcW w:w="5700" w:type="dxa"/>
            <w:vAlign w:val="bottom"/>
            <w:tcBorders>
              <w:right w:val="single" w:sz="8" w:color="0093FF"/>
            </w:tcBorders>
            <w:shd w:val="clear" w:color="auto" w:fill="F3F9FF"/>
          </w:tcPr>
          <w:p>
            <w:pPr>
              <w:ind w:left="80"/>
              <w:spacing w:after="0" w:line="202" w:lineRule="exact"/>
              <w:rPr>
                <w:sz w:val="20"/>
                <w:szCs w:val="20"/>
                <w:color w:val="auto"/>
              </w:rPr>
            </w:pPr>
            <w:r>
              <w:rPr>
                <w:rFonts w:ascii="Arial" w:cs="Arial" w:eastAsia="Arial" w:hAnsi="Arial"/>
                <w:sz w:val="18"/>
                <w:szCs w:val="18"/>
                <w:color w:val="auto"/>
              </w:rPr>
              <w:t>(Adjusted EPS &amp; revenue), business unit goals (total revenues &amp;</w:t>
            </w:r>
          </w:p>
        </w:tc>
      </w:tr>
      <w:tr>
        <w:trPr>
          <w:trHeight w:val="217"/>
        </w:trPr>
        <w:tc>
          <w:tcPr>
            <w:tcW w:w="5540" w:type="dxa"/>
            <w:vAlign w:val="bottom"/>
            <w:tcBorders>
              <w:left w:val="single" w:sz="8" w:color="0093FF"/>
              <w:right w:val="single" w:sz="8" w:color="0093FF"/>
            </w:tcBorders>
            <w:shd w:val="clear" w:color="auto" w:fill="F3F9FF"/>
          </w:tcPr>
          <w:p>
            <w:pPr>
              <w:spacing w:after="0"/>
              <w:rPr>
                <w:sz w:val="18"/>
                <w:szCs w:val="18"/>
                <w:color w:val="auto"/>
              </w:rPr>
            </w:pPr>
          </w:p>
        </w:tc>
        <w:tc>
          <w:tcPr>
            <w:tcW w:w="5700" w:type="dxa"/>
            <w:vAlign w:val="bottom"/>
            <w:tcBorders>
              <w:right w:val="single" w:sz="8" w:color="0093FF"/>
            </w:tcBorders>
            <w:shd w:val="clear" w:color="auto" w:fill="F3F9FF"/>
          </w:tcPr>
          <w:p>
            <w:pPr>
              <w:ind w:left="80"/>
              <w:spacing w:after="0"/>
              <w:rPr>
                <w:sz w:val="20"/>
                <w:szCs w:val="20"/>
                <w:color w:val="auto"/>
              </w:rPr>
            </w:pPr>
            <w:r>
              <w:rPr>
                <w:rFonts w:ascii="Arial" w:cs="Arial" w:eastAsia="Arial" w:hAnsi="Arial"/>
                <w:sz w:val="18"/>
                <w:szCs w:val="18"/>
                <w:color w:val="auto"/>
              </w:rPr>
              <w:t>business operating income) and personal performance goals.</w:t>
            </w:r>
          </w:p>
        </w:tc>
      </w:tr>
      <w:tr>
        <w:trPr>
          <w:trHeight w:val="94"/>
        </w:trPr>
        <w:tc>
          <w:tcPr>
            <w:tcW w:w="5540" w:type="dxa"/>
            <w:vAlign w:val="bottom"/>
            <w:tcBorders>
              <w:left w:val="single" w:sz="8" w:color="0093FF"/>
              <w:bottom w:val="single" w:sz="8" w:color="DBEFFF"/>
              <w:right w:val="single" w:sz="8" w:color="0093FF"/>
            </w:tcBorders>
            <w:shd w:val="clear" w:color="auto" w:fill="F3F9FF"/>
          </w:tcPr>
          <w:p>
            <w:pPr>
              <w:spacing w:after="0"/>
              <w:rPr>
                <w:sz w:val="8"/>
                <w:szCs w:val="8"/>
                <w:color w:val="auto"/>
              </w:rPr>
            </w:pPr>
          </w:p>
        </w:tc>
        <w:tc>
          <w:tcPr>
            <w:tcW w:w="5700" w:type="dxa"/>
            <w:vAlign w:val="bottom"/>
            <w:tcBorders>
              <w:bottom w:val="single" w:sz="8" w:color="DBEFFF"/>
              <w:right w:val="single" w:sz="8" w:color="0093FF"/>
            </w:tcBorders>
            <w:shd w:val="clear" w:color="auto" w:fill="F3F9FF"/>
          </w:tcPr>
          <w:p>
            <w:pPr>
              <w:spacing w:after="0"/>
              <w:rPr>
                <w:sz w:val="8"/>
                <w:szCs w:val="8"/>
                <w:color w:val="auto"/>
              </w:rPr>
            </w:pPr>
          </w:p>
        </w:tc>
      </w:tr>
      <w:tr>
        <w:trPr>
          <w:trHeight w:val="303"/>
        </w:trPr>
        <w:tc>
          <w:tcPr>
            <w:tcW w:w="5540" w:type="dxa"/>
            <w:vAlign w:val="bottom"/>
            <w:tcBorders>
              <w:left w:val="single" w:sz="8" w:color="0093FF"/>
              <w:right w:val="single" w:sz="8" w:color="0093FF"/>
            </w:tcBorders>
            <w:shd w:val="clear" w:color="auto" w:fill="F3F9FF"/>
          </w:tcPr>
          <w:p>
            <w:pPr>
              <w:spacing w:after="0"/>
              <w:rPr>
                <w:sz w:val="24"/>
                <w:szCs w:val="24"/>
                <w:color w:val="auto"/>
              </w:rPr>
            </w:pPr>
          </w:p>
        </w:tc>
        <w:tc>
          <w:tcPr>
            <w:tcW w:w="5700" w:type="dxa"/>
            <w:vAlign w:val="bottom"/>
            <w:tcBorders>
              <w:right w:val="single" w:sz="8" w:color="0093FF"/>
            </w:tcBorders>
            <w:shd w:val="clear" w:color="auto" w:fill="F3F9FF"/>
          </w:tcPr>
          <w:p>
            <w:pPr>
              <w:ind w:left="80"/>
              <w:spacing w:after="0"/>
              <w:rPr>
                <w:sz w:val="20"/>
                <w:szCs w:val="20"/>
                <w:color w:val="auto"/>
              </w:rPr>
            </w:pPr>
            <w:r>
              <w:rPr>
                <w:rFonts w:ascii="Arial" w:cs="Arial" w:eastAsia="Arial" w:hAnsi="Arial"/>
                <w:sz w:val="18"/>
                <w:szCs w:val="18"/>
                <w:color w:val="auto"/>
              </w:rPr>
              <w:t>In 2019, we delivered 104.1% of our Adjusted EPS target and 99.2%</w:t>
            </w:r>
          </w:p>
        </w:tc>
      </w:tr>
      <w:tr>
        <w:trPr>
          <w:trHeight w:val="203"/>
        </w:trPr>
        <w:tc>
          <w:tcPr>
            <w:tcW w:w="5540" w:type="dxa"/>
            <w:vAlign w:val="bottom"/>
            <w:tcBorders>
              <w:left w:val="single" w:sz="8" w:color="0093FF"/>
              <w:right w:val="single" w:sz="8" w:color="0093FF"/>
            </w:tcBorders>
            <w:shd w:val="clear" w:color="auto" w:fill="F3F9FF"/>
          </w:tcPr>
          <w:p>
            <w:pPr>
              <w:spacing w:after="0"/>
              <w:rPr>
                <w:sz w:val="17"/>
                <w:szCs w:val="17"/>
                <w:color w:val="auto"/>
              </w:rPr>
            </w:pPr>
          </w:p>
        </w:tc>
        <w:tc>
          <w:tcPr>
            <w:tcW w:w="5700" w:type="dxa"/>
            <w:vAlign w:val="bottom"/>
            <w:tcBorders>
              <w:right w:val="single" w:sz="8" w:color="0093FF"/>
            </w:tcBorders>
            <w:shd w:val="clear" w:color="auto" w:fill="F3F9FF"/>
          </w:tcPr>
          <w:p>
            <w:pPr>
              <w:ind w:left="80"/>
              <w:spacing w:after="0" w:line="202" w:lineRule="exact"/>
              <w:rPr>
                <w:sz w:val="20"/>
                <w:szCs w:val="20"/>
                <w:color w:val="auto"/>
              </w:rPr>
            </w:pPr>
            <w:r>
              <w:rPr>
                <w:rFonts w:ascii="Arial" w:cs="Arial" w:eastAsia="Arial" w:hAnsi="Arial"/>
                <w:sz w:val="18"/>
                <w:szCs w:val="18"/>
                <w:color w:val="auto"/>
              </w:rPr>
              <w:t>of our revenue performance target resulting in annual incentive</w:t>
            </w:r>
          </w:p>
        </w:tc>
      </w:tr>
      <w:tr>
        <w:trPr>
          <w:trHeight w:val="203"/>
        </w:trPr>
        <w:tc>
          <w:tcPr>
            <w:tcW w:w="5540" w:type="dxa"/>
            <w:vAlign w:val="bottom"/>
            <w:tcBorders>
              <w:left w:val="single" w:sz="8" w:color="0093FF"/>
              <w:right w:val="single" w:sz="8" w:color="0093FF"/>
            </w:tcBorders>
            <w:shd w:val="clear" w:color="auto" w:fill="F3F9FF"/>
          </w:tcPr>
          <w:p>
            <w:pPr>
              <w:spacing w:after="0"/>
              <w:rPr>
                <w:sz w:val="17"/>
                <w:szCs w:val="17"/>
                <w:color w:val="auto"/>
              </w:rPr>
            </w:pPr>
          </w:p>
        </w:tc>
        <w:tc>
          <w:tcPr>
            <w:tcW w:w="5700" w:type="dxa"/>
            <w:vAlign w:val="bottom"/>
            <w:tcBorders>
              <w:right w:val="single" w:sz="8" w:color="0093FF"/>
            </w:tcBorders>
            <w:shd w:val="clear" w:color="auto" w:fill="F3F9FF"/>
          </w:tcPr>
          <w:p>
            <w:pPr>
              <w:ind w:left="80"/>
              <w:spacing w:after="0" w:line="202" w:lineRule="exact"/>
              <w:rPr>
                <w:sz w:val="20"/>
                <w:szCs w:val="20"/>
                <w:color w:val="auto"/>
              </w:rPr>
            </w:pPr>
            <w:r>
              <w:rPr>
                <w:rFonts w:ascii="Arial" w:cs="Arial" w:eastAsia="Arial" w:hAnsi="Arial"/>
                <w:sz w:val="18"/>
                <w:szCs w:val="18"/>
                <w:color w:val="auto"/>
              </w:rPr>
              <w:t>payouts to our NEOs, ranging from 114% of target performance to</w:t>
            </w:r>
          </w:p>
        </w:tc>
      </w:tr>
      <w:tr>
        <w:trPr>
          <w:trHeight w:val="217"/>
        </w:trPr>
        <w:tc>
          <w:tcPr>
            <w:tcW w:w="5540" w:type="dxa"/>
            <w:vAlign w:val="bottom"/>
            <w:tcBorders>
              <w:left w:val="single" w:sz="8" w:color="0093FF"/>
              <w:right w:val="single" w:sz="8" w:color="0093FF"/>
            </w:tcBorders>
            <w:shd w:val="clear" w:color="auto" w:fill="F3F9FF"/>
          </w:tcPr>
          <w:p>
            <w:pPr>
              <w:spacing w:after="0"/>
              <w:rPr>
                <w:sz w:val="18"/>
                <w:szCs w:val="18"/>
                <w:color w:val="auto"/>
              </w:rPr>
            </w:pPr>
          </w:p>
        </w:tc>
        <w:tc>
          <w:tcPr>
            <w:tcW w:w="5700" w:type="dxa"/>
            <w:vAlign w:val="bottom"/>
            <w:tcBorders>
              <w:right w:val="single" w:sz="8" w:color="0093FF"/>
            </w:tcBorders>
            <w:shd w:val="clear" w:color="auto" w:fill="F3F9FF"/>
          </w:tcPr>
          <w:p>
            <w:pPr>
              <w:ind w:left="80"/>
              <w:spacing w:after="0"/>
              <w:rPr>
                <w:sz w:val="20"/>
                <w:szCs w:val="20"/>
                <w:color w:val="auto"/>
              </w:rPr>
            </w:pPr>
            <w:r>
              <w:rPr>
                <w:rFonts w:ascii="Arial" w:cs="Arial" w:eastAsia="Arial" w:hAnsi="Arial"/>
                <w:sz w:val="18"/>
                <w:szCs w:val="18"/>
                <w:color w:val="auto"/>
              </w:rPr>
              <w:t>124% of target performance.</w:t>
            </w:r>
          </w:p>
        </w:tc>
      </w:tr>
      <w:tr>
        <w:trPr>
          <w:trHeight w:val="94"/>
        </w:trPr>
        <w:tc>
          <w:tcPr>
            <w:tcW w:w="5540" w:type="dxa"/>
            <w:vAlign w:val="bottom"/>
            <w:tcBorders>
              <w:left w:val="single" w:sz="8" w:color="0093FF"/>
              <w:bottom w:val="single" w:sz="8" w:color="DBEFFF"/>
              <w:right w:val="single" w:sz="8" w:color="0093FF"/>
            </w:tcBorders>
            <w:shd w:val="clear" w:color="auto" w:fill="F3F9FF"/>
          </w:tcPr>
          <w:p>
            <w:pPr>
              <w:spacing w:after="0"/>
              <w:rPr>
                <w:sz w:val="8"/>
                <w:szCs w:val="8"/>
                <w:color w:val="auto"/>
              </w:rPr>
            </w:pPr>
          </w:p>
        </w:tc>
        <w:tc>
          <w:tcPr>
            <w:tcW w:w="5700" w:type="dxa"/>
            <w:vAlign w:val="bottom"/>
            <w:tcBorders>
              <w:bottom w:val="single" w:sz="8" w:color="DBEFFF"/>
              <w:right w:val="single" w:sz="8" w:color="0093FF"/>
            </w:tcBorders>
            <w:shd w:val="clear" w:color="auto" w:fill="F3F9FF"/>
          </w:tcPr>
          <w:p>
            <w:pPr>
              <w:spacing w:after="0"/>
              <w:rPr>
                <w:sz w:val="8"/>
                <w:szCs w:val="8"/>
                <w:color w:val="auto"/>
              </w:rPr>
            </w:pPr>
          </w:p>
        </w:tc>
      </w:tr>
      <w:tr>
        <w:trPr>
          <w:trHeight w:val="303"/>
        </w:trPr>
        <w:tc>
          <w:tcPr>
            <w:tcW w:w="5540" w:type="dxa"/>
            <w:vAlign w:val="bottom"/>
            <w:tcBorders>
              <w:left w:val="single" w:sz="8" w:color="0093FF"/>
              <w:right w:val="single" w:sz="8" w:color="0093FF"/>
            </w:tcBorders>
          </w:tcPr>
          <w:p>
            <w:pPr>
              <w:ind w:left="120"/>
              <w:spacing w:after="0"/>
              <w:rPr>
                <w:sz w:val="20"/>
                <w:szCs w:val="20"/>
                <w:color w:val="auto"/>
              </w:rPr>
            </w:pPr>
            <w:r>
              <w:rPr>
                <w:rFonts w:ascii="Arial" w:cs="Arial" w:eastAsia="Arial" w:hAnsi="Arial"/>
                <w:sz w:val="18"/>
                <w:szCs w:val="18"/>
                <w:b w:val="1"/>
                <w:bCs w:val="1"/>
                <w:color w:val="auto"/>
              </w:rPr>
              <w:t>Equity Incentives</w:t>
            </w:r>
          </w:p>
        </w:tc>
        <w:tc>
          <w:tcPr>
            <w:tcW w:w="5700" w:type="dxa"/>
            <w:vAlign w:val="bottom"/>
            <w:tcBorders>
              <w:right w:val="single" w:sz="8" w:color="0093FF"/>
            </w:tcBorders>
          </w:tcPr>
          <w:p>
            <w:pPr>
              <w:ind w:left="80"/>
              <w:spacing w:after="0"/>
              <w:rPr>
                <w:sz w:val="20"/>
                <w:szCs w:val="20"/>
                <w:color w:val="auto"/>
              </w:rPr>
            </w:pPr>
            <w:r>
              <w:rPr>
                <w:rFonts w:ascii="Arial" w:cs="Arial" w:eastAsia="Arial" w:hAnsi="Arial"/>
                <w:sz w:val="18"/>
                <w:szCs w:val="18"/>
                <w:color w:val="auto"/>
              </w:rPr>
              <w:t>We continued to grant a mix of time-based and performance-based</w:t>
            </w:r>
          </w:p>
        </w:tc>
      </w:tr>
      <w:tr>
        <w:trPr>
          <w:trHeight w:val="217"/>
        </w:trPr>
        <w:tc>
          <w:tcPr>
            <w:tcW w:w="5540" w:type="dxa"/>
            <w:vAlign w:val="bottom"/>
            <w:tcBorders>
              <w:left w:val="single" w:sz="8" w:color="0093FF"/>
              <w:right w:val="single" w:sz="8" w:color="0093FF"/>
            </w:tcBorders>
          </w:tcPr>
          <w:p>
            <w:pPr>
              <w:spacing w:after="0"/>
              <w:rPr>
                <w:sz w:val="18"/>
                <w:szCs w:val="18"/>
                <w:color w:val="auto"/>
              </w:rPr>
            </w:pPr>
          </w:p>
        </w:tc>
        <w:tc>
          <w:tcPr>
            <w:tcW w:w="5700" w:type="dxa"/>
            <w:vAlign w:val="bottom"/>
            <w:tcBorders>
              <w:right w:val="single" w:sz="8" w:color="0093FF"/>
            </w:tcBorders>
          </w:tcPr>
          <w:p>
            <w:pPr>
              <w:ind w:left="80"/>
              <w:spacing w:after="0"/>
              <w:rPr>
                <w:sz w:val="20"/>
                <w:szCs w:val="20"/>
                <w:color w:val="auto"/>
              </w:rPr>
            </w:pPr>
            <w:r>
              <w:rPr>
                <w:rFonts w:ascii="Arial" w:cs="Arial" w:eastAsia="Arial" w:hAnsi="Arial"/>
                <w:sz w:val="18"/>
                <w:szCs w:val="18"/>
                <w:color w:val="auto"/>
              </w:rPr>
              <w:t>restricted stock units (revenue- &amp; TSR-linked performance goals).</w:t>
            </w:r>
          </w:p>
        </w:tc>
      </w:tr>
      <w:tr>
        <w:trPr>
          <w:trHeight w:val="391"/>
        </w:trPr>
        <w:tc>
          <w:tcPr>
            <w:tcW w:w="5540" w:type="dxa"/>
            <w:vAlign w:val="bottom"/>
            <w:tcBorders>
              <w:left w:val="single" w:sz="8" w:color="0093FF"/>
              <w:right w:val="single" w:sz="8" w:color="0093FF"/>
            </w:tcBorders>
          </w:tcPr>
          <w:p>
            <w:pPr>
              <w:spacing w:after="0"/>
              <w:rPr>
                <w:sz w:val="24"/>
                <w:szCs w:val="24"/>
                <w:color w:val="auto"/>
              </w:rPr>
            </w:pPr>
          </w:p>
        </w:tc>
        <w:tc>
          <w:tcPr>
            <w:tcW w:w="5700" w:type="dxa"/>
            <w:vAlign w:val="bottom"/>
            <w:tcBorders>
              <w:right w:val="single" w:sz="8" w:color="0093FF"/>
            </w:tcBorders>
          </w:tcPr>
          <w:p>
            <w:pPr>
              <w:ind w:left="80"/>
              <w:spacing w:after="0"/>
              <w:rPr>
                <w:sz w:val="20"/>
                <w:szCs w:val="20"/>
                <w:color w:val="auto"/>
              </w:rPr>
            </w:pPr>
            <w:r>
              <w:rPr>
                <w:rFonts w:ascii="Arial" w:cs="Arial" w:eastAsia="Arial" w:hAnsi="Arial"/>
                <w:sz w:val="18"/>
                <w:szCs w:val="18"/>
                <w:color w:val="auto"/>
              </w:rPr>
              <w:t>This was the third and final performance year for the 2017</w:t>
            </w:r>
          </w:p>
        </w:tc>
      </w:tr>
      <w:tr>
        <w:trPr>
          <w:trHeight w:val="203"/>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performance-based restricted stock units. We achieved 102.61% of</w:t>
            </w:r>
          </w:p>
        </w:tc>
      </w:tr>
      <w:tr>
        <w:trPr>
          <w:trHeight w:val="203"/>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the revenue target for the revenue-linked restricted stock units</w:t>
            </w:r>
          </w:p>
        </w:tc>
      </w:tr>
      <w:tr>
        <w:trPr>
          <w:trHeight w:val="203"/>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resulting in 126.14% of target funding of those grants. The</w:t>
            </w:r>
          </w:p>
        </w:tc>
      </w:tr>
      <w:tr>
        <w:trPr>
          <w:trHeight w:val="203"/>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Company’s TSR performance was at the 51.2 percentile amongst its</w:t>
            </w:r>
          </w:p>
        </w:tc>
      </w:tr>
      <w:tr>
        <w:trPr>
          <w:trHeight w:val="203"/>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peer group, resulting in the executives earning 104.07% of the 2017</w:t>
            </w:r>
          </w:p>
        </w:tc>
      </w:tr>
      <w:tr>
        <w:trPr>
          <w:trHeight w:val="203"/>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relative TSR-linked restricted stock units pursuant to the terms of the</w:t>
            </w:r>
          </w:p>
        </w:tc>
      </w:tr>
      <w:tr>
        <w:trPr>
          <w:trHeight w:val="202"/>
        </w:trPr>
        <w:tc>
          <w:tcPr>
            <w:tcW w:w="5540" w:type="dxa"/>
            <w:vAlign w:val="bottom"/>
            <w:tcBorders>
              <w:left w:val="single" w:sz="8" w:color="0093FF"/>
              <w:right w:val="single" w:sz="8" w:color="0093FF"/>
            </w:tcBorders>
          </w:tcPr>
          <w:p>
            <w:pPr>
              <w:spacing w:after="0"/>
              <w:rPr>
                <w:sz w:val="17"/>
                <w:szCs w:val="17"/>
                <w:color w:val="auto"/>
              </w:rPr>
            </w:pPr>
          </w:p>
        </w:tc>
        <w:tc>
          <w:tcPr>
            <w:tcW w:w="5700" w:type="dxa"/>
            <w:vAlign w:val="bottom"/>
            <w:tcBorders>
              <w:right w:val="single" w:sz="8" w:color="0093FF"/>
            </w:tcBorders>
          </w:tcPr>
          <w:p>
            <w:pPr>
              <w:ind w:left="80"/>
              <w:spacing w:after="0" w:line="202" w:lineRule="exact"/>
              <w:rPr>
                <w:sz w:val="20"/>
                <w:szCs w:val="20"/>
                <w:color w:val="auto"/>
              </w:rPr>
            </w:pPr>
            <w:r>
              <w:rPr>
                <w:rFonts w:ascii="Arial" w:cs="Arial" w:eastAsia="Arial" w:hAnsi="Arial"/>
                <w:sz w:val="18"/>
                <w:szCs w:val="18"/>
                <w:color w:val="auto"/>
              </w:rPr>
              <w:t>original grant resulting in vesting of shares at 115.11% of target</w:t>
            </w:r>
          </w:p>
        </w:tc>
      </w:tr>
      <w:tr>
        <w:trPr>
          <w:trHeight w:val="217"/>
        </w:trPr>
        <w:tc>
          <w:tcPr>
            <w:tcW w:w="5540" w:type="dxa"/>
            <w:vAlign w:val="bottom"/>
            <w:tcBorders>
              <w:left w:val="single" w:sz="8" w:color="0093FF"/>
              <w:right w:val="single" w:sz="8" w:color="0093FF"/>
            </w:tcBorders>
          </w:tcPr>
          <w:p>
            <w:pPr>
              <w:spacing w:after="0"/>
              <w:rPr>
                <w:sz w:val="18"/>
                <w:szCs w:val="18"/>
                <w:color w:val="auto"/>
              </w:rPr>
            </w:pPr>
          </w:p>
        </w:tc>
        <w:tc>
          <w:tcPr>
            <w:tcW w:w="5700" w:type="dxa"/>
            <w:vAlign w:val="bottom"/>
            <w:tcBorders>
              <w:right w:val="single" w:sz="8" w:color="0093FF"/>
            </w:tcBorders>
          </w:tcPr>
          <w:p>
            <w:pPr>
              <w:ind w:left="80"/>
              <w:spacing w:after="0"/>
              <w:rPr>
                <w:sz w:val="20"/>
                <w:szCs w:val="20"/>
                <w:color w:val="auto"/>
              </w:rPr>
            </w:pPr>
            <w:r>
              <w:rPr>
                <w:rFonts w:ascii="Arial" w:cs="Arial" w:eastAsia="Arial" w:hAnsi="Arial"/>
                <w:sz w:val="18"/>
                <w:szCs w:val="18"/>
                <w:color w:val="auto"/>
              </w:rPr>
              <w:t>performance.</w:t>
            </w:r>
          </w:p>
        </w:tc>
      </w:tr>
      <w:tr>
        <w:trPr>
          <w:trHeight w:val="94"/>
        </w:trPr>
        <w:tc>
          <w:tcPr>
            <w:tcW w:w="5540" w:type="dxa"/>
            <w:vAlign w:val="bottom"/>
            <w:tcBorders>
              <w:left w:val="single" w:sz="8" w:color="0093FF"/>
              <w:bottom w:val="single" w:sz="8" w:color="0093FF"/>
              <w:right w:val="single" w:sz="8" w:color="0093FF"/>
            </w:tcBorders>
          </w:tcPr>
          <w:p>
            <w:pPr>
              <w:spacing w:after="0"/>
              <w:rPr>
                <w:sz w:val="8"/>
                <w:szCs w:val="8"/>
                <w:color w:val="auto"/>
              </w:rPr>
            </w:pPr>
          </w:p>
        </w:tc>
        <w:tc>
          <w:tcPr>
            <w:tcW w:w="5700" w:type="dxa"/>
            <w:vAlign w:val="bottom"/>
            <w:tcBorders>
              <w:bottom w:val="single" w:sz="8" w:color="0093FF"/>
              <w:right w:val="single" w:sz="8" w:color="0093FF"/>
            </w:tcBorders>
          </w:tcPr>
          <w:p>
            <w:pPr>
              <w:spacing w:after="0"/>
              <w:rPr>
                <w:sz w:val="8"/>
                <w:szCs w:val="8"/>
                <w:color w:val="auto"/>
              </w:rPr>
            </w:pPr>
          </w:p>
        </w:tc>
      </w:tr>
      <w:tr>
        <w:trPr>
          <w:trHeight w:val="412"/>
        </w:trPr>
        <w:tc>
          <w:tcPr>
            <w:tcW w:w="5540" w:type="dxa"/>
            <w:vAlign w:val="bottom"/>
          </w:tcPr>
          <w:p>
            <w:pPr>
              <w:spacing w:after="0"/>
              <w:rPr>
                <w:sz w:val="20"/>
                <w:szCs w:val="20"/>
                <w:color w:val="auto"/>
              </w:rPr>
            </w:pPr>
            <w:r>
              <w:rPr>
                <w:rFonts w:ascii="Arial" w:cs="Arial" w:eastAsia="Arial" w:hAnsi="Arial"/>
                <w:sz w:val="18"/>
                <w:szCs w:val="18"/>
                <w:b w:val="1"/>
                <w:bCs w:val="1"/>
                <w:color w:val="262626"/>
              </w:rPr>
              <w:t>Pay-for-Performance</w:t>
            </w:r>
          </w:p>
        </w:tc>
        <w:tc>
          <w:tcPr>
            <w:tcW w:w="5700" w:type="dxa"/>
            <w:vAlign w:val="bottom"/>
          </w:tcPr>
          <w:p>
            <w:pPr>
              <w:spacing w:after="0"/>
              <w:rPr>
                <w:sz w:val="24"/>
                <w:szCs w:val="24"/>
                <w:color w:val="auto"/>
              </w:rPr>
            </w:pPr>
          </w:p>
        </w:tc>
      </w:tr>
      <w:tr>
        <w:trPr>
          <w:trHeight w:val="391"/>
        </w:trPr>
        <w:tc>
          <w:tcPr>
            <w:tcW w:w="5540" w:type="dxa"/>
            <w:vAlign w:val="bottom"/>
          </w:tcPr>
          <w:p>
            <w:pPr>
              <w:spacing w:after="0"/>
              <w:rPr>
                <w:sz w:val="20"/>
                <w:szCs w:val="20"/>
                <w:color w:val="auto"/>
              </w:rPr>
            </w:pPr>
            <w:r>
              <w:rPr>
                <w:rFonts w:ascii="Arial" w:cs="Arial" w:eastAsia="Arial" w:hAnsi="Arial"/>
                <w:sz w:val="18"/>
                <w:szCs w:val="18"/>
                <w:color w:val="auto"/>
              </w:rPr>
              <w:t>Our executive compensation philosophy is focused on pay-for-</w:t>
            </w:r>
          </w:p>
        </w:tc>
        <w:tc>
          <w:tcPr>
            <w:tcW w:w="5700" w:type="dxa"/>
            <w:vAlign w:val="bottom"/>
          </w:tcPr>
          <w:p>
            <w:pPr>
              <w:spacing w:after="0"/>
              <w:rPr>
                <w:sz w:val="24"/>
                <w:szCs w:val="24"/>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performance. In this regard, we link a significant portion of each</w:t>
            </w:r>
          </w:p>
        </w:tc>
        <w:tc>
          <w:tcPr>
            <w:tcW w:w="570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NEO’s total compensation to the achievement of specified</w:t>
            </w:r>
          </w:p>
        </w:tc>
        <w:tc>
          <w:tcPr>
            <w:tcW w:w="570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performance goals. This variable compensation is “at-risk” and</w:t>
            </w:r>
          </w:p>
        </w:tc>
        <w:tc>
          <w:tcPr>
            <w:tcW w:w="570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rewards performance and contributions to both short- and long-term</w:t>
            </w:r>
          </w:p>
        </w:tc>
        <w:tc>
          <w:tcPr>
            <w:tcW w:w="5700" w:type="dxa"/>
            <w:vAlign w:val="bottom"/>
          </w:tcPr>
          <w:p>
            <w:pPr>
              <w:spacing w:after="0"/>
              <w:rPr>
                <w:sz w:val="17"/>
                <w:szCs w:val="17"/>
                <w:color w:val="auto"/>
              </w:rPr>
            </w:pPr>
          </w:p>
        </w:tc>
      </w:tr>
      <w:tr>
        <w:trPr>
          <w:trHeight w:val="217"/>
        </w:trPr>
        <w:tc>
          <w:tcPr>
            <w:tcW w:w="5540" w:type="dxa"/>
            <w:vAlign w:val="bottom"/>
          </w:tcPr>
          <w:p>
            <w:pPr>
              <w:spacing w:after="0"/>
              <w:rPr>
                <w:sz w:val="20"/>
                <w:szCs w:val="20"/>
                <w:color w:val="auto"/>
              </w:rPr>
            </w:pPr>
            <w:r>
              <w:rPr>
                <w:rFonts w:ascii="Arial" w:cs="Arial" w:eastAsia="Arial" w:hAnsi="Arial"/>
                <w:sz w:val="18"/>
                <w:szCs w:val="18"/>
                <w:color w:val="auto"/>
              </w:rPr>
              <w:t>financial performance.</w:t>
            </w:r>
          </w:p>
        </w:tc>
        <w:tc>
          <w:tcPr>
            <w:tcW w:w="5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-779780</wp:posOffset>
            </wp:positionV>
            <wp:extent cx="3429000" cy="2228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00" cy="2228850"/>
                    </a:xfrm>
                    <a:prstGeom prst="rect">
                      <a:avLst/>
                    </a:prstGeom>
                    <a:noFill/>
                  </pic:spPr>
                </pic:pic>
              </a:graphicData>
            </a:graphic>
          </wp:anchor>
        </w:drawing>
      </w:r>
    </w:p>
    <w:p>
      <w:pPr>
        <w:spacing w:after="0" w:line="168" w:lineRule="exact"/>
        <w:rPr>
          <w:sz w:val="20"/>
          <w:szCs w:val="20"/>
          <w:color w:val="auto"/>
        </w:rPr>
      </w:pPr>
    </w:p>
    <w:p>
      <w:pPr>
        <w:ind w:right="5620"/>
        <w:spacing w:after="0" w:line="238" w:lineRule="auto"/>
        <w:rPr>
          <w:sz w:val="20"/>
          <w:szCs w:val="20"/>
          <w:color w:val="auto"/>
        </w:rPr>
      </w:pPr>
      <w:r>
        <w:rPr>
          <w:rFonts w:ascii="Arial" w:cs="Arial" w:eastAsia="Arial" w:hAnsi="Arial"/>
          <w:sz w:val="18"/>
          <w:szCs w:val="18"/>
          <w:color w:val="262626"/>
        </w:rPr>
        <w:t>As illustrated by the following charts,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Executive Compensation Program, Practices and Policies</w:t>
      </w:r>
    </w:p>
    <w:p>
      <w:pPr>
        <w:spacing w:after="0" w:line="22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262626"/>
        </w:rPr>
        <w:t>Our compensation programs, practices and policies are reviewed and re-evaluated periodically and are subject to change from time to time. Our executive compensation philosophy is aligned with our core values, focused on pay-for-performance and designed to reflect appropriate governance practices aligned with the needs of our business. Listed below are some of the Company’s more significant practices and policies that were in effect during fiscal year 2019, which were adopted to drive performance and to align our executives’ interests with those of our stockholders.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760" w:type="dxa"/>
            <w:vAlign w:val="bottom"/>
            <w:tcBorders>
              <w:left w:val="single" w:sz="8" w:color="99D3FF"/>
              <w:right w:val="single" w:sz="8" w:color="99D3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What We Do</w:t>
            </w:r>
          </w:p>
        </w:tc>
        <w:tc>
          <w:tcPr>
            <w:tcW w:w="5480" w:type="dxa"/>
            <w:vAlign w:val="bottom"/>
            <w:tcBorders>
              <w:right w:val="single" w:sz="8" w:color="99D3FF"/>
            </w:tcBorders>
            <w:shd w:val="clear" w:color="auto" w:fill="0093FF"/>
          </w:tcPr>
          <w:p>
            <w:pPr>
              <w:ind w:left="80"/>
              <w:spacing w:after="0"/>
              <w:rPr>
                <w:sz w:val="20"/>
                <w:szCs w:val="20"/>
                <w:color w:val="auto"/>
              </w:rPr>
            </w:pPr>
            <w:r>
              <w:rPr>
                <w:rFonts w:ascii="Arial" w:cs="Arial" w:eastAsia="Arial" w:hAnsi="Arial"/>
                <w:sz w:val="18"/>
                <w:szCs w:val="18"/>
                <w:b w:val="1"/>
                <w:bCs w:val="1"/>
                <w:color w:val="FFFFFF"/>
              </w:rPr>
              <w:t>What We Don’t Do</w:t>
            </w:r>
          </w:p>
        </w:tc>
      </w:tr>
      <w:tr>
        <w:trPr>
          <w:trHeight w:val="108"/>
        </w:trPr>
        <w:tc>
          <w:tcPr>
            <w:tcW w:w="5760" w:type="dxa"/>
            <w:vAlign w:val="bottom"/>
            <w:tcBorders>
              <w:left w:val="single" w:sz="8" w:color="99D3FF"/>
              <w:right w:val="single" w:sz="8" w:color="99D3FF"/>
            </w:tcBorders>
            <w:shd w:val="clear" w:color="auto" w:fill="0093FF"/>
          </w:tcPr>
          <w:p>
            <w:pPr>
              <w:spacing w:after="0"/>
              <w:rPr>
                <w:sz w:val="9"/>
                <w:szCs w:val="9"/>
                <w:color w:val="auto"/>
              </w:rPr>
            </w:pPr>
          </w:p>
        </w:tc>
        <w:tc>
          <w:tcPr>
            <w:tcW w:w="5480" w:type="dxa"/>
            <w:vAlign w:val="bottom"/>
            <w:tcBorders>
              <w:right w:val="single" w:sz="8" w:color="99D3FF"/>
            </w:tcBorders>
            <w:shd w:val="clear" w:color="auto" w:fill="0093FF"/>
          </w:tcPr>
          <w:p>
            <w:pPr>
              <w:spacing w:after="0"/>
              <w:rPr>
                <w:sz w:val="9"/>
                <w:szCs w:val="9"/>
                <w:color w:val="auto"/>
              </w:rPr>
            </w:pPr>
          </w:p>
        </w:tc>
      </w:tr>
      <w:tr>
        <w:trPr>
          <w:trHeight w:val="310"/>
        </w:trPr>
        <w:tc>
          <w:tcPr>
            <w:tcW w:w="5760" w:type="dxa"/>
            <w:vAlign w:val="bottom"/>
            <w:tcBorders>
              <w:left w:val="single" w:sz="8" w:color="99D3FF"/>
              <w:right w:val="single" w:sz="8" w:color="99D3FF"/>
            </w:tcBorders>
            <w:shd w:val="clear" w:color="auto" w:fill="CCE9FF"/>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Align our Executive Pay with Performance: </w:t>
            </w:r>
            <w:r>
              <w:rPr>
                <w:rFonts w:ascii="Arial" w:cs="Arial" w:eastAsia="Arial" w:hAnsi="Arial"/>
                <w:sz w:val="18"/>
                <w:szCs w:val="18"/>
                <w:color w:val="auto"/>
              </w:rPr>
              <w:t>We link a significant</w:t>
            </w:r>
          </w:p>
        </w:tc>
        <w:tc>
          <w:tcPr>
            <w:tcW w:w="5480" w:type="dxa"/>
            <w:vAlign w:val="bottom"/>
            <w:tcBorders>
              <w:right w:val="single" w:sz="8" w:color="99D3FF"/>
            </w:tcBorders>
            <w:shd w:val="clear" w:color="auto" w:fill="CCE9FF"/>
          </w:tcPr>
          <w:p>
            <w:pPr>
              <w:ind w:left="80"/>
              <w:spacing w:after="0"/>
              <w:rPr>
                <w:sz w:val="20"/>
                <w:szCs w:val="20"/>
                <w:color w:val="auto"/>
              </w:rPr>
            </w:pPr>
            <w:r>
              <w:rPr>
                <w:rFonts w:ascii="Arial" w:cs="Arial" w:eastAsia="Arial" w:hAnsi="Arial"/>
                <w:sz w:val="18"/>
                <w:szCs w:val="18"/>
                <w:b w:val="1"/>
                <w:bCs w:val="1"/>
                <w:color w:val="auto"/>
              </w:rPr>
              <w:t xml:space="preserve">û No Option Repricing: </w:t>
            </w:r>
            <w:r>
              <w:rPr>
                <w:rFonts w:ascii="Arial" w:cs="Arial" w:eastAsia="Arial" w:hAnsi="Arial"/>
                <w:sz w:val="18"/>
                <w:szCs w:val="18"/>
                <w:color w:val="auto"/>
              </w:rPr>
              <w:t>We prohibit option repricing without</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portion of each NEO’s total compensation to the achievement of</w:t>
            </w: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stockholder approval.</w:t>
            </w: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specific performance goals, as described below.</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391"/>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Variable compensation is “at-risk” and rewards performance and</w:t>
            </w:r>
          </w:p>
        </w:tc>
        <w:tc>
          <w:tcPr>
            <w:tcW w:w="5480" w:type="dxa"/>
            <w:vAlign w:val="bottom"/>
            <w:tcBorders>
              <w:right w:val="single" w:sz="8" w:color="99D3FF"/>
            </w:tcBorders>
            <w:shd w:val="clear" w:color="auto" w:fill="CCE9FF"/>
          </w:tcPr>
          <w:p>
            <w:pPr>
              <w:spacing w:after="0"/>
              <w:rPr>
                <w:sz w:val="24"/>
                <w:szCs w:val="24"/>
                <w:color w:val="auto"/>
              </w:rPr>
            </w:pP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contributions to both short- and long-term financial performance.</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189"/>
        </w:trPr>
        <w:tc>
          <w:tcPr>
            <w:tcW w:w="5760" w:type="dxa"/>
            <w:vAlign w:val="bottom"/>
            <w:tcBorders>
              <w:left w:val="single" w:sz="8" w:color="99D3FF"/>
              <w:bottom w:val="single" w:sz="8" w:color="99D3FF"/>
              <w:right w:val="single" w:sz="8" w:color="99D3FF"/>
            </w:tcBorders>
            <w:shd w:val="clear" w:color="auto" w:fill="CCE9FF"/>
          </w:tcPr>
          <w:p>
            <w:pPr>
              <w:spacing w:after="0"/>
              <w:rPr>
                <w:sz w:val="16"/>
                <w:szCs w:val="16"/>
                <w:color w:val="auto"/>
              </w:rPr>
            </w:pPr>
          </w:p>
        </w:tc>
        <w:tc>
          <w:tcPr>
            <w:tcW w:w="5480" w:type="dxa"/>
            <w:vAlign w:val="bottom"/>
            <w:tcBorders>
              <w:bottom w:val="single" w:sz="8" w:color="99D3FF"/>
              <w:right w:val="single" w:sz="8" w:color="99D3FF"/>
            </w:tcBorders>
            <w:shd w:val="clear" w:color="auto" w:fill="CCE9FF"/>
          </w:tcPr>
          <w:p>
            <w:pPr>
              <w:spacing w:after="0"/>
              <w:rPr>
                <w:sz w:val="16"/>
                <w:szCs w:val="16"/>
                <w:color w:val="auto"/>
              </w:rPr>
            </w:pPr>
          </w:p>
        </w:tc>
      </w:tr>
      <w:tr>
        <w:trPr>
          <w:trHeight w:val="281"/>
        </w:trPr>
        <w:tc>
          <w:tcPr>
            <w:tcW w:w="5760" w:type="dxa"/>
            <w:vAlign w:val="bottom"/>
            <w:tcBorders>
              <w:left w:val="single" w:sz="8" w:color="99D3FF"/>
              <w:right w:val="single" w:sz="8" w:color="99D3FF"/>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Use Appropriate Peer Groups When Establishing</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b w:val="1"/>
                <w:bCs w:val="1"/>
                <w:color w:val="auto"/>
              </w:rPr>
              <w:t>û No Option Backdating or Discounting</w:t>
            </w:r>
            <w:r>
              <w:rPr>
                <w:rFonts w:ascii="Arial" w:cs="Arial" w:eastAsia="Arial" w:hAnsi="Arial"/>
                <w:sz w:val="18"/>
                <w:szCs w:val="18"/>
                <w:color w:val="auto"/>
              </w:rPr>
              <w:t>: We prohibit option</w:t>
            </w:r>
          </w:p>
        </w:tc>
      </w:tr>
      <w:tr>
        <w:trPr>
          <w:trHeight w:val="224"/>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We established a peer group to help us review</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color w:val="auto"/>
              </w:rPr>
              <w:t>backdating and discounting.</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market practices and design a competitive compensation program.</w:t>
            </w:r>
          </w:p>
        </w:tc>
        <w:tc>
          <w:tcPr>
            <w:tcW w:w="5480" w:type="dxa"/>
            <w:vAlign w:val="bottom"/>
            <w:tcBorders>
              <w:right w:val="single" w:sz="8" w:color="99D3FF"/>
            </w:tcBorders>
          </w:tcPr>
          <w:p>
            <w:pPr>
              <w:spacing w:after="0"/>
              <w:rPr>
                <w:sz w:val="17"/>
                <w:szCs w:val="17"/>
                <w:color w:val="auto"/>
              </w:rPr>
            </w:pP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The criteria for peer group selection include similar market</w:t>
            </w:r>
          </w:p>
        </w:tc>
        <w:tc>
          <w:tcPr>
            <w:tcW w:w="5480" w:type="dxa"/>
            <w:vAlign w:val="bottom"/>
            <w:tcBorders>
              <w:right w:val="single" w:sz="8" w:color="99D3FF"/>
            </w:tcBorders>
          </w:tcPr>
          <w:p>
            <w:pPr>
              <w:spacing w:after="0"/>
              <w:rPr>
                <w:sz w:val="17"/>
                <w:szCs w:val="17"/>
                <w:color w:val="auto"/>
              </w:rPr>
            </w:pP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capitalization, scope of operations, potential mobility of talent and</w:t>
            </w:r>
          </w:p>
        </w:tc>
        <w:tc>
          <w:tcPr>
            <w:tcW w:w="5480" w:type="dxa"/>
            <w:vAlign w:val="bottom"/>
            <w:tcBorders>
              <w:right w:val="single" w:sz="8" w:color="99D3FF"/>
            </w:tcBorders>
          </w:tcPr>
          <w:p>
            <w:pPr>
              <w:spacing w:after="0"/>
              <w:rPr>
                <w:sz w:val="17"/>
                <w:szCs w:val="17"/>
                <w:color w:val="auto"/>
              </w:rPr>
            </w:pPr>
          </w:p>
        </w:tc>
      </w:tr>
      <w:tr>
        <w:trPr>
          <w:trHeight w:val="217"/>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industry alignment.</w:t>
            </w:r>
          </w:p>
        </w:tc>
        <w:tc>
          <w:tcPr>
            <w:tcW w:w="5480" w:type="dxa"/>
            <w:vAlign w:val="bottom"/>
            <w:tcBorders>
              <w:right w:val="single" w:sz="8" w:color="99D3FF"/>
            </w:tcBorders>
          </w:tcPr>
          <w:p>
            <w:pPr>
              <w:spacing w:after="0"/>
              <w:rPr>
                <w:sz w:val="18"/>
                <w:szCs w:val="18"/>
                <w:color w:val="auto"/>
              </w:rPr>
            </w:pPr>
          </w:p>
        </w:tc>
      </w:tr>
      <w:tr>
        <w:trPr>
          <w:trHeight w:val="391"/>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We set compensation of our executive officers at levels that we</w:t>
            </w:r>
          </w:p>
        </w:tc>
        <w:tc>
          <w:tcPr>
            <w:tcW w:w="5480" w:type="dxa"/>
            <w:vAlign w:val="bottom"/>
            <w:tcBorders>
              <w:right w:val="single" w:sz="8" w:color="99D3FF"/>
            </w:tcBorders>
          </w:tcPr>
          <w:p>
            <w:pPr>
              <w:spacing w:after="0"/>
              <w:rPr>
                <w:sz w:val="24"/>
                <w:szCs w:val="24"/>
                <w:color w:val="auto"/>
              </w:rPr>
            </w:pP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believe are appropriate relative to the compensation paid to similarly</w:t>
            </w:r>
          </w:p>
        </w:tc>
        <w:tc>
          <w:tcPr>
            <w:tcW w:w="5480" w:type="dxa"/>
            <w:vAlign w:val="bottom"/>
            <w:tcBorders>
              <w:right w:val="single" w:sz="8" w:color="99D3FF"/>
            </w:tcBorders>
          </w:tcPr>
          <w:p>
            <w:pPr>
              <w:spacing w:after="0"/>
              <w:rPr>
                <w:sz w:val="17"/>
                <w:szCs w:val="17"/>
                <w:color w:val="auto"/>
              </w:rPr>
            </w:pP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situated officers of our peers, giving consideration to market and</w:t>
            </w:r>
          </w:p>
        </w:tc>
        <w:tc>
          <w:tcPr>
            <w:tcW w:w="5480" w:type="dxa"/>
            <w:vAlign w:val="bottom"/>
            <w:tcBorders>
              <w:right w:val="single" w:sz="8" w:color="99D3FF"/>
            </w:tcBorders>
          </w:tcPr>
          <w:p>
            <w:pPr>
              <w:spacing w:after="0"/>
              <w:rPr>
                <w:sz w:val="17"/>
                <w:szCs w:val="17"/>
                <w:color w:val="auto"/>
              </w:rPr>
            </w:pPr>
          </w:p>
        </w:tc>
      </w:tr>
      <w:tr>
        <w:trPr>
          <w:trHeight w:val="217"/>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other factors.</w:t>
            </w:r>
          </w:p>
        </w:tc>
        <w:tc>
          <w:tcPr>
            <w:tcW w:w="5480" w:type="dxa"/>
            <w:vAlign w:val="bottom"/>
            <w:tcBorders>
              <w:right w:val="single" w:sz="8" w:color="99D3FF"/>
            </w:tcBorders>
          </w:tcPr>
          <w:p>
            <w:pPr>
              <w:spacing w:after="0"/>
              <w:rPr>
                <w:sz w:val="18"/>
                <w:szCs w:val="18"/>
                <w:color w:val="auto"/>
              </w:rPr>
            </w:pPr>
          </w:p>
        </w:tc>
      </w:tr>
      <w:tr>
        <w:trPr>
          <w:trHeight w:val="189"/>
        </w:trPr>
        <w:tc>
          <w:tcPr>
            <w:tcW w:w="5760" w:type="dxa"/>
            <w:vAlign w:val="bottom"/>
            <w:tcBorders>
              <w:left w:val="single" w:sz="8" w:color="99D3FF"/>
              <w:bottom w:val="single" w:sz="8" w:color="99D3FF"/>
              <w:right w:val="single" w:sz="8" w:color="99D3FF"/>
            </w:tcBorders>
          </w:tcPr>
          <w:p>
            <w:pPr>
              <w:spacing w:after="0"/>
              <w:rPr>
                <w:sz w:val="16"/>
                <w:szCs w:val="16"/>
                <w:color w:val="auto"/>
              </w:rPr>
            </w:pPr>
          </w:p>
        </w:tc>
        <w:tc>
          <w:tcPr>
            <w:tcW w:w="5480" w:type="dxa"/>
            <w:vAlign w:val="bottom"/>
            <w:tcBorders>
              <w:bottom w:val="single" w:sz="8" w:color="99D3FF"/>
              <w:right w:val="single" w:sz="8" w:color="99D3FF"/>
            </w:tcBorders>
          </w:tcPr>
          <w:p>
            <w:pPr>
              <w:spacing w:after="0"/>
              <w:rPr>
                <w:sz w:val="16"/>
                <w:szCs w:val="16"/>
                <w:color w:val="auto"/>
              </w:rPr>
            </w:pPr>
          </w:p>
        </w:tc>
      </w:tr>
      <w:tr>
        <w:trPr>
          <w:trHeight w:val="303"/>
        </w:trPr>
        <w:tc>
          <w:tcPr>
            <w:tcW w:w="5760" w:type="dxa"/>
            <w:vAlign w:val="bottom"/>
            <w:tcBorders>
              <w:left w:val="single" w:sz="8" w:color="99D3FF"/>
              <w:right w:val="single" w:sz="8" w:color="99D3FF"/>
            </w:tcBorders>
            <w:shd w:val="clear" w:color="auto" w:fill="CCE9FF"/>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Ensure Equity Compensation Best Practices</w:t>
            </w:r>
            <w:r>
              <w:rPr>
                <w:rFonts w:ascii="Arial" w:cs="Arial" w:eastAsia="Arial" w:hAnsi="Arial"/>
                <w:sz w:val="18"/>
                <w:szCs w:val="18"/>
                <w:color w:val="auto"/>
              </w:rPr>
              <w:t>: We design equity</w:t>
            </w:r>
          </w:p>
        </w:tc>
        <w:tc>
          <w:tcPr>
            <w:tcW w:w="5480" w:type="dxa"/>
            <w:vAlign w:val="bottom"/>
            <w:tcBorders>
              <w:right w:val="single" w:sz="8" w:color="99D3FF"/>
            </w:tcBorders>
            <w:shd w:val="clear" w:color="auto" w:fill="CCE9FF"/>
          </w:tcPr>
          <w:p>
            <w:pPr>
              <w:ind w:left="80"/>
              <w:spacing w:after="0"/>
              <w:rPr>
                <w:sz w:val="20"/>
                <w:szCs w:val="20"/>
                <w:color w:val="auto"/>
              </w:rPr>
            </w:pPr>
            <w:r>
              <w:rPr>
                <w:rFonts w:ascii="Arial" w:cs="Arial" w:eastAsia="Arial" w:hAnsi="Arial"/>
                <w:sz w:val="18"/>
                <w:szCs w:val="18"/>
                <w:b w:val="1"/>
                <w:bCs w:val="1"/>
                <w:color w:val="auto"/>
              </w:rPr>
              <w:t>û No Excessive Overhang or Dilution</w:t>
            </w:r>
            <w:r>
              <w:rPr>
                <w:rFonts w:ascii="Arial" w:cs="Arial" w:eastAsia="Arial" w:hAnsi="Arial"/>
                <w:sz w:val="18"/>
                <w:szCs w:val="18"/>
                <w:color w:val="auto"/>
              </w:rPr>
              <w:t>: We do not have</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incentives to encourage our executives to maintain a long-term view</w:t>
            </w: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excessive overhang or dilution from equity grants.</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of stockholder value creation, to encourage retention and to ensure a</w:t>
            </w:r>
          </w:p>
        </w:tc>
        <w:tc>
          <w:tcPr>
            <w:tcW w:w="5480" w:type="dxa"/>
            <w:vAlign w:val="bottom"/>
            <w:tcBorders>
              <w:right w:val="single" w:sz="8" w:color="99D3FF"/>
            </w:tcBorders>
            <w:shd w:val="clear" w:color="auto" w:fill="CCE9FF"/>
          </w:tcPr>
          <w:p>
            <w:pPr>
              <w:spacing w:after="0"/>
              <w:rPr>
                <w:sz w:val="17"/>
                <w:szCs w:val="17"/>
                <w:color w:val="auto"/>
              </w:rPr>
            </w:pP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significant portion of the award is performance-based.</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391"/>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We hold dividends accrued under our equity awards, if any, until the</w:t>
            </w:r>
          </w:p>
        </w:tc>
        <w:tc>
          <w:tcPr>
            <w:tcW w:w="5480" w:type="dxa"/>
            <w:vAlign w:val="bottom"/>
            <w:tcBorders>
              <w:right w:val="single" w:sz="8" w:color="99D3FF"/>
            </w:tcBorders>
            <w:shd w:val="clear" w:color="auto" w:fill="CCE9FF"/>
          </w:tcPr>
          <w:p>
            <w:pPr>
              <w:spacing w:after="0"/>
              <w:rPr>
                <w:sz w:val="24"/>
                <w:szCs w:val="24"/>
                <w:color w:val="auto"/>
              </w:rPr>
            </w:pP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recipient vests in the underlying shares or units.</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189"/>
        </w:trPr>
        <w:tc>
          <w:tcPr>
            <w:tcW w:w="5760" w:type="dxa"/>
            <w:vAlign w:val="bottom"/>
            <w:tcBorders>
              <w:left w:val="single" w:sz="8" w:color="99D3FF"/>
              <w:bottom w:val="single" w:sz="8" w:color="99D3FF"/>
              <w:right w:val="single" w:sz="8" w:color="99D3FF"/>
            </w:tcBorders>
            <w:shd w:val="clear" w:color="auto" w:fill="CCE9FF"/>
          </w:tcPr>
          <w:p>
            <w:pPr>
              <w:spacing w:after="0"/>
              <w:rPr>
                <w:sz w:val="16"/>
                <w:szCs w:val="16"/>
                <w:color w:val="auto"/>
              </w:rPr>
            </w:pPr>
          </w:p>
        </w:tc>
        <w:tc>
          <w:tcPr>
            <w:tcW w:w="5480" w:type="dxa"/>
            <w:vAlign w:val="bottom"/>
            <w:tcBorders>
              <w:bottom w:val="single" w:sz="8" w:color="99D3FF"/>
              <w:right w:val="single" w:sz="8" w:color="99D3FF"/>
            </w:tcBorders>
            <w:shd w:val="clear" w:color="auto" w:fill="CCE9FF"/>
          </w:tcPr>
          <w:p>
            <w:pPr>
              <w:spacing w:after="0"/>
              <w:rPr>
                <w:sz w:val="16"/>
                <w:szCs w:val="16"/>
                <w:color w:val="auto"/>
              </w:rPr>
            </w:pPr>
          </w:p>
        </w:tc>
      </w:tr>
      <w:tr>
        <w:trPr>
          <w:trHeight w:val="303"/>
        </w:trPr>
        <w:tc>
          <w:tcPr>
            <w:tcW w:w="5760" w:type="dxa"/>
            <w:vAlign w:val="bottom"/>
            <w:tcBorders>
              <w:left w:val="single" w:sz="8" w:color="99D3FF"/>
              <w:right w:val="single" w:sz="8" w:color="99D3FF"/>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Maintain an Independent Compensation Committee</w:t>
            </w:r>
            <w:r>
              <w:rPr>
                <w:rFonts w:ascii="Arial" w:cs="Arial" w:eastAsia="Arial" w:hAnsi="Arial"/>
                <w:sz w:val="18"/>
                <w:szCs w:val="18"/>
                <w:color w:val="auto"/>
              </w:rPr>
              <w:t>:</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b w:val="1"/>
                <w:bCs w:val="1"/>
                <w:color w:val="auto"/>
              </w:rPr>
              <w:t>û No Excessive Perquisites</w:t>
            </w:r>
            <w:r>
              <w:rPr>
                <w:rFonts w:ascii="Arial" w:cs="Arial" w:eastAsia="Arial" w:hAnsi="Arial"/>
                <w:sz w:val="18"/>
                <w:szCs w:val="18"/>
                <w:color w:val="auto"/>
              </w:rPr>
              <w:t>: We provide our named executive</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Compensation decisions for our NEOs are approved by a</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officers with only limited perquisites and personal benefits that</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Compensation Committee composed of non-employee independent</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serve an important business purpose in addition to the regular</w:t>
            </w:r>
          </w:p>
        </w:tc>
      </w:tr>
      <w:tr>
        <w:trPr>
          <w:trHeight w:val="230"/>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directors.</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color w:val="auto"/>
              </w:rPr>
              <w:t>benefits offered to all employees.</w:t>
            </w:r>
          </w:p>
        </w:tc>
      </w:tr>
      <w:tr>
        <w:trPr>
          <w:trHeight w:val="377"/>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Our Compensation Committee is advised by an independent</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color w:val="auto"/>
              </w:rPr>
              <w:t>We consider the perquisites and personal benefits that we offer to</w:t>
            </w:r>
          </w:p>
        </w:tc>
      </w:tr>
      <w:tr>
        <w:trPr>
          <w:trHeight w:val="202"/>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consultant who reports directly to the Compensation Committee and</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our executives in India to be customary benefits which allow us to</w:t>
            </w:r>
          </w:p>
        </w:tc>
      </w:tr>
      <w:tr>
        <w:trPr>
          <w:trHeight w:val="230"/>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provides no other services to the Company or management.</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color w:val="auto"/>
              </w:rPr>
              <w:t>remain competitive for top talent.</w:t>
            </w:r>
          </w:p>
        </w:tc>
      </w:tr>
      <w:tr>
        <w:trPr>
          <w:trHeight w:val="189"/>
        </w:trPr>
        <w:tc>
          <w:tcPr>
            <w:tcW w:w="5760" w:type="dxa"/>
            <w:vAlign w:val="bottom"/>
            <w:tcBorders>
              <w:left w:val="single" w:sz="8" w:color="99D3FF"/>
              <w:bottom w:val="single" w:sz="8" w:color="99D3FF"/>
              <w:right w:val="single" w:sz="8" w:color="99D3FF"/>
            </w:tcBorders>
          </w:tcPr>
          <w:p>
            <w:pPr>
              <w:spacing w:after="0"/>
              <w:rPr>
                <w:sz w:val="16"/>
                <w:szCs w:val="16"/>
                <w:color w:val="auto"/>
              </w:rPr>
            </w:pPr>
          </w:p>
        </w:tc>
        <w:tc>
          <w:tcPr>
            <w:tcW w:w="5480" w:type="dxa"/>
            <w:vAlign w:val="bottom"/>
            <w:tcBorders>
              <w:bottom w:val="single" w:sz="8" w:color="99D3FF"/>
              <w:right w:val="single" w:sz="8" w:color="99D3FF"/>
            </w:tcBorders>
          </w:tcPr>
          <w:p>
            <w:pPr>
              <w:spacing w:after="0"/>
              <w:rPr>
                <w:sz w:val="16"/>
                <w:szCs w:val="16"/>
                <w:color w:val="auto"/>
              </w:rPr>
            </w:pPr>
          </w:p>
        </w:tc>
      </w:tr>
      <w:tr>
        <w:trPr>
          <w:trHeight w:val="677"/>
        </w:trPr>
        <w:tc>
          <w:tcPr>
            <w:tcW w:w="5760" w:type="dxa"/>
            <w:vAlign w:val="bottom"/>
          </w:tcPr>
          <w:p>
            <w:pPr>
              <w:spacing w:after="0"/>
              <w:rPr>
                <w:sz w:val="24"/>
                <w:szCs w:val="24"/>
                <w:color w:val="auto"/>
              </w:rPr>
            </w:pPr>
          </w:p>
        </w:tc>
        <w:tc>
          <w:tcPr>
            <w:tcW w:w="5480" w:type="dxa"/>
            <w:vAlign w:val="bottom"/>
          </w:tcPr>
          <w:p>
            <w:pPr>
              <w:ind w:left="360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46</w:t>
            </w:r>
          </w:p>
        </w:tc>
      </w:tr>
      <w:tr>
        <w:trPr>
          <w:trHeight w:val="720"/>
        </w:trPr>
        <w:tc>
          <w:tcPr>
            <w:tcW w:w="57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-5751195</wp:posOffset>
            </wp:positionV>
            <wp:extent cx="64135" cy="65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-4773930</wp:posOffset>
            </wp:positionV>
            <wp:extent cx="64135" cy="654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-3153410</wp:posOffset>
            </wp:positionV>
            <wp:extent cx="64135" cy="654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-2047875</wp:posOffset>
            </wp:positionV>
            <wp:extent cx="64135" cy="654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35" cy="654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760" w:type="dxa"/>
            <w:vAlign w:val="bottom"/>
            <w:tcBorders>
              <w:left w:val="single" w:sz="8" w:color="99D3FF"/>
              <w:right w:val="single" w:sz="8" w:color="99D3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What We Do</w:t>
            </w:r>
          </w:p>
        </w:tc>
        <w:tc>
          <w:tcPr>
            <w:tcW w:w="5480" w:type="dxa"/>
            <w:vAlign w:val="bottom"/>
            <w:tcBorders>
              <w:right w:val="single" w:sz="8" w:color="99D3FF"/>
            </w:tcBorders>
            <w:shd w:val="clear" w:color="auto" w:fill="0093FF"/>
          </w:tcPr>
          <w:p>
            <w:pPr>
              <w:ind w:left="80"/>
              <w:spacing w:after="0"/>
              <w:rPr>
                <w:sz w:val="20"/>
                <w:szCs w:val="20"/>
                <w:color w:val="auto"/>
              </w:rPr>
            </w:pPr>
            <w:r>
              <w:rPr>
                <w:rFonts w:ascii="Arial" w:cs="Arial" w:eastAsia="Arial" w:hAnsi="Arial"/>
                <w:sz w:val="18"/>
                <w:szCs w:val="18"/>
                <w:b w:val="1"/>
                <w:bCs w:val="1"/>
                <w:color w:val="FFFFFF"/>
              </w:rPr>
              <w:t>What We Don’t Do</w:t>
            </w:r>
          </w:p>
        </w:tc>
      </w:tr>
      <w:tr>
        <w:trPr>
          <w:trHeight w:val="108"/>
        </w:trPr>
        <w:tc>
          <w:tcPr>
            <w:tcW w:w="5760" w:type="dxa"/>
            <w:vAlign w:val="bottom"/>
            <w:tcBorders>
              <w:left w:val="single" w:sz="8" w:color="99D3FF"/>
              <w:right w:val="single" w:sz="8" w:color="99D3FF"/>
            </w:tcBorders>
            <w:shd w:val="clear" w:color="auto" w:fill="0093FF"/>
          </w:tcPr>
          <w:p>
            <w:pPr>
              <w:spacing w:after="0"/>
              <w:rPr>
                <w:sz w:val="9"/>
                <w:szCs w:val="9"/>
                <w:color w:val="auto"/>
              </w:rPr>
            </w:pPr>
          </w:p>
        </w:tc>
        <w:tc>
          <w:tcPr>
            <w:tcW w:w="5480" w:type="dxa"/>
            <w:vAlign w:val="bottom"/>
            <w:tcBorders>
              <w:right w:val="single" w:sz="8" w:color="99D3FF"/>
            </w:tcBorders>
            <w:shd w:val="clear" w:color="auto" w:fill="0093FF"/>
          </w:tcPr>
          <w:p>
            <w:pPr>
              <w:spacing w:after="0"/>
              <w:rPr>
                <w:sz w:val="9"/>
                <w:szCs w:val="9"/>
                <w:color w:val="auto"/>
              </w:rPr>
            </w:pPr>
          </w:p>
        </w:tc>
      </w:tr>
      <w:tr>
        <w:trPr>
          <w:trHeight w:val="310"/>
        </w:trPr>
        <w:tc>
          <w:tcPr>
            <w:tcW w:w="5760" w:type="dxa"/>
            <w:vAlign w:val="bottom"/>
            <w:tcBorders>
              <w:left w:val="single" w:sz="8" w:color="99D3FF"/>
              <w:right w:val="single" w:sz="8" w:color="99D3FF"/>
            </w:tcBorders>
            <w:shd w:val="clear" w:color="auto" w:fill="CCE9FF"/>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Mitigate Risks</w:t>
            </w:r>
            <w:r>
              <w:rPr>
                <w:rFonts w:ascii="Arial" w:cs="Arial" w:eastAsia="Arial" w:hAnsi="Arial"/>
                <w:sz w:val="18"/>
                <w:szCs w:val="18"/>
                <w:color w:val="auto"/>
              </w:rPr>
              <w:t>: The mix and design of our compensation</w:t>
            </w:r>
          </w:p>
        </w:tc>
        <w:tc>
          <w:tcPr>
            <w:tcW w:w="5480" w:type="dxa"/>
            <w:vAlign w:val="bottom"/>
            <w:tcBorders>
              <w:right w:val="single" w:sz="8" w:color="99D3FF"/>
            </w:tcBorders>
            <w:shd w:val="clear" w:color="auto" w:fill="CCE9FF"/>
          </w:tcPr>
          <w:p>
            <w:pPr>
              <w:ind w:left="80"/>
              <w:spacing w:after="0"/>
              <w:rPr>
                <w:sz w:val="20"/>
                <w:szCs w:val="20"/>
                <w:color w:val="auto"/>
              </w:rPr>
            </w:pPr>
            <w:r>
              <w:rPr>
                <w:rFonts w:ascii="Arial" w:cs="Arial" w:eastAsia="Arial" w:hAnsi="Arial"/>
                <w:sz w:val="18"/>
                <w:szCs w:val="18"/>
                <w:b w:val="1"/>
                <w:bCs w:val="1"/>
                <w:color w:val="auto"/>
              </w:rPr>
              <w:t>û No Tax Gross-Ups</w:t>
            </w:r>
            <w:r>
              <w:rPr>
                <w:rFonts w:ascii="Arial" w:cs="Arial" w:eastAsia="Arial" w:hAnsi="Arial"/>
                <w:sz w:val="18"/>
                <w:szCs w:val="18"/>
                <w:color w:val="auto"/>
              </w:rPr>
              <w:t>: We do not provide “gross-ups” to any of our</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programs serves to mitigate operational, financial, legal, regulatory,</w:t>
            </w: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named executive officers, including gross-ups for any excise taxes</w:t>
            </w:r>
          </w:p>
        </w:tc>
      </w:tr>
      <w:tr>
        <w:trPr>
          <w:trHeight w:val="216"/>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strategic and reputational risks.</w:t>
            </w:r>
          </w:p>
        </w:tc>
        <w:tc>
          <w:tcPr>
            <w:tcW w:w="5480" w:type="dxa"/>
            <w:vAlign w:val="bottom"/>
            <w:tcBorders>
              <w:right w:val="single" w:sz="8" w:color="99D3FF"/>
            </w:tcBorders>
            <w:shd w:val="clear" w:color="auto" w:fill="CCE9FF"/>
          </w:tcPr>
          <w:p>
            <w:pPr>
              <w:ind w:left="80"/>
              <w:spacing w:after="0"/>
              <w:rPr>
                <w:sz w:val="20"/>
                <w:szCs w:val="20"/>
                <w:color w:val="auto"/>
              </w:rPr>
            </w:pPr>
            <w:r>
              <w:rPr>
                <w:rFonts w:ascii="Arial" w:cs="Arial" w:eastAsia="Arial" w:hAnsi="Arial"/>
                <w:sz w:val="18"/>
                <w:szCs w:val="18"/>
                <w:color w:val="auto"/>
              </w:rPr>
              <w:t>imposed with respect to Section 280G (change-in-control</w:t>
            </w:r>
          </w:p>
        </w:tc>
      </w:tr>
      <w:tr>
        <w:trPr>
          <w:trHeight w:val="203"/>
        </w:trPr>
        <w:tc>
          <w:tcPr>
            <w:tcW w:w="5760" w:type="dxa"/>
            <w:vAlign w:val="bottom"/>
            <w:tcBorders>
              <w:left w:val="single" w:sz="8" w:color="99D3FF"/>
              <w:right w:val="single" w:sz="8" w:color="99D3FF"/>
            </w:tcBorders>
            <w:shd w:val="clear" w:color="auto" w:fill="CCE9FF"/>
          </w:tcPr>
          <w:p>
            <w:pPr>
              <w:spacing w:after="0"/>
              <w:rPr>
                <w:sz w:val="17"/>
                <w:szCs w:val="17"/>
                <w:color w:val="auto"/>
              </w:rPr>
            </w:pP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payments) or Section 409A (nonqualified deferred compensation)</w:t>
            </w:r>
          </w:p>
        </w:tc>
      </w:tr>
      <w:tr>
        <w:trPr>
          <w:trHeight w:val="203"/>
        </w:trPr>
        <w:tc>
          <w:tcPr>
            <w:tcW w:w="5760" w:type="dxa"/>
            <w:vAlign w:val="bottom"/>
            <w:tcBorders>
              <w:left w:val="single" w:sz="8" w:color="99D3FF"/>
              <w:right w:val="single" w:sz="8" w:color="99D3FF"/>
            </w:tcBorders>
            <w:shd w:val="clear" w:color="auto" w:fill="CCE9FF"/>
          </w:tcPr>
          <w:p>
            <w:pPr>
              <w:spacing w:after="0"/>
              <w:rPr>
                <w:sz w:val="17"/>
                <w:szCs w:val="17"/>
                <w:color w:val="auto"/>
              </w:rPr>
            </w:pP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of the U.S. Internal Revenue Code of 1986, as amended (which</w:t>
            </w:r>
          </w:p>
        </w:tc>
      </w:tr>
      <w:tr>
        <w:trPr>
          <w:trHeight w:val="217"/>
        </w:trPr>
        <w:tc>
          <w:tcPr>
            <w:tcW w:w="5760" w:type="dxa"/>
            <w:vAlign w:val="bottom"/>
            <w:tcBorders>
              <w:left w:val="single" w:sz="8" w:color="99D3FF"/>
              <w:right w:val="single" w:sz="8" w:color="99D3FF"/>
            </w:tcBorders>
            <w:shd w:val="clear" w:color="auto" w:fill="CCE9FF"/>
          </w:tcPr>
          <w:p>
            <w:pPr>
              <w:spacing w:after="0"/>
              <w:rPr>
                <w:sz w:val="18"/>
                <w:szCs w:val="18"/>
                <w:color w:val="auto"/>
              </w:rPr>
            </w:pPr>
          </w:p>
        </w:tc>
        <w:tc>
          <w:tcPr>
            <w:tcW w:w="5480" w:type="dxa"/>
            <w:vAlign w:val="bottom"/>
            <w:tcBorders>
              <w:right w:val="single" w:sz="8" w:color="99D3FF"/>
            </w:tcBorders>
            <w:shd w:val="clear" w:color="auto" w:fill="CCE9FF"/>
          </w:tcPr>
          <w:p>
            <w:pPr>
              <w:ind w:left="80"/>
              <w:spacing w:after="0"/>
              <w:rPr>
                <w:sz w:val="20"/>
                <w:szCs w:val="20"/>
                <w:color w:val="auto"/>
              </w:rPr>
            </w:pPr>
            <w:r>
              <w:rPr>
                <w:rFonts w:ascii="Arial" w:cs="Arial" w:eastAsia="Arial" w:hAnsi="Arial"/>
                <w:sz w:val="18"/>
                <w:szCs w:val="18"/>
                <w:color w:val="auto"/>
              </w:rPr>
              <w:t>we refer to as the “Code”).</w:t>
            </w:r>
          </w:p>
        </w:tc>
      </w:tr>
      <w:tr>
        <w:trPr>
          <w:trHeight w:val="94"/>
        </w:trPr>
        <w:tc>
          <w:tcPr>
            <w:tcW w:w="5760" w:type="dxa"/>
            <w:vAlign w:val="bottom"/>
            <w:tcBorders>
              <w:left w:val="single" w:sz="8" w:color="99D3FF"/>
              <w:bottom w:val="single" w:sz="8" w:color="99D3FF"/>
              <w:right w:val="single" w:sz="8" w:color="99D3FF"/>
            </w:tcBorders>
            <w:shd w:val="clear" w:color="auto" w:fill="CCE9FF"/>
          </w:tcPr>
          <w:p>
            <w:pPr>
              <w:spacing w:after="0"/>
              <w:rPr>
                <w:sz w:val="8"/>
                <w:szCs w:val="8"/>
                <w:color w:val="auto"/>
              </w:rPr>
            </w:pPr>
          </w:p>
        </w:tc>
        <w:tc>
          <w:tcPr>
            <w:tcW w:w="5480" w:type="dxa"/>
            <w:vAlign w:val="bottom"/>
            <w:tcBorders>
              <w:bottom w:val="single" w:sz="8" w:color="99D3FF"/>
              <w:right w:val="single" w:sz="8" w:color="99D3FF"/>
            </w:tcBorders>
            <w:shd w:val="clear" w:color="auto" w:fill="CCE9FF"/>
          </w:tcPr>
          <w:p>
            <w:pPr>
              <w:spacing w:after="0"/>
              <w:rPr>
                <w:sz w:val="8"/>
                <w:szCs w:val="8"/>
                <w:color w:val="auto"/>
              </w:rPr>
            </w:pPr>
          </w:p>
        </w:tc>
      </w:tr>
      <w:tr>
        <w:trPr>
          <w:trHeight w:val="303"/>
        </w:trPr>
        <w:tc>
          <w:tcPr>
            <w:tcW w:w="5760" w:type="dxa"/>
            <w:vAlign w:val="bottom"/>
            <w:tcBorders>
              <w:left w:val="single" w:sz="8" w:color="99D3FF"/>
              <w:right w:val="single" w:sz="8" w:color="99D3FF"/>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Maintain a Clawback Policy</w:t>
            </w:r>
            <w:r>
              <w:rPr>
                <w:rFonts w:ascii="Arial" w:cs="Arial" w:eastAsia="Arial" w:hAnsi="Arial"/>
                <w:sz w:val="18"/>
                <w:szCs w:val="18"/>
                <w:color w:val="auto"/>
              </w:rPr>
              <w:t>: We maintain a compensation</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b w:val="1"/>
                <w:bCs w:val="1"/>
                <w:color w:val="auto"/>
              </w:rPr>
              <w:t>û No Hedging</w:t>
            </w:r>
            <w:r>
              <w:rPr>
                <w:rFonts w:ascii="Arial" w:cs="Arial" w:eastAsia="Arial" w:hAnsi="Arial"/>
                <w:sz w:val="18"/>
                <w:szCs w:val="18"/>
                <w:color w:val="auto"/>
              </w:rPr>
              <w:t>: We maintain a policy in which the following</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recovery policy that allows the Company to recover compensation</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persons are prohibited from engaging in hedging transactions</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(including cash and/or equity awards) previously paid to one or more</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involving our shares and other securities: our directors and their</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officers in the event of a financial restatement caused by</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secretaries and other assistants; our executive officers and their</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noncompliance with reporting requirements that impacts the</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secretaries and other assistants; our employees in the accounting,</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applicable performance metric if, in the opinion of our Board or</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finance and legal departments; the members and permanent</w:t>
            </w:r>
          </w:p>
        </w:tc>
      </w:tr>
      <w:tr>
        <w:trPr>
          <w:trHeight w:val="203"/>
        </w:trPr>
        <w:tc>
          <w:tcPr>
            <w:tcW w:w="5760" w:type="dxa"/>
            <w:vAlign w:val="bottom"/>
            <w:tcBorders>
              <w:left w:val="single" w:sz="8" w:color="99D3FF"/>
              <w:right w:val="single" w:sz="8" w:color="99D3FF"/>
            </w:tcBorders>
          </w:tcPr>
          <w:p>
            <w:pPr>
              <w:ind w:left="120"/>
              <w:spacing w:after="0" w:line="202" w:lineRule="exact"/>
              <w:rPr>
                <w:sz w:val="20"/>
                <w:szCs w:val="20"/>
                <w:color w:val="auto"/>
              </w:rPr>
            </w:pPr>
            <w:r>
              <w:rPr>
                <w:rFonts w:ascii="Arial" w:cs="Arial" w:eastAsia="Arial" w:hAnsi="Arial"/>
                <w:sz w:val="18"/>
                <w:szCs w:val="18"/>
                <w:color w:val="auto"/>
              </w:rPr>
              <w:t>Compensation Committee, the identified executive’s misconduct was</w:t>
            </w: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invitees of our operating and executive committees; and all of our</w:t>
            </w:r>
          </w:p>
        </w:tc>
      </w:tr>
      <w:tr>
        <w:trPr>
          <w:trHeight w:val="216"/>
        </w:trPr>
        <w:tc>
          <w:tcPr>
            <w:tcW w:w="5760" w:type="dxa"/>
            <w:vAlign w:val="bottom"/>
            <w:tcBorders>
              <w:left w:val="single" w:sz="8" w:color="99D3FF"/>
              <w:right w:val="single" w:sz="8" w:color="99D3FF"/>
            </w:tcBorders>
          </w:tcPr>
          <w:p>
            <w:pPr>
              <w:ind w:left="120"/>
              <w:spacing w:after="0"/>
              <w:rPr>
                <w:sz w:val="20"/>
                <w:szCs w:val="20"/>
                <w:color w:val="auto"/>
              </w:rPr>
            </w:pPr>
            <w:r>
              <w:rPr>
                <w:rFonts w:ascii="Arial" w:cs="Arial" w:eastAsia="Arial" w:hAnsi="Arial"/>
                <w:sz w:val="18"/>
                <w:szCs w:val="18"/>
                <w:color w:val="auto"/>
              </w:rPr>
              <w:t>a material factor causing the restatement.</w:t>
            </w: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color w:val="auto"/>
              </w:rPr>
              <w:t>vice president level 2 and 3 officers (whom we refer to collectively</w:t>
            </w:r>
          </w:p>
        </w:tc>
      </w:tr>
      <w:tr>
        <w:trPr>
          <w:trHeight w:val="203"/>
        </w:trPr>
        <w:tc>
          <w:tcPr>
            <w:tcW w:w="5760" w:type="dxa"/>
            <w:vAlign w:val="bottom"/>
            <w:tcBorders>
              <w:left w:val="single" w:sz="8" w:color="99D3FF"/>
              <w:right w:val="single" w:sz="8" w:color="99D3FF"/>
            </w:tcBorders>
          </w:tcPr>
          <w:p>
            <w:pPr>
              <w:spacing w:after="0"/>
              <w:rPr>
                <w:sz w:val="17"/>
                <w:szCs w:val="17"/>
                <w:color w:val="auto"/>
              </w:rPr>
            </w:pP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as “Reporting Persons”). For this purpose, “hedging” refers to any</w:t>
            </w:r>
          </w:p>
        </w:tc>
      </w:tr>
      <w:tr>
        <w:trPr>
          <w:trHeight w:val="203"/>
        </w:trPr>
        <w:tc>
          <w:tcPr>
            <w:tcW w:w="5760" w:type="dxa"/>
            <w:vAlign w:val="bottom"/>
            <w:tcBorders>
              <w:left w:val="single" w:sz="8" w:color="99D3FF"/>
              <w:right w:val="single" w:sz="8" w:color="99D3FF"/>
            </w:tcBorders>
          </w:tcPr>
          <w:p>
            <w:pPr>
              <w:spacing w:after="0"/>
              <w:rPr>
                <w:sz w:val="17"/>
                <w:szCs w:val="17"/>
                <w:color w:val="auto"/>
              </w:rPr>
            </w:pP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strategy to offset or reduce the risk of price fluctuations in our</w:t>
            </w:r>
          </w:p>
        </w:tc>
      </w:tr>
      <w:tr>
        <w:trPr>
          <w:trHeight w:val="203"/>
        </w:trPr>
        <w:tc>
          <w:tcPr>
            <w:tcW w:w="5760" w:type="dxa"/>
            <w:vAlign w:val="bottom"/>
            <w:tcBorders>
              <w:left w:val="single" w:sz="8" w:color="99D3FF"/>
              <w:right w:val="single" w:sz="8" w:color="99D3FF"/>
            </w:tcBorders>
          </w:tcPr>
          <w:p>
            <w:pPr>
              <w:spacing w:after="0"/>
              <w:rPr>
                <w:sz w:val="17"/>
                <w:szCs w:val="17"/>
                <w:color w:val="auto"/>
              </w:rPr>
            </w:pP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shares or other securities or to protect, in whole or in part, against</w:t>
            </w:r>
          </w:p>
        </w:tc>
      </w:tr>
      <w:tr>
        <w:trPr>
          <w:trHeight w:val="203"/>
        </w:trPr>
        <w:tc>
          <w:tcPr>
            <w:tcW w:w="5760" w:type="dxa"/>
            <w:vAlign w:val="bottom"/>
            <w:tcBorders>
              <w:left w:val="single" w:sz="8" w:color="99D3FF"/>
              <w:right w:val="single" w:sz="8" w:color="99D3FF"/>
            </w:tcBorders>
          </w:tcPr>
          <w:p>
            <w:pPr>
              <w:spacing w:after="0"/>
              <w:rPr>
                <w:sz w:val="17"/>
                <w:szCs w:val="17"/>
                <w:color w:val="auto"/>
              </w:rPr>
            </w:pP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declines in the value of our shares or other securities. This</w:t>
            </w:r>
          </w:p>
        </w:tc>
      </w:tr>
      <w:tr>
        <w:trPr>
          <w:trHeight w:val="203"/>
        </w:trPr>
        <w:tc>
          <w:tcPr>
            <w:tcW w:w="5760" w:type="dxa"/>
            <w:vAlign w:val="bottom"/>
            <w:tcBorders>
              <w:left w:val="single" w:sz="8" w:color="99D3FF"/>
              <w:right w:val="single" w:sz="8" w:color="99D3FF"/>
            </w:tcBorders>
          </w:tcPr>
          <w:p>
            <w:pPr>
              <w:spacing w:after="0"/>
              <w:rPr>
                <w:sz w:val="17"/>
                <w:szCs w:val="17"/>
                <w:color w:val="auto"/>
              </w:rPr>
            </w:pP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prohibition thus applies to all transactions in derivative securities</w:t>
            </w:r>
          </w:p>
        </w:tc>
      </w:tr>
      <w:tr>
        <w:trPr>
          <w:trHeight w:val="203"/>
        </w:trPr>
        <w:tc>
          <w:tcPr>
            <w:tcW w:w="5760" w:type="dxa"/>
            <w:vAlign w:val="bottom"/>
            <w:tcBorders>
              <w:left w:val="single" w:sz="8" w:color="99D3FF"/>
              <w:right w:val="single" w:sz="8" w:color="99D3FF"/>
            </w:tcBorders>
          </w:tcPr>
          <w:p>
            <w:pPr>
              <w:spacing w:after="0"/>
              <w:rPr>
                <w:sz w:val="17"/>
                <w:szCs w:val="17"/>
                <w:color w:val="auto"/>
              </w:rPr>
            </w:pPr>
          </w:p>
        </w:tc>
        <w:tc>
          <w:tcPr>
            <w:tcW w:w="5480" w:type="dxa"/>
            <w:vAlign w:val="bottom"/>
            <w:tcBorders>
              <w:right w:val="single" w:sz="8" w:color="99D3FF"/>
            </w:tcBorders>
          </w:tcPr>
          <w:p>
            <w:pPr>
              <w:ind w:left="80"/>
              <w:spacing w:after="0" w:line="202" w:lineRule="exact"/>
              <w:rPr>
                <w:sz w:val="20"/>
                <w:szCs w:val="20"/>
                <w:color w:val="auto"/>
              </w:rPr>
            </w:pPr>
            <w:r>
              <w:rPr>
                <w:rFonts w:ascii="Arial" w:cs="Arial" w:eastAsia="Arial" w:hAnsi="Arial"/>
                <w:sz w:val="18"/>
                <w:szCs w:val="18"/>
                <w:color w:val="auto"/>
              </w:rPr>
              <w:t>based on our stock such as other securities, including puts, calls,</w:t>
            </w:r>
          </w:p>
        </w:tc>
      </w:tr>
      <w:tr>
        <w:trPr>
          <w:trHeight w:val="217"/>
        </w:trPr>
        <w:tc>
          <w:tcPr>
            <w:tcW w:w="5760" w:type="dxa"/>
            <w:vAlign w:val="bottom"/>
            <w:tcBorders>
              <w:left w:val="single" w:sz="8" w:color="99D3FF"/>
              <w:right w:val="single" w:sz="8" w:color="99D3FF"/>
            </w:tcBorders>
          </w:tcPr>
          <w:p>
            <w:pPr>
              <w:spacing w:after="0"/>
              <w:rPr>
                <w:sz w:val="18"/>
                <w:szCs w:val="18"/>
                <w:color w:val="auto"/>
              </w:rPr>
            </w:pPr>
          </w:p>
        </w:tc>
        <w:tc>
          <w:tcPr>
            <w:tcW w:w="5480" w:type="dxa"/>
            <w:vAlign w:val="bottom"/>
            <w:tcBorders>
              <w:right w:val="single" w:sz="8" w:color="99D3FF"/>
            </w:tcBorders>
          </w:tcPr>
          <w:p>
            <w:pPr>
              <w:ind w:left="80"/>
              <w:spacing w:after="0"/>
              <w:rPr>
                <w:sz w:val="20"/>
                <w:szCs w:val="20"/>
                <w:color w:val="auto"/>
              </w:rPr>
            </w:pPr>
            <w:r>
              <w:rPr>
                <w:rFonts w:ascii="Arial" w:cs="Arial" w:eastAsia="Arial" w:hAnsi="Arial"/>
                <w:sz w:val="18"/>
                <w:szCs w:val="18"/>
                <w:color w:val="auto"/>
              </w:rPr>
              <w:t>swaps and collar arrangements.</w:t>
            </w:r>
          </w:p>
        </w:tc>
      </w:tr>
      <w:tr>
        <w:trPr>
          <w:trHeight w:val="189"/>
        </w:trPr>
        <w:tc>
          <w:tcPr>
            <w:tcW w:w="5760" w:type="dxa"/>
            <w:vAlign w:val="bottom"/>
            <w:tcBorders>
              <w:left w:val="single" w:sz="8" w:color="99D3FF"/>
              <w:bottom w:val="single" w:sz="8" w:color="99D3FF"/>
              <w:right w:val="single" w:sz="8" w:color="99D3FF"/>
            </w:tcBorders>
          </w:tcPr>
          <w:p>
            <w:pPr>
              <w:spacing w:after="0"/>
              <w:rPr>
                <w:sz w:val="16"/>
                <w:szCs w:val="16"/>
                <w:color w:val="auto"/>
              </w:rPr>
            </w:pPr>
          </w:p>
        </w:tc>
        <w:tc>
          <w:tcPr>
            <w:tcW w:w="5480" w:type="dxa"/>
            <w:vAlign w:val="bottom"/>
            <w:tcBorders>
              <w:bottom w:val="single" w:sz="8" w:color="99D3FF"/>
              <w:right w:val="single" w:sz="8" w:color="99D3FF"/>
            </w:tcBorders>
          </w:tcPr>
          <w:p>
            <w:pPr>
              <w:spacing w:after="0"/>
              <w:rPr>
                <w:sz w:val="16"/>
                <w:szCs w:val="16"/>
                <w:color w:val="auto"/>
              </w:rPr>
            </w:pPr>
          </w:p>
        </w:tc>
      </w:tr>
      <w:tr>
        <w:trPr>
          <w:trHeight w:val="303"/>
        </w:trPr>
        <w:tc>
          <w:tcPr>
            <w:tcW w:w="5760" w:type="dxa"/>
            <w:vAlign w:val="bottom"/>
            <w:tcBorders>
              <w:left w:val="single" w:sz="8" w:color="99D3FF"/>
              <w:right w:val="single" w:sz="8" w:color="99D3FF"/>
            </w:tcBorders>
            <w:shd w:val="clear" w:color="auto" w:fill="CCE9FF"/>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Maintain a Robust Stock Ownership Policy</w:t>
            </w:r>
            <w:r>
              <w:rPr>
                <w:rFonts w:ascii="Arial" w:cs="Arial" w:eastAsia="Arial" w:hAnsi="Arial"/>
                <w:sz w:val="18"/>
                <w:szCs w:val="18"/>
                <w:color w:val="auto"/>
              </w:rPr>
              <w:t>: We maintain a</w:t>
            </w:r>
          </w:p>
        </w:tc>
        <w:tc>
          <w:tcPr>
            <w:tcW w:w="5480" w:type="dxa"/>
            <w:vAlign w:val="bottom"/>
            <w:tcBorders>
              <w:right w:val="single" w:sz="8" w:color="99D3FF"/>
            </w:tcBorders>
            <w:shd w:val="clear" w:color="auto" w:fill="CCE9FF"/>
          </w:tcPr>
          <w:p>
            <w:pPr>
              <w:ind w:left="80"/>
              <w:spacing w:after="0"/>
              <w:rPr>
                <w:sz w:val="20"/>
                <w:szCs w:val="20"/>
                <w:color w:val="auto"/>
              </w:rPr>
            </w:pPr>
            <w:r>
              <w:rPr>
                <w:rFonts w:ascii="Arial" w:cs="Arial" w:eastAsia="Arial" w:hAnsi="Arial"/>
                <w:sz w:val="18"/>
                <w:szCs w:val="18"/>
                <w:b w:val="1"/>
                <w:bCs w:val="1"/>
                <w:color w:val="auto"/>
              </w:rPr>
              <w:t>û No Pledging</w:t>
            </w:r>
            <w:r>
              <w:rPr>
                <w:rFonts w:ascii="Arial" w:cs="Arial" w:eastAsia="Arial" w:hAnsi="Arial"/>
                <w:sz w:val="18"/>
                <w:szCs w:val="18"/>
                <w:color w:val="auto"/>
              </w:rPr>
              <w:t>: Under our policy mentioned above, Reporting</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stock ownership policy that requires our CEO to maintain stock</w:t>
            </w: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Persons (as defined above) are only permitted to pledge shares of</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ownership equal to at least six times his base salary and that</w:t>
            </w: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our stock that exceed those required to be owned under our Stock</w:t>
            </w: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requires the other members of our executive committee to maintain</w:t>
            </w:r>
          </w:p>
        </w:tc>
        <w:tc>
          <w:tcPr>
            <w:tcW w:w="5480" w:type="dxa"/>
            <w:vAlign w:val="bottom"/>
            <w:tcBorders>
              <w:right w:val="single" w:sz="8" w:color="99D3FF"/>
            </w:tcBorders>
            <w:shd w:val="clear" w:color="auto" w:fill="CCE9FF"/>
          </w:tcPr>
          <w:p>
            <w:pPr>
              <w:ind w:left="80"/>
              <w:spacing w:after="0" w:line="202" w:lineRule="exact"/>
              <w:rPr>
                <w:sz w:val="20"/>
                <w:szCs w:val="20"/>
                <w:color w:val="auto"/>
              </w:rPr>
            </w:pPr>
            <w:r>
              <w:rPr>
                <w:rFonts w:ascii="Arial" w:cs="Arial" w:eastAsia="Arial" w:hAnsi="Arial"/>
                <w:sz w:val="18"/>
                <w:szCs w:val="18"/>
                <w:color w:val="auto"/>
              </w:rPr>
              <w:t>Ownership Policy described above.</w:t>
            </w:r>
          </w:p>
        </w:tc>
      </w:tr>
      <w:tr>
        <w:trPr>
          <w:trHeight w:val="202"/>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stock ownership of at least two times their respective base salaries.</w:t>
            </w:r>
          </w:p>
        </w:tc>
        <w:tc>
          <w:tcPr>
            <w:tcW w:w="5480" w:type="dxa"/>
            <w:vAlign w:val="bottom"/>
            <w:tcBorders>
              <w:right w:val="single" w:sz="8" w:color="99D3FF"/>
            </w:tcBorders>
            <w:shd w:val="clear" w:color="auto" w:fill="CCE9FF"/>
          </w:tcPr>
          <w:p>
            <w:pPr>
              <w:spacing w:after="0"/>
              <w:rPr>
                <w:sz w:val="17"/>
                <w:szCs w:val="17"/>
                <w:color w:val="auto"/>
              </w:rPr>
            </w:pP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Covered executives have five years from December 2014 (or their</w:t>
            </w:r>
          </w:p>
        </w:tc>
        <w:tc>
          <w:tcPr>
            <w:tcW w:w="5480" w:type="dxa"/>
            <w:vAlign w:val="bottom"/>
            <w:tcBorders>
              <w:right w:val="single" w:sz="8" w:color="99D3FF"/>
            </w:tcBorders>
            <w:shd w:val="clear" w:color="auto" w:fill="CCE9FF"/>
          </w:tcPr>
          <w:p>
            <w:pPr>
              <w:spacing w:after="0"/>
              <w:rPr>
                <w:sz w:val="17"/>
                <w:szCs w:val="17"/>
                <w:color w:val="auto"/>
              </w:rPr>
            </w:pP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hire date, if later) to attain the required stock ownership levels.</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391"/>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We maintain a similar stock ownership policy for our non-employee</w:t>
            </w:r>
          </w:p>
        </w:tc>
        <w:tc>
          <w:tcPr>
            <w:tcW w:w="5480" w:type="dxa"/>
            <w:vAlign w:val="bottom"/>
            <w:tcBorders>
              <w:right w:val="single" w:sz="8" w:color="99D3FF"/>
            </w:tcBorders>
            <w:shd w:val="clear" w:color="auto" w:fill="CCE9FF"/>
          </w:tcPr>
          <w:p>
            <w:pPr>
              <w:spacing w:after="0"/>
              <w:rPr>
                <w:sz w:val="24"/>
                <w:szCs w:val="24"/>
                <w:color w:val="auto"/>
              </w:rPr>
            </w:pPr>
          </w:p>
        </w:tc>
      </w:tr>
      <w:tr>
        <w:trPr>
          <w:trHeight w:val="203"/>
        </w:trPr>
        <w:tc>
          <w:tcPr>
            <w:tcW w:w="5760" w:type="dxa"/>
            <w:vAlign w:val="bottom"/>
            <w:tcBorders>
              <w:left w:val="single" w:sz="8" w:color="99D3FF"/>
              <w:right w:val="single" w:sz="8" w:color="99D3FF"/>
            </w:tcBorders>
            <w:shd w:val="clear" w:color="auto" w:fill="CCE9FF"/>
          </w:tcPr>
          <w:p>
            <w:pPr>
              <w:ind w:left="120"/>
              <w:spacing w:after="0" w:line="202" w:lineRule="exact"/>
              <w:rPr>
                <w:sz w:val="20"/>
                <w:szCs w:val="20"/>
                <w:color w:val="auto"/>
              </w:rPr>
            </w:pPr>
            <w:r>
              <w:rPr>
                <w:rFonts w:ascii="Arial" w:cs="Arial" w:eastAsia="Arial" w:hAnsi="Arial"/>
                <w:sz w:val="18"/>
                <w:szCs w:val="18"/>
                <w:color w:val="auto"/>
              </w:rPr>
              <w:t>directors that requires directors to maintain stock ownership of at</w:t>
            </w:r>
          </w:p>
        </w:tc>
        <w:tc>
          <w:tcPr>
            <w:tcW w:w="5480" w:type="dxa"/>
            <w:vAlign w:val="bottom"/>
            <w:tcBorders>
              <w:right w:val="single" w:sz="8" w:color="99D3FF"/>
            </w:tcBorders>
            <w:shd w:val="clear" w:color="auto" w:fill="CCE9FF"/>
          </w:tcPr>
          <w:p>
            <w:pPr>
              <w:spacing w:after="0"/>
              <w:rPr>
                <w:sz w:val="17"/>
                <w:szCs w:val="17"/>
                <w:color w:val="auto"/>
              </w:rPr>
            </w:pP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least five times their respective annual retainers.</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391"/>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As of December 31, 2019, all covered executives and directors were</w:t>
            </w:r>
          </w:p>
        </w:tc>
        <w:tc>
          <w:tcPr>
            <w:tcW w:w="5480" w:type="dxa"/>
            <w:vAlign w:val="bottom"/>
            <w:tcBorders>
              <w:right w:val="single" w:sz="8" w:color="99D3FF"/>
            </w:tcBorders>
            <w:shd w:val="clear" w:color="auto" w:fill="CCE9FF"/>
          </w:tcPr>
          <w:p>
            <w:pPr>
              <w:spacing w:after="0"/>
              <w:rPr>
                <w:sz w:val="24"/>
                <w:szCs w:val="24"/>
                <w:color w:val="auto"/>
              </w:rPr>
            </w:pPr>
          </w:p>
        </w:tc>
      </w:tr>
      <w:tr>
        <w:trPr>
          <w:trHeight w:val="217"/>
        </w:trPr>
        <w:tc>
          <w:tcPr>
            <w:tcW w:w="5760" w:type="dxa"/>
            <w:vAlign w:val="bottom"/>
            <w:tcBorders>
              <w:left w:val="single" w:sz="8" w:color="99D3FF"/>
              <w:right w:val="single" w:sz="8" w:color="99D3FF"/>
            </w:tcBorders>
            <w:shd w:val="clear" w:color="auto" w:fill="CCE9FF"/>
          </w:tcPr>
          <w:p>
            <w:pPr>
              <w:ind w:left="120"/>
              <w:spacing w:after="0"/>
              <w:rPr>
                <w:sz w:val="20"/>
                <w:szCs w:val="20"/>
                <w:color w:val="auto"/>
              </w:rPr>
            </w:pPr>
            <w:r>
              <w:rPr>
                <w:rFonts w:ascii="Arial" w:cs="Arial" w:eastAsia="Arial" w:hAnsi="Arial"/>
                <w:sz w:val="18"/>
                <w:szCs w:val="18"/>
                <w:color w:val="auto"/>
              </w:rPr>
              <w:t>in compliance with the stock ownership policy.</w:t>
            </w:r>
          </w:p>
        </w:tc>
        <w:tc>
          <w:tcPr>
            <w:tcW w:w="5480" w:type="dxa"/>
            <w:vAlign w:val="bottom"/>
            <w:tcBorders>
              <w:right w:val="single" w:sz="8" w:color="99D3FF"/>
            </w:tcBorders>
            <w:shd w:val="clear" w:color="auto" w:fill="CCE9FF"/>
          </w:tcPr>
          <w:p>
            <w:pPr>
              <w:spacing w:after="0"/>
              <w:rPr>
                <w:sz w:val="18"/>
                <w:szCs w:val="18"/>
                <w:color w:val="auto"/>
              </w:rPr>
            </w:pPr>
          </w:p>
        </w:tc>
      </w:tr>
      <w:tr>
        <w:trPr>
          <w:trHeight w:val="189"/>
        </w:trPr>
        <w:tc>
          <w:tcPr>
            <w:tcW w:w="5760" w:type="dxa"/>
            <w:vAlign w:val="bottom"/>
            <w:tcBorders>
              <w:left w:val="single" w:sz="8" w:color="99D3FF"/>
              <w:bottom w:val="single" w:sz="8" w:color="99D3FF"/>
              <w:right w:val="single" w:sz="8" w:color="99D3FF"/>
            </w:tcBorders>
            <w:shd w:val="clear" w:color="auto" w:fill="CCE9FF"/>
          </w:tcPr>
          <w:p>
            <w:pPr>
              <w:spacing w:after="0"/>
              <w:rPr>
                <w:sz w:val="16"/>
                <w:szCs w:val="16"/>
                <w:color w:val="auto"/>
              </w:rPr>
            </w:pPr>
          </w:p>
        </w:tc>
        <w:tc>
          <w:tcPr>
            <w:tcW w:w="5480" w:type="dxa"/>
            <w:vAlign w:val="bottom"/>
            <w:tcBorders>
              <w:bottom w:val="single" w:sz="8" w:color="99D3FF"/>
              <w:right w:val="single" w:sz="8" w:color="99D3FF"/>
            </w:tcBorders>
            <w:shd w:val="clear" w:color="auto" w:fill="CCE9FF"/>
          </w:tcPr>
          <w:p>
            <w:pPr>
              <w:spacing w:after="0"/>
              <w:rPr>
                <w:sz w:val="16"/>
                <w:szCs w:val="16"/>
                <w:color w:val="auto"/>
              </w:rPr>
            </w:pPr>
          </w:p>
        </w:tc>
      </w:tr>
      <w:tr>
        <w:trPr>
          <w:trHeight w:val="636"/>
        </w:trPr>
        <w:tc>
          <w:tcPr>
            <w:tcW w:w="5760" w:type="dxa"/>
            <w:vAlign w:val="bottom"/>
          </w:tcPr>
          <w:p>
            <w:pPr>
              <w:spacing w:after="0"/>
              <w:rPr>
                <w:sz w:val="24"/>
                <w:szCs w:val="24"/>
                <w:color w:val="auto"/>
              </w:rPr>
            </w:pPr>
          </w:p>
        </w:tc>
        <w:tc>
          <w:tcPr>
            <w:tcW w:w="5480" w:type="dxa"/>
            <w:vAlign w:val="bottom"/>
          </w:tcPr>
          <w:p>
            <w:pPr>
              <w:ind w:left="360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47</w:t>
            </w:r>
          </w:p>
        </w:tc>
      </w:tr>
      <w:tr>
        <w:trPr>
          <w:trHeight w:val="680"/>
        </w:trPr>
        <w:tc>
          <w:tcPr>
            <w:tcW w:w="57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-5828030</wp:posOffset>
            </wp:positionV>
            <wp:extent cx="64135" cy="654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-4902200</wp:posOffset>
            </wp:positionV>
            <wp:extent cx="64135" cy="654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-2759075</wp:posOffset>
            </wp:positionV>
            <wp:extent cx="64135" cy="654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135" cy="654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Overview of Compensation Policies and Philosophies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262626"/>
        </w:rPr>
        <w:t>Our Compensation Committee bases its executive compensation programs on the following objectives, which guide us in establishing all of our compensation programs:</w:t>
      </w:r>
    </w:p>
    <w:p>
      <w:pPr>
        <w:sectPr>
          <w:pgSz w:w="11900" w:h="16838" w:orient="portrait"/>
          <w:cols w:equalWidth="0" w:num="1">
            <w:col w:w="11040"/>
          </w:cols>
          <w:pgMar w:left="320" w:top="1440" w:right="539" w:bottom="1440" w:gutter="0" w:footer="0" w:header="0"/>
        </w:sectPr>
      </w:pPr>
    </w:p>
    <w:p>
      <w:pPr>
        <w:spacing w:after="0" w:line="183" w:lineRule="exact"/>
        <w:rPr>
          <w:sz w:val="20"/>
          <w:szCs w:val="20"/>
          <w:color w:val="auto"/>
        </w:rPr>
      </w:pPr>
    </w:p>
    <w:p>
      <w:pPr>
        <w:ind w:left="460" w:hanging="223"/>
        <w:spacing w:after="0" w:line="236" w:lineRule="auto"/>
        <w:tabs>
          <w:tab w:leader="none" w:pos="460" w:val="left"/>
        </w:tabs>
        <w:numPr>
          <w:ilvl w:val="0"/>
          <w:numId w:val="75"/>
        </w:numPr>
        <w:rPr>
          <w:rFonts w:ascii="Arial" w:cs="Arial" w:eastAsia="Arial" w:hAnsi="Arial"/>
          <w:sz w:val="18"/>
          <w:szCs w:val="18"/>
          <w:color w:val="FF6503"/>
        </w:rPr>
      </w:pPr>
      <w:r>
        <w:rPr>
          <w:rFonts w:ascii="Arial" w:cs="Arial" w:eastAsia="Arial" w:hAnsi="Arial"/>
          <w:sz w:val="18"/>
          <w:szCs w:val="18"/>
          <w:color w:val="auto"/>
        </w:rPr>
        <w:t>Compensation should be based on the level of job responsibility, individual performance and our performance. As employees progress to 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91" w:lineRule="exact"/>
        <w:rPr>
          <w:rFonts w:ascii="Arial" w:cs="Arial" w:eastAsia="Arial" w:hAnsi="Arial"/>
          <w:sz w:val="18"/>
          <w:szCs w:val="18"/>
          <w:color w:val="FF6503"/>
        </w:rPr>
      </w:pPr>
    </w:p>
    <w:p>
      <w:pPr>
        <w:ind w:left="460" w:hanging="223"/>
        <w:spacing w:after="0" w:line="237" w:lineRule="auto"/>
        <w:tabs>
          <w:tab w:leader="none" w:pos="460" w:val="left"/>
        </w:tabs>
        <w:numPr>
          <w:ilvl w:val="0"/>
          <w:numId w:val="75"/>
        </w:numPr>
        <w:rPr>
          <w:rFonts w:ascii="Arial" w:cs="Arial" w:eastAsia="Arial" w:hAnsi="Arial"/>
          <w:sz w:val="18"/>
          <w:szCs w:val="18"/>
          <w:color w:val="FF6503"/>
        </w:rPr>
      </w:pPr>
      <w:r>
        <w:rPr>
          <w:rFonts w:ascii="Arial" w:cs="Arial" w:eastAsia="Arial" w:hAnsi="Arial"/>
          <w:sz w:val="18"/>
          <w:szCs w:val="18"/>
          <w:color w:val="auto"/>
        </w:rPr>
        <w:t>Compensation should balance long-term focus that is linked to stockholder value as well as short-term financial objectives. Consistent with 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189" w:lineRule="exact"/>
        <w:rPr>
          <w:rFonts w:ascii="Arial" w:cs="Arial" w:eastAsia="Arial" w:hAnsi="Arial"/>
          <w:sz w:val="18"/>
          <w:szCs w:val="18"/>
          <w:color w:val="FF6503"/>
        </w:rPr>
      </w:pPr>
    </w:p>
    <w:p>
      <w:pPr>
        <w:ind w:left="460" w:right="60" w:hanging="223"/>
        <w:spacing w:after="0" w:line="238" w:lineRule="auto"/>
        <w:tabs>
          <w:tab w:leader="none" w:pos="460" w:val="left"/>
        </w:tabs>
        <w:numPr>
          <w:ilvl w:val="0"/>
          <w:numId w:val="75"/>
        </w:numPr>
        <w:rPr>
          <w:rFonts w:ascii="Arial" w:cs="Arial" w:eastAsia="Arial" w:hAnsi="Arial"/>
          <w:sz w:val="18"/>
          <w:szCs w:val="18"/>
          <w:color w:val="FF6503"/>
        </w:rPr>
      </w:pPr>
      <w:r>
        <w:rPr>
          <w:rFonts w:ascii="Arial" w:cs="Arial" w:eastAsia="Arial" w:hAnsi="Arial"/>
          <w:sz w:val="18"/>
          <w:szCs w:val="18"/>
          <w:color w:val="262626"/>
        </w:rPr>
        <w:t>Compensation should reflect the value of the job in the marketplace. We compete for talent globally. In order to attract and retain a highly skilled workforce, we must remain competitive with the pay of other employers who compete with us for talent in the relevant markets.</w:t>
      </w:r>
    </w:p>
    <w:p>
      <w:pPr>
        <w:spacing w:after="0" w:line="191" w:lineRule="exact"/>
        <w:rPr>
          <w:rFonts w:ascii="Arial" w:cs="Arial" w:eastAsia="Arial" w:hAnsi="Arial"/>
          <w:sz w:val="18"/>
          <w:szCs w:val="18"/>
          <w:color w:val="FF6503"/>
        </w:rPr>
      </w:pPr>
    </w:p>
    <w:p>
      <w:pPr>
        <w:ind w:left="460" w:right="240" w:hanging="223"/>
        <w:spacing w:after="0" w:line="236" w:lineRule="auto"/>
        <w:tabs>
          <w:tab w:leader="none" w:pos="460" w:val="left"/>
        </w:tabs>
        <w:numPr>
          <w:ilvl w:val="0"/>
          <w:numId w:val="75"/>
        </w:numPr>
        <w:rPr>
          <w:rFonts w:ascii="Arial" w:cs="Arial" w:eastAsia="Arial" w:hAnsi="Arial"/>
          <w:sz w:val="18"/>
          <w:szCs w:val="18"/>
          <w:color w:val="FF6503"/>
        </w:rPr>
      </w:pPr>
      <w:r>
        <w:rPr>
          <w:rFonts w:ascii="Arial" w:cs="Arial" w:eastAsia="Arial" w:hAnsi="Arial"/>
          <w:sz w:val="18"/>
          <w:szCs w:val="18"/>
          <w:color w:val="auto"/>
        </w:rPr>
        <w:t>Compensation programs should be easy to understand. We believe that all aspects of executive compensation should be clearly, comprehensibly and 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00"/>
        <w:spacing w:after="0" w:line="268" w:lineRule="auto"/>
        <w:rPr>
          <w:sz w:val="20"/>
          <w:szCs w:val="20"/>
          <w:color w:val="auto"/>
        </w:rPr>
      </w:pPr>
      <w:r>
        <w:rPr>
          <w:rFonts w:ascii="Arial" w:cs="Arial" w:eastAsia="Arial" w:hAnsi="Arial"/>
          <w:sz w:val="25"/>
          <w:szCs w:val="25"/>
          <w:b w:val="1"/>
          <w:bCs w:val="1"/>
          <w:color w:val="FF6503"/>
        </w:rPr>
        <w:t>compensation based on responsibility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-1011555</wp:posOffset>
            </wp:positionV>
            <wp:extent cx="8255" cy="2443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300"/>
        <w:spacing w:after="0" w:line="268" w:lineRule="auto"/>
        <w:rPr>
          <w:sz w:val="20"/>
          <w:szCs w:val="20"/>
          <w:color w:val="auto"/>
        </w:rPr>
      </w:pPr>
      <w:r>
        <w:rPr>
          <w:rFonts w:ascii="Arial" w:cs="Arial" w:eastAsia="Arial" w:hAnsi="Arial"/>
          <w:sz w:val="25"/>
          <w:szCs w:val="25"/>
          <w:b w:val="1"/>
          <w:bCs w:val="1"/>
          <w:color w:val="0093FF"/>
        </w:rPr>
        <w:t>compensation should balance long-term and short-term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916305</wp:posOffset>
            </wp:positionV>
            <wp:extent cx="8255" cy="1028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68" w:lineRule="auto"/>
        <w:rPr>
          <w:sz w:val="20"/>
          <w:szCs w:val="20"/>
          <w:color w:val="auto"/>
        </w:rPr>
      </w:pPr>
      <w:r>
        <w:rPr>
          <w:rFonts w:ascii="Arial" w:cs="Arial" w:eastAsia="Arial" w:hAnsi="Arial"/>
          <w:sz w:val="25"/>
          <w:szCs w:val="25"/>
          <w:b w:val="1"/>
          <w:bCs w:val="1"/>
          <w:color w:val="FF6503"/>
        </w:rPr>
        <w:t>compensation programs should be easy to understand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48</w:t>
      </w:r>
    </w:p>
    <w:p>
      <w:pPr>
        <w:sectPr>
          <w:pgSz w:w="11900" w:h="16838" w:orient="portrait"/>
          <w:cols w:equalWidth="0" w:num="2">
            <w:col w:w="7640" w:space="420"/>
            <w:col w:w="2980"/>
          </w:cols>
          <w:pgMar w:left="320" w:top="1440" w:right="539" w:bottom="1440" w:gutter="0" w:footer="0" w:header="0"/>
          <w:type w:val="continuous"/>
        </w:sectPr>
      </w:pPr>
    </w:p>
    <w:bookmarkStart w:id="55" w:name="page56"/>
    <w:bookmarkEnd w:id="55"/>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Our Compensation Committee’s Processes</w:t>
      </w:r>
    </w:p>
    <w:p>
      <w:pPr>
        <w:spacing w:after="0" w:line="22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62626"/>
        </w:rPr>
        <w:t>Our Compensation Committee has established a number of processes to assist it in ensuring that our executive compensation programs are achieving their objectives. Among those are the following:</w:t>
      </w:r>
    </w:p>
    <w:p>
      <w:pPr>
        <w:spacing w:after="0" w:line="161" w:lineRule="exact"/>
        <w:rPr>
          <w:sz w:val="20"/>
          <w:szCs w:val="20"/>
          <w:color w:val="auto"/>
        </w:rPr>
      </w:pPr>
    </w:p>
    <w:p>
      <w:pPr>
        <w:ind w:left="660" w:hanging="328"/>
        <w:spacing w:after="0" w:line="239" w:lineRule="auto"/>
        <w:tabs>
          <w:tab w:leader="none" w:pos="660" w:val="left"/>
        </w:tabs>
        <w:numPr>
          <w:ilvl w:val="0"/>
          <w:numId w:val="76"/>
        </w:numPr>
        <w:rPr>
          <w:rFonts w:ascii="Arial" w:cs="Arial" w:eastAsia="Arial" w:hAnsi="Arial"/>
          <w:sz w:val="18"/>
          <w:szCs w:val="18"/>
          <w:color w:val="FF6503"/>
        </w:rPr>
      </w:pPr>
      <w:r>
        <w:rPr>
          <w:rFonts w:ascii="Arial" w:cs="Arial" w:eastAsia="Arial" w:hAnsi="Arial"/>
          <w:sz w:val="18"/>
          <w:szCs w:val="18"/>
          <w:b w:val="1"/>
          <w:bCs w:val="1"/>
          <w:color w:val="262626"/>
        </w:rPr>
        <w:t>Assessment of Company Performance</w:t>
      </w:r>
      <w:r>
        <w:rPr>
          <w:rFonts w:ascii="Arial" w:cs="Arial" w:eastAsia="Arial" w:hAnsi="Arial"/>
          <w:sz w:val="18"/>
          <w:szCs w:val="18"/>
          <w:color w:val="262626"/>
        </w:rPr>
        <w:t>: Our Compensation Committee uses financial performance measures to determine a</w:t>
      </w:r>
      <w:r>
        <w:rPr>
          <w:rFonts w:ascii="Arial" w:cs="Arial" w:eastAsia="Arial" w:hAnsi="Arial"/>
          <w:sz w:val="18"/>
          <w:szCs w:val="18"/>
          <w:b w:val="1"/>
          <w:bCs w:val="1"/>
          <w:color w:val="262626"/>
        </w:rPr>
        <w:t xml:space="preserve"> </w:t>
      </w:r>
      <w:r>
        <w:rPr>
          <w:rFonts w:ascii="Arial" w:cs="Arial" w:eastAsia="Arial" w:hAnsi="Arial"/>
          <w:sz w:val="18"/>
          <w:szCs w:val="18"/>
          <w:color w:val="262626"/>
        </w:rPr>
        <w:t>significant 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end of the prior year or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191" w:lineRule="exact"/>
        <w:rPr>
          <w:rFonts w:ascii="Arial" w:cs="Arial" w:eastAsia="Arial" w:hAnsi="Arial"/>
          <w:sz w:val="18"/>
          <w:szCs w:val="18"/>
          <w:color w:val="FF6503"/>
        </w:rPr>
      </w:pPr>
    </w:p>
    <w:p>
      <w:pPr>
        <w:jc w:val="both"/>
        <w:ind w:left="980" w:right="660" w:hanging="324"/>
        <w:spacing w:after="0"/>
        <w:tabs>
          <w:tab w:leader="none" w:pos="980" w:val="left"/>
        </w:tabs>
        <w:numPr>
          <w:ilvl w:val="1"/>
          <w:numId w:val="76"/>
        </w:numPr>
        <w:rPr>
          <w:rFonts w:ascii="Arial" w:cs="Arial" w:eastAsia="Arial" w:hAnsi="Arial"/>
          <w:sz w:val="18"/>
          <w:szCs w:val="18"/>
          <w:color w:val="FF6503"/>
        </w:rPr>
      </w:pPr>
      <w:r>
        <w:rPr>
          <w:rFonts w:ascii="Arial" w:cs="Arial" w:eastAsia="Arial" w:hAnsi="Arial"/>
          <w:sz w:val="18"/>
          <w:szCs w:val="18"/>
          <w:color w:val="auto"/>
        </w:rPr>
        <w:t>We generally pay bonuses at target when we achieve the established financial measures that are set forth in our annual operating plan and personal performance goals, as described below. These measures reflect targets that are intended to encourage stretch performance.</w:t>
      </w:r>
    </w:p>
    <w:p>
      <w:pPr>
        <w:spacing w:after="0" w:line="167" w:lineRule="exact"/>
        <w:rPr>
          <w:rFonts w:ascii="Arial" w:cs="Arial" w:eastAsia="Arial" w:hAnsi="Arial"/>
          <w:sz w:val="18"/>
          <w:szCs w:val="18"/>
          <w:color w:val="FF6503"/>
        </w:rPr>
      </w:pPr>
    </w:p>
    <w:p>
      <w:pPr>
        <w:ind w:left="660" w:right="300" w:hanging="328"/>
        <w:spacing w:after="0" w:line="253" w:lineRule="auto"/>
        <w:tabs>
          <w:tab w:leader="none" w:pos="660" w:val="left"/>
        </w:tabs>
        <w:numPr>
          <w:ilvl w:val="0"/>
          <w:numId w:val="76"/>
        </w:numPr>
        <w:rPr>
          <w:rFonts w:ascii="Arial" w:cs="Arial" w:eastAsia="Arial" w:hAnsi="Arial"/>
          <w:sz w:val="18"/>
          <w:szCs w:val="18"/>
          <w:color w:val="FF6503"/>
        </w:rPr>
      </w:pPr>
      <w:r>
        <w:rPr>
          <w:rFonts w:ascii="Arial" w:cs="Arial" w:eastAsia="Arial" w:hAnsi="Arial"/>
          <w:sz w:val="18"/>
          <w:szCs w:val="18"/>
          <w:b w:val="1"/>
          <w:bCs w:val="1"/>
          <w:color w:val="262626"/>
        </w:rPr>
        <w:t>Assessment of Individual Performance</w:t>
      </w:r>
      <w:r>
        <w:rPr>
          <w:rFonts w:ascii="Arial" w:cs="Arial" w:eastAsia="Arial" w:hAnsi="Arial"/>
          <w:sz w:val="18"/>
          <w:szCs w:val="18"/>
          <w:color w:val="262626"/>
        </w:rPr>
        <w:t>: Individual performance has a strong impact on the compensation of our employees,</w:t>
      </w:r>
      <w:r>
        <w:rPr>
          <w:rFonts w:ascii="Arial" w:cs="Arial" w:eastAsia="Arial" w:hAnsi="Arial"/>
          <w:sz w:val="18"/>
          <w:szCs w:val="18"/>
          <w:b w:val="1"/>
          <w:bCs w:val="1"/>
          <w:color w:val="262626"/>
        </w:rPr>
        <w:t xml:space="preserve"> </w:t>
      </w:r>
      <w:r>
        <w:rPr>
          <w:rFonts w:ascii="Arial" w:cs="Arial" w:eastAsia="Arial" w:hAnsi="Arial"/>
          <w:sz w:val="18"/>
          <w:szCs w:val="18"/>
          <w:color w:val="262626"/>
        </w:rPr>
        <w:t>including our executive officers. The evaluation of an individual’s performance determines a portion of the payouts for each of our named executive officers made under our incentive bonus program and also influences any changes in base salary.</w:t>
      </w:r>
    </w:p>
    <w:p>
      <w:pPr>
        <w:spacing w:after="0" w:line="177" w:lineRule="exact"/>
        <w:rPr>
          <w:rFonts w:ascii="Arial" w:cs="Arial" w:eastAsia="Arial" w:hAnsi="Arial"/>
          <w:sz w:val="18"/>
          <w:szCs w:val="18"/>
          <w:color w:val="FF6503"/>
        </w:rPr>
      </w:pPr>
    </w:p>
    <w:p>
      <w:pPr>
        <w:ind w:left="980" w:right="20" w:hanging="324"/>
        <w:spacing w:after="0" w:line="236" w:lineRule="auto"/>
        <w:tabs>
          <w:tab w:leader="none" w:pos="980" w:val="left"/>
        </w:tabs>
        <w:numPr>
          <w:ilvl w:val="1"/>
          <w:numId w:val="76"/>
        </w:numPr>
        <w:rPr>
          <w:rFonts w:ascii="Arial" w:cs="Arial" w:eastAsia="Arial" w:hAnsi="Arial"/>
          <w:sz w:val="18"/>
          <w:szCs w:val="18"/>
          <w:color w:val="FF6503"/>
        </w:rPr>
      </w:pPr>
      <w:r>
        <w:rPr>
          <w:rFonts w:ascii="Arial" w:cs="Arial" w:eastAsia="Arial" w:hAnsi="Arial"/>
          <w:sz w:val="18"/>
          <w:szCs w:val="18"/>
          <w:color w:val="auto"/>
        </w:rPr>
        <w:t>For Messrs. Chhibbar, Bagai, Miglani, Bhalla and Meckey, our Compensation Committee receives a 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93" w:lineRule="exact"/>
        <w:rPr>
          <w:rFonts w:ascii="Arial" w:cs="Arial" w:eastAsia="Arial" w:hAnsi="Arial"/>
          <w:sz w:val="18"/>
          <w:szCs w:val="18"/>
          <w:color w:val="FF6503"/>
        </w:rPr>
      </w:pPr>
    </w:p>
    <w:p>
      <w:pPr>
        <w:ind w:left="980" w:right="220" w:hanging="324"/>
        <w:spacing w:after="0" w:line="238" w:lineRule="auto"/>
        <w:tabs>
          <w:tab w:leader="none" w:pos="980" w:val="left"/>
        </w:tabs>
        <w:numPr>
          <w:ilvl w:val="1"/>
          <w:numId w:val="76"/>
        </w:numPr>
        <w:rPr>
          <w:rFonts w:ascii="Arial" w:cs="Arial" w:eastAsia="Arial" w:hAnsi="Arial"/>
          <w:sz w:val="18"/>
          <w:szCs w:val="18"/>
          <w:color w:val="FF6503"/>
        </w:rPr>
      </w:pPr>
      <w:r>
        <w:rPr>
          <w:rFonts w:ascii="Arial" w:cs="Arial" w:eastAsia="Arial" w:hAnsi="Arial"/>
          <w:sz w:val="18"/>
          <w:szCs w:val="18"/>
          <w:color w:val="auto"/>
        </w:rPr>
        <w:t>For Mr. Kapoor, our board of directors receives a self-evaluation prepared by Mr. Kapoor and provides feedback to our Chairman. Our Chairman then discusses the consolidated feedback from the board of directors with our Compensation and Nominating and Governance Committees. Our board of directors and Compensation and Nominating and Governance Committees evaluate the self-evaluation and feedback as well as Mr. Kapoor’s performance, leadership accomplishments and overall competence and evaluate the achievement of established objectives.</w:t>
      </w:r>
    </w:p>
    <w:p>
      <w:pPr>
        <w:spacing w:after="0" w:line="166" w:lineRule="exact"/>
        <w:rPr>
          <w:rFonts w:ascii="Arial" w:cs="Arial" w:eastAsia="Arial" w:hAnsi="Arial"/>
          <w:sz w:val="18"/>
          <w:szCs w:val="18"/>
          <w:color w:val="FF6503"/>
        </w:rPr>
      </w:pPr>
    </w:p>
    <w:p>
      <w:pPr>
        <w:ind w:left="660" w:right="460" w:hanging="328"/>
        <w:spacing w:after="0" w:line="253" w:lineRule="auto"/>
        <w:tabs>
          <w:tab w:leader="none" w:pos="660" w:val="left"/>
        </w:tabs>
        <w:numPr>
          <w:ilvl w:val="0"/>
          <w:numId w:val="76"/>
        </w:numPr>
        <w:rPr>
          <w:rFonts w:ascii="Arial" w:cs="Arial" w:eastAsia="Arial" w:hAnsi="Arial"/>
          <w:sz w:val="18"/>
          <w:szCs w:val="18"/>
          <w:color w:val="FF6503"/>
        </w:rPr>
      </w:pPr>
      <w:r>
        <w:rPr>
          <w:rFonts w:ascii="Arial" w:cs="Arial" w:eastAsia="Arial" w:hAnsi="Arial"/>
          <w:sz w:val="18"/>
          <w:szCs w:val="18"/>
          <w:b w:val="1"/>
          <w:bCs w:val="1"/>
          <w:color w:val="262626"/>
        </w:rPr>
        <w:t>Review of Peer Company Market Data</w:t>
      </w:r>
      <w:r>
        <w:rPr>
          <w:rFonts w:ascii="Arial" w:cs="Arial" w:eastAsia="Arial" w:hAnsi="Arial"/>
          <w:sz w:val="18"/>
          <w:szCs w:val="18"/>
          <w:color w:val="262626"/>
        </w:rPr>
        <w:t>: At the time compensation decisions were made for our U.S.-based and other senior</w:t>
      </w:r>
      <w:r>
        <w:rPr>
          <w:rFonts w:ascii="Arial" w:cs="Arial" w:eastAsia="Arial" w:hAnsi="Arial"/>
          <w:sz w:val="18"/>
          <w:szCs w:val="18"/>
          <w:b w:val="1"/>
          <w:bCs w:val="1"/>
          <w:color w:val="262626"/>
        </w:rPr>
        <w:t xml:space="preserve"> </w:t>
      </w:r>
      <w:r>
        <w:rPr>
          <w:rFonts w:ascii="Arial" w:cs="Arial" w:eastAsia="Arial" w:hAnsi="Arial"/>
          <w:sz w:val="18"/>
          <w:szCs w:val="18"/>
          <w:color w:val="262626"/>
        </w:rPr>
        <w:t>executive officers in 2019, our Compensation Committee reviewed publicly available compensation data for companies that are engaged in business and technology services like us. The</w:t>
      </w:r>
    </w:p>
    <w:p>
      <w:pPr>
        <w:spacing w:after="0" w:line="31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41" w:lineRule="exact"/>
        <w:rPr>
          <w:sz w:val="20"/>
          <w:szCs w:val="20"/>
          <w:color w:val="auto"/>
        </w:rPr>
      </w:pPr>
    </w:p>
    <w:p>
      <w:pPr>
        <w:ind w:left="328"/>
        <w:spacing w:after="0" w:line="246" w:lineRule="auto"/>
        <w:rPr>
          <w:sz w:val="20"/>
          <w:szCs w:val="20"/>
          <w:color w:val="auto"/>
        </w:rPr>
      </w:pPr>
      <w:r>
        <w:rPr>
          <w:rFonts w:ascii="Arial" w:cs="Arial" w:eastAsia="Arial" w:hAnsi="Arial"/>
          <w:sz w:val="18"/>
          <w:szCs w:val="18"/>
          <w:color w:val="262626"/>
        </w:rPr>
        <w:t>Compensation Committee took into account whether the companies had market capitalizations or annual revenues similar to ours, as well as the relevance of their geographic areas. The companies that comprised our peer group for 2019 were as follows:</w:t>
      </w:r>
    </w:p>
    <w:p>
      <w:pPr>
        <w:spacing w:after="0" w:line="184" w:lineRule="exact"/>
        <w:rPr>
          <w:sz w:val="20"/>
          <w:szCs w:val="20"/>
          <w:color w:val="auto"/>
        </w:rPr>
      </w:pPr>
    </w:p>
    <w:tbl>
      <w:tblPr>
        <w:tblLayout w:type="fixed"/>
        <w:tblInd w:w="888" w:type="dxa"/>
        <w:tblCellMar>
          <w:top w:w="0" w:type="dxa"/>
          <w:left w:w="0" w:type="dxa"/>
          <w:bottom w:w="0" w:type="dxa"/>
          <w:right w:w="0" w:type="dxa"/>
        </w:tblCellMar>
      </w:tblPr>
      <w:tr>
        <w:trPr>
          <w:trHeight w:val="291"/>
        </w:trPr>
        <w:tc>
          <w:tcPr>
            <w:tcW w:w="2760" w:type="dxa"/>
            <w:vAlign w:val="bottom"/>
            <w:tcBorders>
              <w:bottom w:val="single" w:sz="8" w:color="0093FF"/>
            </w:tcBorders>
            <w:shd w:val="clear" w:color="auto" w:fill="0093FF"/>
          </w:tcPr>
          <w:p>
            <w:pPr>
              <w:spacing w:after="0"/>
              <w:rPr>
                <w:sz w:val="24"/>
                <w:szCs w:val="24"/>
                <w:color w:val="auto"/>
              </w:rPr>
            </w:pPr>
          </w:p>
        </w:tc>
        <w:tc>
          <w:tcPr>
            <w:tcW w:w="5100" w:type="dxa"/>
            <w:vAlign w:val="bottom"/>
            <w:tcBorders>
              <w:bottom w:val="single" w:sz="8" w:color="0093FF"/>
            </w:tcBorders>
            <w:shd w:val="clear" w:color="auto" w:fill="0093FF"/>
          </w:tcPr>
          <w:p>
            <w:pPr>
              <w:ind w:left="180"/>
              <w:spacing w:after="0"/>
              <w:rPr>
                <w:sz w:val="20"/>
                <w:szCs w:val="20"/>
                <w:color w:val="auto"/>
              </w:rPr>
            </w:pPr>
            <w:r>
              <w:rPr>
                <w:rFonts w:ascii="Arial" w:cs="Arial" w:eastAsia="Arial" w:hAnsi="Arial"/>
                <w:sz w:val="18"/>
                <w:szCs w:val="18"/>
                <w:b w:val="1"/>
                <w:bCs w:val="1"/>
                <w:color w:val="FFFFFF"/>
              </w:rPr>
              <w:t>Peer Group Companies</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Blackbaud</w:t>
            </w:r>
          </w:p>
        </w:tc>
        <w:tc>
          <w:tcPr>
            <w:tcW w:w="5100" w:type="dxa"/>
            <w:vAlign w:val="bottom"/>
          </w:tcPr>
          <w:p>
            <w:pPr>
              <w:ind w:left="1500"/>
              <w:spacing w:after="0"/>
              <w:rPr>
                <w:sz w:val="20"/>
                <w:szCs w:val="20"/>
                <w:color w:val="auto"/>
              </w:rPr>
            </w:pPr>
            <w:r>
              <w:rPr>
                <w:rFonts w:ascii="Arial" w:cs="Arial" w:eastAsia="Arial" w:hAnsi="Arial"/>
                <w:sz w:val="18"/>
                <w:szCs w:val="18"/>
                <w:color w:val="auto"/>
              </w:rPr>
              <w:t>Genpact Limited</w:t>
            </w:r>
          </w:p>
        </w:tc>
      </w:tr>
      <w:tr>
        <w:trPr>
          <w:trHeight w:val="40"/>
        </w:trPr>
        <w:tc>
          <w:tcPr>
            <w:tcW w:w="2760" w:type="dxa"/>
            <w:vAlign w:val="bottom"/>
          </w:tcPr>
          <w:p>
            <w:pPr>
              <w:spacing w:after="0"/>
              <w:rPr>
                <w:sz w:val="3"/>
                <w:szCs w:val="3"/>
                <w:color w:val="auto"/>
              </w:rPr>
            </w:pPr>
          </w:p>
        </w:tc>
        <w:tc>
          <w:tcPr>
            <w:tcW w:w="5100" w:type="dxa"/>
            <w:vAlign w:val="bottom"/>
          </w:tcPr>
          <w:p>
            <w:pPr>
              <w:spacing w:after="0"/>
              <w:rPr>
                <w:sz w:val="3"/>
                <w:szCs w:val="3"/>
                <w:color w:val="auto"/>
              </w:rPr>
            </w:pPr>
          </w:p>
        </w:tc>
      </w:tr>
      <w:tr>
        <w:trPr>
          <w:trHeight w:val="351"/>
        </w:trPr>
        <w:tc>
          <w:tcPr>
            <w:tcW w:w="2760" w:type="dxa"/>
            <w:vAlign w:val="bottom"/>
            <w:shd w:val="clear" w:color="auto" w:fill="F3F9FF"/>
          </w:tcPr>
          <w:p>
            <w:pPr>
              <w:spacing w:after="0"/>
              <w:rPr>
                <w:sz w:val="20"/>
                <w:szCs w:val="20"/>
                <w:color w:val="auto"/>
              </w:rPr>
            </w:pPr>
            <w:r>
              <w:rPr>
                <w:rFonts w:ascii="Arial" w:cs="Arial" w:eastAsia="Arial" w:hAnsi="Arial"/>
                <w:sz w:val="18"/>
                <w:szCs w:val="18"/>
                <w:color w:val="auto"/>
              </w:rPr>
              <w:t>Convergys Corporation</w:t>
            </w:r>
            <w:r>
              <w:rPr>
                <w:rFonts w:ascii="Arial" w:cs="Arial" w:eastAsia="Arial" w:hAnsi="Arial"/>
                <w:sz w:val="29"/>
                <w:szCs w:val="29"/>
                <w:color w:val="auto"/>
                <w:vertAlign w:val="superscript"/>
              </w:rPr>
              <w:t>(1)</w:t>
            </w:r>
          </w:p>
        </w:tc>
        <w:tc>
          <w:tcPr>
            <w:tcW w:w="5100" w:type="dxa"/>
            <w:vAlign w:val="bottom"/>
            <w:shd w:val="clear" w:color="auto" w:fill="F3F9FF"/>
          </w:tcPr>
          <w:p>
            <w:pPr>
              <w:ind w:left="1500"/>
              <w:spacing w:after="0"/>
              <w:rPr>
                <w:sz w:val="20"/>
                <w:szCs w:val="20"/>
                <w:color w:val="auto"/>
              </w:rPr>
            </w:pPr>
            <w:r>
              <w:rPr>
                <w:rFonts w:ascii="Arial" w:cs="Arial" w:eastAsia="Arial" w:hAnsi="Arial"/>
                <w:sz w:val="18"/>
                <w:szCs w:val="18"/>
                <w:color w:val="auto"/>
              </w:rPr>
              <w:t>LiveRamp Holdings</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CSG Systems International, Inc.</w:t>
            </w:r>
          </w:p>
        </w:tc>
        <w:tc>
          <w:tcPr>
            <w:tcW w:w="5100" w:type="dxa"/>
            <w:vAlign w:val="bottom"/>
          </w:tcPr>
          <w:p>
            <w:pPr>
              <w:ind w:left="1500"/>
              <w:spacing w:after="0"/>
              <w:rPr>
                <w:sz w:val="20"/>
                <w:szCs w:val="20"/>
                <w:color w:val="auto"/>
              </w:rPr>
            </w:pPr>
            <w:r>
              <w:rPr>
                <w:rFonts w:ascii="Arial" w:cs="Arial" w:eastAsia="Arial" w:hAnsi="Arial"/>
                <w:sz w:val="18"/>
                <w:szCs w:val="18"/>
                <w:color w:val="auto"/>
              </w:rPr>
              <w:t>Sykes Enterprises</w:t>
            </w:r>
          </w:p>
        </w:tc>
      </w:tr>
      <w:tr>
        <w:trPr>
          <w:trHeight w:val="40"/>
        </w:trPr>
        <w:tc>
          <w:tcPr>
            <w:tcW w:w="2760" w:type="dxa"/>
            <w:vAlign w:val="bottom"/>
          </w:tcPr>
          <w:p>
            <w:pPr>
              <w:spacing w:after="0"/>
              <w:rPr>
                <w:sz w:val="3"/>
                <w:szCs w:val="3"/>
                <w:color w:val="auto"/>
              </w:rPr>
            </w:pPr>
          </w:p>
        </w:tc>
        <w:tc>
          <w:tcPr>
            <w:tcW w:w="5100" w:type="dxa"/>
            <w:vAlign w:val="bottom"/>
          </w:tcPr>
          <w:p>
            <w:pPr>
              <w:spacing w:after="0"/>
              <w:rPr>
                <w:sz w:val="3"/>
                <w:szCs w:val="3"/>
                <w:color w:val="auto"/>
              </w:rPr>
            </w:pPr>
          </w:p>
        </w:tc>
      </w:tr>
      <w:tr>
        <w:trPr>
          <w:trHeight w:val="351"/>
        </w:trPr>
        <w:tc>
          <w:tcPr>
            <w:tcW w:w="2760" w:type="dxa"/>
            <w:vAlign w:val="bottom"/>
            <w:shd w:val="clear" w:color="auto" w:fill="F3F9FF"/>
          </w:tcPr>
          <w:p>
            <w:pPr>
              <w:spacing w:after="0"/>
              <w:rPr>
                <w:sz w:val="20"/>
                <w:szCs w:val="20"/>
                <w:color w:val="auto"/>
              </w:rPr>
            </w:pPr>
            <w:r>
              <w:rPr>
                <w:rFonts w:ascii="Arial" w:cs="Arial" w:eastAsia="Arial" w:hAnsi="Arial"/>
                <w:sz w:val="18"/>
                <w:szCs w:val="18"/>
                <w:color w:val="auto"/>
              </w:rPr>
              <w:t>DST Systems</w:t>
            </w:r>
            <w:r>
              <w:rPr>
                <w:rFonts w:ascii="Arial" w:cs="Arial" w:eastAsia="Arial" w:hAnsi="Arial"/>
                <w:sz w:val="29"/>
                <w:szCs w:val="29"/>
                <w:color w:val="auto"/>
                <w:vertAlign w:val="superscript"/>
              </w:rPr>
              <w:t>(2)</w:t>
            </w:r>
          </w:p>
        </w:tc>
        <w:tc>
          <w:tcPr>
            <w:tcW w:w="5100" w:type="dxa"/>
            <w:vAlign w:val="bottom"/>
            <w:shd w:val="clear" w:color="auto" w:fill="F3F9FF"/>
          </w:tcPr>
          <w:p>
            <w:pPr>
              <w:ind w:left="1500"/>
              <w:spacing w:after="0"/>
              <w:rPr>
                <w:sz w:val="20"/>
                <w:szCs w:val="20"/>
                <w:color w:val="auto"/>
              </w:rPr>
            </w:pPr>
            <w:r>
              <w:rPr>
                <w:rFonts w:ascii="Arial" w:cs="Arial" w:eastAsia="Arial" w:hAnsi="Arial"/>
                <w:sz w:val="18"/>
                <w:szCs w:val="18"/>
                <w:color w:val="auto"/>
              </w:rPr>
              <w:t>Virtusa</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EPAM Systems</w:t>
            </w:r>
          </w:p>
        </w:tc>
        <w:tc>
          <w:tcPr>
            <w:tcW w:w="5100" w:type="dxa"/>
            <w:vAlign w:val="bottom"/>
          </w:tcPr>
          <w:p>
            <w:pPr>
              <w:ind w:left="1500"/>
              <w:spacing w:after="0"/>
              <w:rPr>
                <w:sz w:val="20"/>
                <w:szCs w:val="20"/>
                <w:color w:val="auto"/>
              </w:rPr>
            </w:pPr>
            <w:r>
              <w:rPr>
                <w:rFonts w:ascii="Arial" w:cs="Arial" w:eastAsia="Arial" w:hAnsi="Arial"/>
                <w:sz w:val="18"/>
                <w:szCs w:val="18"/>
                <w:color w:val="auto"/>
              </w:rPr>
              <w:t>WNS (Holdings) Limited</w:t>
            </w:r>
          </w:p>
        </w:tc>
      </w:tr>
    </w:tbl>
    <w:p>
      <w:pPr>
        <w:spacing w:after="0" w:line="103" w:lineRule="exact"/>
        <w:rPr>
          <w:sz w:val="20"/>
          <w:szCs w:val="20"/>
          <w:color w:val="auto"/>
        </w:rPr>
      </w:pPr>
    </w:p>
    <w:p>
      <w:pPr>
        <w:ind w:left="1168" w:hanging="273"/>
        <w:spacing w:after="0"/>
        <w:tabs>
          <w:tab w:leader="none" w:pos="1168" w:val="left"/>
        </w:tabs>
        <w:numPr>
          <w:ilvl w:val="0"/>
          <w:numId w:val="77"/>
        </w:numPr>
        <w:rPr>
          <w:rFonts w:ascii="Arial" w:cs="Arial" w:eastAsia="Arial" w:hAnsi="Arial"/>
          <w:sz w:val="18"/>
          <w:szCs w:val="18"/>
          <w:color w:val="262626"/>
        </w:rPr>
      </w:pPr>
      <w:r>
        <w:rPr>
          <w:rFonts w:ascii="Arial" w:cs="Arial" w:eastAsia="Arial" w:hAnsi="Arial"/>
          <w:sz w:val="18"/>
          <w:szCs w:val="18"/>
          <w:color w:val="262626"/>
        </w:rPr>
        <w:t>Convergys Corporation was acquired by SYNNEX Corporation in October 2018.</w:t>
      </w:r>
    </w:p>
    <w:p>
      <w:pPr>
        <w:ind w:left="1168" w:hanging="273"/>
        <w:spacing w:after="0"/>
        <w:tabs>
          <w:tab w:leader="none" w:pos="1168" w:val="left"/>
        </w:tabs>
        <w:numPr>
          <w:ilvl w:val="0"/>
          <w:numId w:val="77"/>
        </w:numPr>
        <w:rPr>
          <w:rFonts w:ascii="Arial" w:cs="Arial" w:eastAsia="Arial" w:hAnsi="Arial"/>
          <w:sz w:val="18"/>
          <w:szCs w:val="18"/>
          <w:color w:val="262626"/>
        </w:rPr>
      </w:pPr>
      <w:r>
        <w:rPr>
          <w:rFonts w:ascii="Arial" w:cs="Arial" w:eastAsia="Arial" w:hAnsi="Arial"/>
          <w:sz w:val="18"/>
          <w:szCs w:val="18"/>
          <w:color w:val="262626"/>
        </w:rPr>
        <w:t>DST Systems was acquired by SS&amp;C Technologies in April 2018.</w:t>
      </w:r>
    </w:p>
    <w:p>
      <w:pPr>
        <w:spacing w:after="0" w:line="198" w:lineRule="exact"/>
        <w:rPr>
          <w:sz w:val="20"/>
          <w:szCs w:val="20"/>
          <w:color w:val="auto"/>
        </w:rPr>
      </w:pPr>
    </w:p>
    <w:p>
      <w:pPr>
        <w:ind w:left="408" w:right="20"/>
        <w:spacing w:after="0" w:line="237" w:lineRule="auto"/>
        <w:rPr>
          <w:sz w:val="20"/>
          <w:szCs w:val="20"/>
          <w:color w:val="auto"/>
        </w:rPr>
      </w:pPr>
      <w:r>
        <w:rPr>
          <w:rFonts w:ascii="Arial" w:cs="Arial" w:eastAsia="Arial" w:hAnsi="Arial"/>
          <w:sz w:val="18"/>
          <w:szCs w:val="18"/>
          <w:color w:val="262626"/>
        </w:rPr>
        <w:t>Generally, the Company reviews peer compensation data every two years. The compensation data for our peer group was compiled directly by FW Cook, the independent consultant to the Compensation Committee in 2018. Also in 2018, management separately engaged Aon Consulting for the purpose of providing a survey of compensation data (the parameters of which were not prepared by Aon Consulting) for individuals in our global industry holding analogous positions to our executive officers. While the Compensation Committee reviewed and considered the data provided by these surveys, it did not consider or review the compensation paid to executives at the component companies included within such surveys and did not use this information or any other data as a definitive benchmark to set executive compensation for fiscal year 2019.</w:t>
      </w:r>
    </w:p>
    <w:p>
      <w:pPr>
        <w:spacing w:after="0" w:line="189" w:lineRule="exact"/>
        <w:rPr>
          <w:sz w:val="20"/>
          <w:szCs w:val="20"/>
          <w:color w:val="auto"/>
        </w:rPr>
      </w:pPr>
    </w:p>
    <w:p>
      <w:pPr>
        <w:ind w:left="408" w:right="100"/>
        <w:spacing w:after="0" w:line="238" w:lineRule="auto"/>
        <w:rPr>
          <w:sz w:val="20"/>
          <w:szCs w:val="20"/>
          <w:color w:val="auto"/>
        </w:rPr>
      </w:pPr>
      <w:r>
        <w:rPr>
          <w:rFonts w:ascii="Arial" w:cs="Arial" w:eastAsia="Arial" w:hAnsi="Arial"/>
          <w:sz w:val="18"/>
          <w:szCs w:val="18"/>
          <w:color w:val="262626"/>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69" w:lineRule="exact"/>
        <w:rPr>
          <w:sz w:val="20"/>
          <w:szCs w:val="20"/>
          <w:color w:val="auto"/>
        </w:rPr>
      </w:pPr>
    </w:p>
    <w:p>
      <w:pPr>
        <w:ind w:left="328" w:right="40" w:hanging="328"/>
        <w:spacing w:after="0" w:line="242" w:lineRule="auto"/>
        <w:tabs>
          <w:tab w:leader="none" w:pos="328" w:val="left"/>
        </w:tabs>
        <w:numPr>
          <w:ilvl w:val="0"/>
          <w:numId w:val="78"/>
        </w:numPr>
        <w:rPr>
          <w:rFonts w:ascii="Arial" w:cs="Arial" w:eastAsia="Arial" w:hAnsi="Arial"/>
          <w:sz w:val="18"/>
          <w:szCs w:val="18"/>
          <w:color w:val="FF6503"/>
        </w:rPr>
      </w:pPr>
      <w:r>
        <w:rPr>
          <w:rFonts w:ascii="Arial" w:cs="Arial" w:eastAsia="Arial" w:hAnsi="Arial"/>
          <w:sz w:val="18"/>
          <w:szCs w:val="18"/>
          <w:b w:val="1"/>
          <w:bCs w:val="1"/>
          <w:color w:val="262626"/>
        </w:rPr>
        <w:t>Total Compensation Review</w:t>
      </w:r>
      <w:r>
        <w:rPr>
          <w:rFonts w:ascii="Arial" w:cs="Arial" w:eastAsia="Arial" w:hAnsi="Arial"/>
          <w:sz w:val="18"/>
          <w:szCs w:val="18"/>
          <w:color w:val="262626"/>
        </w:rPr>
        <w:t>: Our Compensation Committee reviews compensation information provided by FW Cook and the Aon</w:t>
      </w:r>
      <w:r>
        <w:rPr>
          <w:rFonts w:ascii="Arial" w:cs="Arial" w:eastAsia="Arial" w:hAnsi="Arial"/>
          <w:sz w:val="18"/>
          <w:szCs w:val="18"/>
          <w:b w:val="1"/>
          <w:bCs w:val="1"/>
          <w:color w:val="262626"/>
        </w:rPr>
        <w:t xml:space="preserve"> </w:t>
      </w:r>
      <w:r>
        <w:rPr>
          <w:rFonts w:ascii="Arial" w:cs="Arial" w:eastAsia="Arial" w:hAnsi="Arial"/>
          <w:sz w:val="18"/>
          <w:szCs w:val="18"/>
          <w:color w:val="262626"/>
        </w:rPr>
        <w:t>survey in order to evaluate each executive’s base pay, incentive bonus and equity incentives when changes in compensation are considered.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165" w:lineRule="exact"/>
        <w:rPr>
          <w:rFonts w:ascii="Arial" w:cs="Arial" w:eastAsia="Arial" w:hAnsi="Arial"/>
          <w:sz w:val="18"/>
          <w:szCs w:val="18"/>
          <w:color w:val="FF6503"/>
        </w:rPr>
      </w:pPr>
    </w:p>
    <w:p>
      <w:pPr>
        <w:ind w:left="328" w:right="160" w:hanging="328"/>
        <w:spacing w:after="0"/>
        <w:tabs>
          <w:tab w:leader="none" w:pos="328" w:val="left"/>
        </w:tabs>
        <w:numPr>
          <w:ilvl w:val="0"/>
          <w:numId w:val="78"/>
        </w:numPr>
        <w:rPr>
          <w:rFonts w:ascii="Arial" w:cs="Arial" w:eastAsia="Arial" w:hAnsi="Arial"/>
          <w:sz w:val="18"/>
          <w:szCs w:val="18"/>
          <w:color w:val="FF6503"/>
        </w:rPr>
      </w:pPr>
      <w:r>
        <w:rPr>
          <w:rFonts w:ascii="Arial" w:cs="Arial" w:eastAsia="Arial" w:hAnsi="Arial"/>
          <w:sz w:val="18"/>
          <w:szCs w:val="18"/>
          <w:b w:val="1"/>
          <w:bCs w:val="1"/>
          <w:color w:val="262626"/>
        </w:rPr>
        <w:t>Role of the Compensation Committee’s Independent Compensation Consultant</w:t>
      </w:r>
      <w:r>
        <w:rPr>
          <w:rFonts w:ascii="Arial" w:cs="Arial" w:eastAsia="Arial" w:hAnsi="Arial"/>
          <w:sz w:val="18"/>
          <w:szCs w:val="18"/>
          <w:color w:val="262626"/>
        </w:rPr>
        <w:t>: For 2019, the Compensation Committee</w:t>
      </w:r>
      <w:r>
        <w:rPr>
          <w:rFonts w:ascii="Arial" w:cs="Arial" w:eastAsia="Arial" w:hAnsi="Arial"/>
          <w:sz w:val="18"/>
          <w:szCs w:val="18"/>
          <w:b w:val="1"/>
          <w:bCs w:val="1"/>
          <w:color w:val="262626"/>
        </w:rPr>
        <w:t xml:space="preserve"> </w:t>
      </w:r>
      <w:r>
        <w:rPr>
          <w:rFonts w:ascii="Arial" w:cs="Arial" w:eastAsia="Arial" w:hAnsi="Arial"/>
          <w:sz w:val="18"/>
          <w:szCs w:val="18"/>
          <w:color w:val="262626"/>
        </w:rPr>
        <w:t>retained the services of FW Cook,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FW Cook does not provide other services to us or our executive officers. We have affirmatively determined that no conflict</w:t>
      </w:r>
    </w:p>
    <w:p>
      <w:pPr>
        <w:spacing w:after="0" w:line="330" w:lineRule="exact"/>
        <w:rPr>
          <w:sz w:val="20"/>
          <w:szCs w:val="20"/>
          <w:color w:val="auto"/>
        </w:rPr>
      </w:pPr>
    </w:p>
    <w:p>
      <w:pPr>
        <w:ind w:left="9028"/>
        <w:spacing w:after="0"/>
        <w:tabs>
          <w:tab w:leader="none" w:pos="10528"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450850</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7"/>
          <w:szCs w:val="17"/>
          <w:color w:val="262626"/>
        </w:rPr>
        <w:t>of interest has arisen in connection with the work of FW Cook as compensation consultant for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Components of Executive Compensation for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62626"/>
        </w:rPr>
        <w:t>For 2019, the compensation of executive officers consisted of the following five primary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45516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p>
      <w:pPr>
        <w:spacing w:after="0" w:line="311" w:lineRule="exact"/>
        <w:rPr>
          <w:sz w:val="20"/>
          <w:szCs w:val="20"/>
          <w:color w:val="auto"/>
        </w:rPr>
      </w:pPr>
    </w:p>
    <w:p>
      <w:pPr>
        <w:ind w:left="140" w:right="300"/>
        <w:spacing w:after="0" w:line="301" w:lineRule="auto"/>
        <w:rPr>
          <w:sz w:val="20"/>
          <w:szCs w:val="20"/>
          <w:color w:val="auto"/>
        </w:rPr>
      </w:pPr>
      <w:r>
        <w:rPr>
          <w:rFonts w:ascii="Arial" w:cs="Arial" w:eastAsia="Arial" w:hAnsi="Arial"/>
          <w:sz w:val="17"/>
          <w:szCs w:val="17"/>
          <w:b w:val="1"/>
          <w:bCs w:val="1"/>
          <w:color w:val="FFFFFF"/>
        </w:rPr>
        <w:t>Compensation Component</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Annual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Long-Term</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Incentives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Description</w:t>
      </w:r>
    </w:p>
    <w:p>
      <w:pPr>
        <w:spacing w:after="0" w:line="200" w:lineRule="exact"/>
        <w:rPr>
          <w:sz w:val="20"/>
          <w:szCs w:val="20"/>
          <w:color w:val="auto"/>
        </w:rPr>
      </w:pPr>
    </w:p>
    <w:p>
      <w:pPr>
        <w:spacing w:after="0" w:line="23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Fixed compensation that is reviewed annually and is based on performance, experience, responsibilities, skill set and market value.</w:t>
      </w:r>
    </w:p>
    <w:p>
      <w:pPr>
        <w:spacing w:after="0" w:line="200" w:lineRule="exact"/>
        <w:rPr>
          <w:sz w:val="20"/>
          <w:szCs w:val="20"/>
          <w:color w:val="auto"/>
        </w:rPr>
      </w:pPr>
    </w:p>
    <w:p>
      <w:pPr>
        <w:spacing w:after="0" w:line="28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“At-risk” compensation earned based on performance measured against pre-established annual goals.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Goals are tailored to each executive’s position.</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“At-risk” compensation in the form of restricted stock unit awards whose value fluctuates according to stockholder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50% of the award vests based on continued service.</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50% vests based on achievement of revenue and total stockholder return goals.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Objectives</w:t>
      </w:r>
    </w:p>
    <w:p>
      <w:pPr>
        <w:spacing w:after="0" w:line="32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Provide a base level of compensation that corresponds to the job function performed.</w:t>
      </w:r>
    </w:p>
    <w:p>
      <w:pPr>
        <w:spacing w:after="0" w:line="18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Attract, retain, reward and motivate qualified and experienced executives.</w:t>
      </w:r>
    </w:p>
    <w:p>
      <w:pPr>
        <w:spacing w:after="0" w:line="2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Incentivize executives to achieve annual goals that ultimately contribute to long-term company growth and stockholder return.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Align executive interests with those of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Reward continuous service with the company.</w:t>
      </w:r>
    </w:p>
    <w:p>
      <w:pPr>
        <w:spacing w:after="0" w:line="19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Incentivize executives to achieve goals that drive company performance over the long-term.</w:t>
      </w:r>
    </w:p>
    <w:p>
      <w:pPr>
        <w:spacing w:after="0" w:line="605" w:lineRule="exact"/>
        <w:rPr>
          <w:sz w:val="20"/>
          <w:szCs w:val="20"/>
          <w:color w:val="auto"/>
        </w:rPr>
      </w:pPr>
    </w:p>
    <w:p>
      <w:pPr>
        <w:sectPr>
          <w:pgSz w:w="11900" w:h="16838" w:orient="portrait"/>
          <w:cols w:equalWidth="0" w:num="3">
            <w:col w:w="1680" w:space="360"/>
            <w:col w:w="4320" w:space="260"/>
            <w:col w:w="4440"/>
          </w:cols>
          <w:pgMar w:left="320" w:top="1440" w:right="519" w:bottom="1440" w:gutter="0" w:footer="0" w:header="0"/>
          <w:type w:val="continuous"/>
        </w:sectPr>
      </w:pPr>
    </w:p>
    <w:p>
      <w:pPr>
        <w:spacing w:after="0" w:line="6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line="275" w:lineRule="auto"/>
        <w:rPr>
          <w:sz w:val="20"/>
          <w:szCs w:val="20"/>
          <w:color w:val="auto"/>
        </w:rPr>
      </w:pPr>
      <w:r>
        <w:rPr>
          <w:rFonts w:ascii="Arial" w:cs="Arial" w:eastAsia="Arial" w:hAnsi="Arial"/>
          <w:sz w:val="17"/>
          <w:szCs w:val="17"/>
          <w:b w:val="1"/>
          <w:bCs w:val="1"/>
          <w:color w:val="auto"/>
        </w:rPr>
        <w:t>Severance and Change in Control Protections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Broad-based benefits provided to company employees (e.g., health and group insurance), a retirement savings plan and other personal benefits where appropriate.</w:t>
      </w:r>
    </w:p>
    <w:p>
      <w:pPr>
        <w:spacing w:after="0" w:line="97"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Protect executives during potentially tumultuous corporate transaction.</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Provide reduced post-employment compensation upon other involuntary terminations.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Provide a total compensation package that is competitive with the marketplace and addresses unique needs, especially for overseas executives.</w:t>
      </w:r>
    </w:p>
    <w:p>
      <w:pPr>
        <w:spacing w:after="0" w:line="2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Allow executives to focus on generating stockholder value during a change in control transaction.</w:t>
      </w:r>
    </w:p>
    <w:p>
      <w:pPr>
        <w:spacing w:after="0" w:line="18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Provide market-competitive post-employment compensation recognizing executives likely require more time to find subsequent employment.</w:t>
      </w:r>
    </w:p>
    <w:p>
      <w:pPr>
        <w:spacing w:after="0" w:line="200" w:lineRule="exact"/>
        <w:rPr>
          <w:sz w:val="20"/>
          <w:szCs w:val="20"/>
          <w:color w:val="auto"/>
        </w:rPr>
      </w:pPr>
    </w:p>
    <w:p>
      <w:pPr>
        <w:sectPr>
          <w:pgSz w:w="11900" w:h="16838" w:orient="portrait"/>
          <w:cols w:equalWidth="0" w:num="3">
            <w:col w:w="1700" w:space="340"/>
            <w:col w:w="4360" w:space="220"/>
            <w:col w:w="4440"/>
          </w:cols>
          <w:pgMar w:left="320" w:top="1440" w:right="519" w:bottom="1440" w:gutter="0" w:footer="0" w:header="0"/>
          <w:type w:val="continuous"/>
        </w:sectPr>
      </w:pPr>
    </w:p>
    <w:p>
      <w:pPr>
        <w:spacing w:after="0" w:line="35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Detailed Review of Compensation Components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Base Salary</w:t>
      </w:r>
    </w:p>
    <w:p>
      <w:pPr>
        <w:spacing w:after="0" w:line="220" w:lineRule="exact"/>
        <w:rPr>
          <w:sz w:val="20"/>
          <w:szCs w:val="20"/>
          <w:color w:val="auto"/>
        </w:rPr>
      </w:pPr>
    </w:p>
    <w:p>
      <w:pPr>
        <w:ind w:right="420"/>
        <w:spacing w:after="0"/>
        <w:rPr>
          <w:sz w:val="20"/>
          <w:szCs w:val="20"/>
          <w:color w:val="auto"/>
        </w:rPr>
      </w:pPr>
      <w:r>
        <w:rPr>
          <w:rFonts w:ascii="Arial" w:cs="Arial" w:eastAsia="Arial" w:hAnsi="Arial"/>
          <w:sz w:val="18"/>
          <w:szCs w:val="18"/>
          <w:color w:val="262626"/>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2019, our Compensation Committee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601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Individual Performance</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Data</w:t>
      </w:r>
    </w:p>
    <w:p>
      <w:pPr>
        <w:spacing w:after="0" w:line="30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Overall Compensation Mix</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degree to which the executive met and exceeded expectations.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Geographical and market data to test reasonableness of compensation.</w:t>
      </w:r>
    </w:p>
    <w:p>
      <w:pPr>
        <w:spacing w:after="0" w:line="21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Senior employees should have a greater portion of their compensation tied to increasing stockholder value.</w:t>
      </w:r>
    </w:p>
    <w:p>
      <w:pPr>
        <w:spacing w:after="0" w:line="200" w:lineRule="exact"/>
        <w:rPr>
          <w:sz w:val="20"/>
          <w:szCs w:val="20"/>
          <w:color w:val="auto"/>
        </w:rPr>
      </w:pPr>
    </w:p>
    <w:p>
      <w:pPr>
        <w:sectPr>
          <w:pgSz w:w="11900" w:h="16838" w:orient="portrait"/>
          <w:cols w:equalWidth="0" w:num="2">
            <w:col w:w="3560" w:space="720"/>
            <w:col w:w="6840"/>
          </w:cols>
          <w:pgMar w:left="320" w:top="1440" w:right="459" w:bottom="1440" w:gutter="0" w:footer="0" w:header="0"/>
          <w:type w:val="continuous"/>
        </w:sectPr>
      </w:pP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Upon completing its review and as shown in the table below, and considering base salaries were increased for 2018, the Compensation Committee determined that it was appropriate to hold constant the base salary for each of our named executive officers in 2019. The fixed compensation paid to Messrs. Bagai and Bhalla is paid in Indian Rupees and was held constant in Indian Rupees for each of Messrs. Bagai and Bhalla in 2019. Further, these amounts cover not only base salary, but also amounts available as a travel allowance, an automobile allowance, a housing allowance, a medical allowance and a cash supplementary allowance, consistent with compensation practices in India.</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2380" w:type="dxa"/>
            <w:vAlign w:val="bottom"/>
            <w:tcBorders>
              <w:top w:val="single" w:sz="8" w:color="C3E6FF"/>
              <w:left w:val="single" w:sz="8" w:color="C3E6FF"/>
            </w:tcBorders>
            <w:shd w:val="clear" w:color="auto" w:fill="0093FF"/>
          </w:tcPr>
          <w:p>
            <w:pPr>
              <w:spacing w:after="0"/>
              <w:rPr>
                <w:sz w:val="24"/>
                <w:szCs w:val="24"/>
                <w:color w:val="auto"/>
              </w:rPr>
            </w:pPr>
          </w:p>
        </w:tc>
        <w:tc>
          <w:tcPr>
            <w:tcW w:w="3540" w:type="dxa"/>
            <w:vAlign w:val="bottom"/>
            <w:tcBorders>
              <w:top w:val="single" w:sz="8" w:color="C3E6FF"/>
            </w:tcBorders>
            <w:shd w:val="clear" w:color="auto" w:fill="0093FF"/>
          </w:tcPr>
          <w:p>
            <w:pPr>
              <w:spacing w:after="0"/>
              <w:rPr>
                <w:sz w:val="24"/>
                <w:szCs w:val="24"/>
                <w:color w:val="auto"/>
              </w:rPr>
            </w:pPr>
          </w:p>
        </w:tc>
        <w:tc>
          <w:tcPr>
            <w:tcW w:w="2520" w:type="dxa"/>
            <w:vAlign w:val="bottom"/>
            <w:tcBorders>
              <w:top w:val="single" w:sz="8" w:color="C3E6FF"/>
            </w:tcBorders>
            <w:shd w:val="clear" w:color="auto" w:fill="0093FF"/>
          </w:tcPr>
          <w:p>
            <w:pPr>
              <w:jc w:val="center"/>
              <w:ind w:right="70"/>
              <w:spacing w:after="0"/>
              <w:rPr>
                <w:sz w:val="20"/>
                <w:szCs w:val="20"/>
                <w:color w:val="auto"/>
              </w:rPr>
            </w:pPr>
            <w:r>
              <w:rPr>
                <w:rFonts w:ascii="Arial" w:cs="Arial" w:eastAsia="Arial" w:hAnsi="Arial"/>
                <w:sz w:val="18"/>
                <w:szCs w:val="18"/>
                <w:b w:val="1"/>
                <w:bCs w:val="1"/>
                <w:color w:val="FFFFFF"/>
                <w:w w:val="99"/>
              </w:rPr>
              <w:t>2019 Base Salary /</w:t>
            </w:r>
          </w:p>
        </w:tc>
        <w:tc>
          <w:tcPr>
            <w:tcW w:w="2240" w:type="dxa"/>
            <w:vAlign w:val="bottom"/>
            <w:tcBorders>
              <w:top w:val="single" w:sz="8" w:color="C3E6FF"/>
              <w:right w:val="single" w:sz="8" w:color="C3E6FF"/>
            </w:tcBorders>
            <w:shd w:val="clear" w:color="auto" w:fill="0093FF"/>
          </w:tcPr>
          <w:p>
            <w:pPr>
              <w:spacing w:after="0"/>
              <w:rPr>
                <w:sz w:val="24"/>
                <w:szCs w:val="24"/>
                <w:color w:val="auto"/>
              </w:rPr>
            </w:pPr>
          </w:p>
        </w:tc>
      </w:tr>
      <w:tr>
        <w:trPr>
          <w:trHeight w:val="203"/>
        </w:trPr>
        <w:tc>
          <w:tcPr>
            <w:tcW w:w="2380" w:type="dxa"/>
            <w:vAlign w:val="bottom"/>
            <w:tcBorders>
              <w:left w:val="single" w:sz="8" w:color="C3E6FF"/>
            </w:tcBorders>
            <w:shd w:val="clear" w:color="auto" w:fill="0093FF"/>
          </w:tcPr>
          <w:p>
            <w:pPr>
              <w:spacing w:after="0"/>
              <w:rPr>
                <w:sz w:val="17"/>
                <w:szCs w:val="17"/>
                <w:color w:val="auto"/>
              </w:rPr>
            </w:pPr>
          </w:p>
        </w:tc>
        <w:tc>
          <w:tcPr>
            <w:tcW w:w="3540" w:type="dxa"/>
            <w:vAlign w:val="bottom"/>
            <w:shd w:val="clear" w:color="auto" w:fill="0093FF"/>
          </w:tcPr>
          <w:p>
            <w:pPr>
              <w:jc w:val="center"/>
              <w:ind w:left="530"/>
              <w:spacing w:after="0" w:line="202" w:lineRule="exact"/>
              <w:rPr>
                <w:sz w:val="20"/>
                <w:szCs w:val="20"/>
                <w:color w:val="auto"/>
              </w:rPr>
            </w:pPr>
            <w:r>
              <w:rPr>
                <w:rFonts w:ascii="Arial" w:cs="Arial" w:eastAsia="Arial" w:hAnsi="Arial"/>
                <w:sz w:val="18"/>
                <w:szCs w:val="18"/>
                <w:b w:val="1"/>
                <w:bCs w:val="1"/>
                <w:color w:val="FFFFFF"/>
                <w:w w:val="99"/>
              </w:rPr>
              <w:t>2018 Base Salary /</w:t>
            </w:r>
          </w:p>
        </w:tc>
        <w:tc>
          <w:tcPr>
            <w:tcW w:w="2520" w:type="dxa"/>
            <w:vAlign w:val="bottom"/>
            <w:shd w:val="clear" w:color="auto" w:fill="0093FF"/>
          </w:tcPr>
          <w:p>
            <w:pPr>
              <w:jc w:val="center"/>
              <w:ind w:right="30"/>
              <w:spacing w:after="0" w:line="202" w:lineRule="exact"/>
              <w:rPr>
                <w:sz w:val="20"/>
                <w:szCs w:val="20"/>
                <w:color w:val="auto"/>
              </w:rPr>
            </w:pPr>
            <w:r>
              <w:rPr>
                <w:rFonts w:ascii="Arial" w:cs="Arial" w:eastAsia="Arial" w:hAnsi="Arial"/>
                <w:sz w:val="18"/>
                <w:szCs w:val="18"/>
                <w:b w:val="1"/>
                <w:bCs w:val="1"/>
                <w:color w:val="FFFFFF"/>
                <w:w w:val="99"/>
              </w:rPr>
              <w:t>Annual Fixed</w:t>
            </w:r>
          </w:p>
        </w:tc>
        <w:tc>
          <w:tcPr>
            <w:tcW w:w="2240" w:type="dxa"/>
            <w:vAlign w:val="bottom"/>
            <w:tcBorders>
              <w:right w:val="single" w:sz="8" w:color="C3E6FF"/>
            </w:tcBorders>
            <w:shd w:val="clear" w:color="auto" w:fill="0093FF"/>
          </w:tcPr>
          <w:p>
            <w:pPr>
              <w:spacing w:after="0"/>
              <w:rPr>
                <w:sz w:val="17"/>
                <w:szCs w:val="17"/>
                <w:color w:val="auto"/>
              </w:rPr>
            </w:pPr>
          </w:p>
        </w:tc>
      </w:tr>
      <w:tr>
        <w:trPr>
          <w:trHeight w:val="203"/>
        </w:trPr>
        <w:tc>
          <w:tcPr>
            <w:tcW w:w="2380" w:type="dxa"/>
            <w:vAlign w:val="bottom"/>
            <w:tcBorders>
              <w:left w:val="single" w:sz="8" w:color="C3E6FF"/>
            </w:tcBorders>
            <w:shd w:val="clear" w:color="auto" w:fill="0093FF"/>
          </w:tcPr>
          <w:p>
            <w:pPr>
              <w:spacing w:after="0"/>
              <w:rPr>
                <w:sz w:val="17"/>
                <w:szCs w:val="17"/>
                <w:color w:val="auto"/>
              </w:rPr>
            </w:pPr>
          </w:p>
        </w:tc>
        <w:tc>
          <w:tcPr>
            <w:tcW w:w="3540" w:type="dxa"/>
            <w:vAlign w:val="bottom"/>
            <w:shd w:val="clear" w:color="auto" w:fill="0093FF"/>
          </w:tcPr>
          <w:p>
            <w:pPr>
              <w:jc w:val="center"/>
              <w:ind w:left="570"/>
              <w:spacing w:after="0" w:line="202" w:lineRule="exact"/>
              <w:rPr>
                <w:sz w:val="20"/>
                <w:szCs w:val="20"/>
                <w:color w:val="auto"/>
              </w:rPr>
            </w:pPr>
            <w:r>
              <w:rPr>
                <w:rFonts w:ascii="Arial" w:cs="Arial" w:eastAsia="Arial" w:hAnsi="Arial"/>
                <w:sz w:val="18"/>
                <w:szCs w:val="18"/>
                <w:b w:val="1"/>
                <w:bCs w:val="1"/>
                <w:color w:val="FFFFFF"/>
              </w:rPr>
              <w:t>Annual Fixed Compensation</w:t>
            </w:r>
          </w:p>
        </w:tc>
        <w:tc>
          <w:tcPr>
            <w:tcW w:w="2520" w:type="dxa"/>
            <w:vAlign w:val="bottom"/>
            <w:shd w:val="clear" w:color="auto" w:fill="0093FF"/>
          </w:tcPr>
          <w:p>
            <w:pPr>
              <w:jc w:val="center"/>
              <w:ind w:right="30"/>
              <w:spacing w:after="0" w:line="202" w:lineRule="exact"/>
              <w:rPr>
                <w:sz w:val="20"/>
                <w:szCs w:val="20"/>
                <w:color w:val="auto"/>
              </w:rPr>
            </w:pPr>
            <w:r>
              <w:rPr>
                <w:rFonts w:ascii="Arial" w:cs="Arial" w:eastAsia="Arial" w:hAnsi="Arial"/>
                <w:sz w:val="18"/>
                <w:szCs w:val="18"/>
                <w:b w:val="1"/>
                <w:bCs w:val="1"/>
                <w:color w:val="FFFFFF"/>
                <w:w w:val="99"/>
              </w:rPr>
              <w:t>Compensation</w:t>
            </w:r>
          </w:p>
        </w:tc>
        <w:tc>
          <w:tcPr>
            <w:tcW w:w="2240" w:type="dxa"/>
            <w:vAlign w:val="bottom"/>
            <w:tcBorders>
              <w:right w:val="single" w:sz="8" w:color="C3E6FF"/>
            </w:tcBorders>
            <w:shd w:val="clear" w:color="auto" w:fill="0093FF"/>
          </w:tcPr>
          <w:p>
            <w:pPr>
              <w:ind w:left="300"/>
              <w:spacing w:after="0" w:line="202" w:lineRule="exact"/>
              <w:rPr>
                <w:sz w:val="20"/>
                <w:szCs w:val="20"/>
                <w:color w:val="auto"/>
              </w:rPr>
            </w:pPr>
            <w:r>
              <w:rPr>
                <w:rFonts w:ascii="Arial" w:cs="Arial" w:eastAsia="Arial" w:hAnsi="Arial"/>
                <w:sz w:val="18"/>
                <w:szCs w:val="18"/>
                <w:b w:val="1"/>
                <w:bCs w:val="1"/>
                <w:color w:val="FFFFFF"/>
              </w:rPr>
              <w:t>% Increase /</w:t>
            </w:r>
          </w:p>
        </w:tc>
      </w:tr>
      <w:tr>
        <w:trPr>
          <w:trHeight w:val="239"/>
        </w:trPr>
        <w:tc>
          <w:tcPr>
            <w:tcW w:w="2380" w:type="dxa"/>
            <w:vAlign w:val="bottom"/>
            <w:tcBorders>
              <w:left w:val="single" w:sz="8" w:color="C3E6FF"/>
            </w:tcBorders>
            <w:shd w:val="clear" w:color="auto" w:fill="0093FF"/>
          </w:tcPr>
          <w:p>
            <w:pPr>
              <w:ind w:left="140"/>
              <w:spacing w:after="0"/>
              <w:rPr>
                <w:sz w:val="20"/>
                <w:szCs w:val="20"/>
                <w:color w:val="auto"/>
              </w:rPr>
            </w:pPr>
            <w:r>
              <w:rPr>
                <w:rFonts w:ascii="Arial" w:cs="Arial" w:eastAsia="Arial" w:hAnsi="Arial"/>
                <w:sz w:val="18"/>
                <w:szCs w:val="18"/>
                <w:b w:val="1"/>
                <w:bCs w:val="1"/>
                <w:color w:val="FFFFFF"/>
              </w:rPr>
              <w:t>Name</w:t>
            </w:r>
          </w:p>
        </w:tc>
        <w:tc>
          <w:tcPr>
            <w:tcW w:w="3540" w:type="dxa"/>
            <w:vAlign w:val="bottom"/>
            <w:shd w:val="clear" w:color="auto" w:fill="0093FF"/>
          </w:tcPr>
          <w:p>
            <w:pPr>
              <w:jc w:val="center"/>
              <w:ind w:left="590"/>
              <w:spacing w:after="0"/>
              <w:rPr>
                <w:sz w:val="20"/>
                <w:szCs w:val="20"/>
                <w:color w:val="auto"/>
              </w:rPr>
            </w:pPr>
            <w:r>
              <w:rPr>
                <w:rFonts w:ascii="Arial" w:cs="Arial" w:eastAsia="Arial" w:hAnsi="Arial"/>
                <w:sz w:val="18"/>
                <w:szCs w:val="18"/>
                <w:b w:val="1"/>
                <w:bCs w:val="1"/>
                <w:color w:val="FFFFFF"/>
                <w:w w:val="99"/>
              </w:rPr>
              <w:t>(Effective April 1, 2018)</w:t>
            </w:r>
          </w:p>
        </w:tc>
        <w:tc>
          <w:tcPr>
            <w:tcW w:w="2520" w:type="dxa"/>
            <w:vAlign w:val="bottom"/>
            <w:shd w:val="clear" w:color="auto" w:fill="0093FF"/>
          </w:tcPr>
          <w:p>
            <w:pPr>
              <w:jc w:val="center"/>
              <w:ind w:right="10"/>
              <w:spacing w:after="0"/>
              <w:rPr>
                <w:sz w:val="20"/>
                <w:szCs w:val="20"/>
                <w:color w:val="auto"/>
              </w:rPr>
            </w:pPr>
            <w:r>
              <w:rPr>
                <w:rFonts w:ascii="Arial" w:cs="Arial" w:eastAsia="Arial" w:hAnsi="Arial"/>
                <w:sz w:val="18"/>
                <w:szCs w:val="18"/>
                <w:b w:val="1"/>
                <w:bCs w:val="1"/>
                <w:color w:val="FFFFFF"/>
                <w:w w:val="99"/>
              </w:rPr>
              <w:t>(Effective April 1, 2019)</w:t>
            </w:r>
          </w:p>
        </w:tc>
        <w:tc>
          <w:tcPr>
            <w:tcW w:w="2240" w:type="dxa"/>
            <w:vAlign w:val="bottom"/>
            <w:tcBorders>
              <w:right w:val="single" w:sz="8" w:color="C3E6FF"/>
            </w:tcBorders>
            <w:shd w:val="clear" w:color="auto" w:fill="0093FF"/>
          </w:tcPr>
          <w:p>
            <w:pPr>
              <w:ind w:left="300"/>
              <w:spacing w:after="0"/>
              <w:rPr>
                <w:sz w:val="20"/>
                <w:szCs w:val="20"/>
                <w:color w:val="auto"/>
              </w:rPr>
            </w:pPr>
            <w:r>
              <w:rPr>
                <w:rFonts w:ascii="Arial" w:cs="Arial" w:eastAsia="Arial" w:hAnsi="Arial"/>
                <w:sz w:val="18"/>
                <w:szCs w:val="18"/>
                <w:b w:val="1"/>
                <w:bCs w:val="1"/>
                <w:color w:val="FFFFFF"/>
              </w:rPr>
              <w:t>Decrease</w:t>
            </w:r>
          </w:p>
        </w:tc>
      </w:tr>
      <w:tr>
        <w:trPr>
          <w:trHeight w:val="95"/>
        </w:trPr>
        <w:tc>
          <w:tcPr>
            <w:tcW w:w="2380" w:type="dxa"/>
            <w:vAlign w:val="bottom"/>
            <w:tcBorders>
              <w:left w:val="single" w:sz="8" w:color="C3E6FF"/>
            </w:tcBorders>
            <w:shd w:val="clear" w:color="auto" w:fill="0093FF"/>
          </w:tcPr>
          <w:p>
            <w:pPr>
              <w:spacing w:after="0"/>
              <w:rPr>
                <w:sz w:val="8"/>
                <w:szCs w:val="8"/>
                <w:color w:val="auto"/>
              </w:rPr>
            </w:pPr>
          </w:p>
        </w:tc>
        <w:tc>
          <w:tcPr>
            <w:tcW w:w="3540" w:type="dxa"/>
            <w:vAlign w:val="bottom"/>
            <w:shd w:val="clear" w:color="auto" w:fill="0093FF"/>
          </w:tcPr>
          <w:p>
            <w:pPr>
              <w:spacing w:after="0"/>
              <w:rPr>
                <w:sz w:val="8"/>
                <w:szCs w:val="8"/>
                <w:color w:val="auto"/>
              </w:rPr>
            </w:pPr>
          </w:p>
        </w:tc>
        <w:tc>
          <w:tcPr>
            <w:tcW w:w="2520" w:type="dxa"/>
            <w:vAlign w:val="bottom"/>
            <w:shd w:val="clear" w:color="auto" w:fill="0093FF"/>
          </w:tcPr>
          <w:p>
            <w:pPr>
              <w:spacing w:after="0"/>
              <w:rPr>
                <w:sz w:val="8"/>
                <w:szCs w:val="8"/>
                <w:color w:val="auto"/>
              </w:rPr>
            </w:pPr>
          </w:p>
        </w:tc>
        <w:tc>
          <w:tcPr>
            <w:tcW w:w="2240" w:type="dxa"/>
            <w:vAlign w:val="bottom"/>
            <w:tcBorders>
              <w:right w:val="single" w:sz="8" w:color="C3E6FF"/>
            </w:tcBorders>
            <w:shd w:val="clear" w:color="auto" w:fill="0093FF"/>
          </w:tcPr>
          <w:p>
            <w:pPr>
              <w:spacing w:after="0"/>
              <w:rPr>
                <w:sz w:val="8"/>
                <w:szCs w:val="8"/>
                <w:color w:val="auto"/>
              </w:rPr>
            </w:pPr>
          </w:p>
        </w:tc>
      </w:tr>
      <w:tr>
        <w:trPr>
          <w:trHeight w:val="459"/>
        </w:trPr>
        <w:tc>
          <w:tcPr>
            <w:tcW w:w="2380" w:type="dxa"/>
            <w:vAlign w:val="bottom"/>
            <w:tcBorders>
              <w:left w:val="single" w:sz="8" w:color="C3E6FF"/>
            </w:tcBorders>
          </w:tcPr>
          <w:p>
            <w:pPr>
              <w:ind w:left="140"/>
              <w:spacing w:after="0"/>
              <w:rPr>
                <w:sz w:val="20"/>
                <w:szCs w:val="20"/>
                <w:color w:val="auto"/>
              </w:rPr>
            </w:pPr>
            <w:r>
              <w:rPr>
                <w:rFonts w:ascii="Arial" w:cs="Arial" w:eastAsia="Arial" w:hAnsi="Arial"/>
                <w:sz w:val="18"/>
                <w:szCs w:val="18"/>
                <w:b w:val="1"/>
                <w:bCs w:val="1"/>
                <w:color w:val="auto"/>
              </w:rPr>
              <w:t>Rohit Kapoor</w:t>
            </w:r>
          </w:p>
        </w:tc>
        <w:tc>
          <w:tcPr>
            <w:tcW w:w="3540" w:type="dxa"/>
            <w:vAlign w:val="bottom"/>
          </w:tcPr>
          <w:p>
            <w:pPr>
              <w:jc w:val="right"/>
              <w:ind w:right="590"/>
              <w:spacing w:after="0"/>
              <w:rPr>
                <w:sz w:val="20"/>
                <w:szCs w:val="20"/>
                <w:color w:val="auto"/>
              </w:rPr>
            </w:pPr>
            <w:r>
              <w:rPr>
                <w:rFonts w:ascii="Arial" w:cs="Arial" w:eastAsia="Arial" w:hAnsi="Arial"/>
                <w:sz w:val="18"/>
                <w:szCs w:val="18"/>
                <w:color w:val="auto"/>
              </w:rPr>
              <w:t>$720,000</w:t>
            </w:r>
            <w:r>
              <w:rPr>
                <w:rFonts w:ascii="Arial" w:cs="Arial" w:eastAsia="Arial" w:hAnsi="Arial"/>
                <w:sz w:val="29"/>
                <w:szCs w:val="29"/>
                <w:color w:val="auto"/>
                <w:vertAlign w:val="superscript"/>
              </w:rPr>
              <w:t>(1)</w:t>
            </w:r>
          </w:p>
        </w:tc>
        <w:tc>
          <w:tcPr>
            <w:tcW w:w="2520" w:type="dxa"/>
            <w:vAlign w:val="bottom"/>
          </w:tcPr>
          <w:p>
            <w:pPr>
              <w:jc w:val="right"/>
              <w:ind w:right="230"/>
              <w:spacing w:after="0"/>
              <w:rPr>
                <w:sz w:val="20"/>
                <w:szCs w:val="20"/>
                <w:color w:val="auto"/>
              </w:rPr>
            </w:pPr>
            <w:r>
              <w:rPr>
                <w:rFonts w:ascii="Arial" w:cs="Arial" w:eastAsia="Arial" w:hAnsi="Arial"/>
                <w:sz w:val="18"/>
                <w:szCs w:val="18"/>
                <w:color w:val="auto"/>
              </w:rPr>
              <w:t>$720,000</w:t>
            </w:r>
          </w:p>
        </w:tc>
        <w:tc>
          <w:tcPr>
            <w:tcW w:w="2240" w:type="dxa"/>
            <w:vAlign w:val="bottom"/>
            <w:tcBorders>
              <w:right w:val="single" w:sz="8" w:color="C3E6FF"/>
            </w:tcBorders>
          </w:tcPr>
          <w:p>
            <w:pPr>
              <w:ind w:left="1920"/>
              <w:spacing w:after="0"/>
              <w:rPr>
                <w:sz w:val="20"/>
                <w:szCs w:val="20"/>
                <w:color w:val="auto"/>
              </w:rPr>
            </w:pPr>
            <w:r>
              <w:rPr>
                <w:rFonts w:ascii="Arial" w:cs="Arial" w:eastAsia="Arial" w:hAnsi="Arial"/>
                <w:sz w:val="18"/>
                <w:szCs w:val="18"/>
                <w:color w:val="auto"/>
              </w:rPr>
              <w:t>—</w:t>
            </w:r>
          </w:p>
        </w:tc>
      </w:tr>
      <w:tr>
        <w:trPr>
          <w:trHeight w:val="324"/>
        </w:trPr>
        <w:tc>
          <w:tcPr>
            <w:tcW w:w="238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b w:val="1"/>
                <w:bCs w:val="1"/>
                <w:color w:val="auto"/>
              </w:rPr>
              <w:t>Vishal Chhibbar</w:t>
            </w:r>
          </w:p>
        </w:tc>
        <w:tc>
          <w:tcPr>
            <w:tcW w:w="3540" w:type="dxa"/>
            <w:vAlign w:val="bottom"/>
            <w:shd w:val="clear" w:color="auto" w:fill="F3F9FF"/>
          </w:tcPr>
          <w:p>
            <w:pPr>
              <w:jc w:val="right"/>
              <w:ind w:right="590"/>
              <w:spacing w:after="0"/>
              <w:rPr>
                <w:sz w:val="20"/>
                <w:szCs w:val="20"/>
                <w:color w:val="auto"/>
              </w:rPr>
            </w:pPr>
            <w:r>
              <w:rPr>
                <w:rFonts w:ascii="Arial" w:cs="Arial" w:eastAsia="Arial" w:hAnsi="Arial"/>
                <w:sz w:val="18"/>
                <w:szCs w:val="18"/>
                <w:color w:val="auto"/>
              </w:rPr>
              <w:t>$450,000</w:t>
            </w:r>
          </w:p>
        </w:tc>
        <w:tc>
          <w:tcPr>
            <w:tcW w:w="2520" w:type="dxa"/>
            <w:vAlign w:val="bottom"/>
            <w:shd w:val="clear" w:color="auto" w:fill="F3F9FF"/>
          </w:tcPr>
          <w:p>
            <w:pPr>
              <w:jc w:val="right"/>
              <w:ind w:right="230"/>
              <w:spacing w:after="0"/>
              <w:rPr>
                <w:sz w:val="20"/>
                <w:szCs w:val="20"/>
                <w:color w:val="auto"/>
              </w:rPr>
            </w:pPr>
            <w:r>
              <w:rPr>
                <w:rFonts w:ascii="Arial" w:cs="Arial" w:eastAsia="Arial" w:hAnsi="Arial"/>
                <w:sz w:val="18"/>
                <w:szCs w:val="18"/>
                <w:color w:val="auto"/>
              </w:rPr>
              <w:t>$450,000</w:t>
            </w:r>
          </w:p>
        </w:tc>
        <w:tc>
          <w:tcPr>
            <w:tcW w:w="2240" w:type="dxa"/>
            <w:vAlign w:val="bottom"/>
            <w:tcBorders>
              <w:right w:val="single" w:sz="8" w:color="C3E6FF"/>
            </w:tcBorders>
            <w:shd w:val="clear" w:color="auto" w:fill="F3F9FF"/>
          </w:tcPr>
          <w:p>
            <w:pPr>
              <w:ind w:left="1920"/>
              <w:spacing w:after="0"/>
              <w:rPr>
                <w:sz w:val="20"/>
                <w:szCs w:val="20"/>
                <w:color w:val="auto"/>
              </w:rPr>
            </w:pPr>
            <w:r>
              <w:rPr>
                <w:rFonts w:ascii="Arial" w:cs="Arial" w:eastAsia="Arial" w:hAnsi="Arial"/>
                <w:sz w:val="18"/>
                <w:szCs w:val="18"/>
                <w:color w:val="auto"/>
              </w:rPr>
              <w:t>—</w:t>
            </w:r>
          </w:p>
        </w:tc>
      </w:tr>
      <w:tr>
        <w:trPr>
          <w:trHeight w:val="94"/>
        </w:trPr>
        <w:tc>
          <w:tcPr>
            <w:tcW w:w="2380" w:type="dxa"/>
            <w:vAlign w:val="bottom"/>
            <w:tcBorders>
              <w:left w:val="single" w:sz="8" w:color="C3E6FF"/>
            </w:tcBorders>
            <w:shd w:val="clear" w:color="auto" w:fill="F3F9FF"/>
          </w:tcPr>
          <w:p>
            <w:pPr>
              <w:spacing w:after="0"/>
              <w:rPr>
                <w:sz w:val="8"/>
                <w:szCs w:val="8"/>
                <w:color w:val="auto"/>
              </w:rPr>
            </w:pPr>
          </w:p>
        </w:tc>
        <w:tc>
          <w:tcPr>
            <w:tcW w:w="3540" w:type="dxa"/>
            <w:vAlign w:val="bottom"/>
            <w:shd w:val="clear" w:color="auto" w:fill="F3F9FF"/>
          </w:tcPr>
          <w:p>
            <w:pPr>
              <w:spacing w:after="0"/>
              <w:rPr>
                <w:sz w:val="8"/>
                <w:szCs w:val="8"/>
                <w:color w:val="auto"/>
              </w:rPr>
            </w:pPr>
          </w:p>
        </w:tc>
        <w:tc>
          <w:tcPr>
            <w:tcW w:w="2520" w:type="dxa"/>
            <w:vAlign w:val="bottom"/>
            <w:shd w:val="clear" w:color="auto" w:fill="F3F9FF"/>
          </w:tcPr>
          <w:p>
            <w:pPr>
              <w:spacing w:after="0"/>
              <w:rPr>
                <w:sz w:val="8"/>
                <w:szCs w:val="8"/>
                <w:color w:val="auto"/>
              </w:rPr>
            </w:pPr>
          </w:p>
        </w:tc>
        <w:tc>
          <w:tcPr>
            <w:tcW w:w="2240" w:type="dxa"/>
            <w:vAlign w:val="bottom"/>
            <w:tcBorders>
              <w:right w:val="single" w:sz="8" w:color="C3E6FF"/>
            </w:tcBorders>
            <w:shd w:val="clear" w:color="auto" w:fill="F3F9FF"/>
          </w:tcPr>
          <w:p>
            <w:pPr>
              <w:spacing w:after="0"/>
              <w:rPr>
                <w:sz w:val="8"/>
                <w:szCs w:val="8"/>
                <w:color w:val="auto"/>
              </w:rPr>
            </w:pPr>
          </w:p>
        </w:tc>
      </w:tr>
      <w:tr>
        <w:trPr>
          <w:trHeight w:val="459"/>
        </w:trPr>
        <w:tc>
          <w:tcPr>
            <w:tcW w:w="2380" w:type="dxa"/>
            <w:vAlign w:val="bottom"/>
            <w:tcBorders>
              <w:left w:val="single" w:sz="8" w:color="C3E6FF"/>
            </w:tcBorders>
          </w:tcPr>
          <w:p>
            <w:pPr>
              <w:ind w:left="140"/>
              <w:spacing w:after="0"/>
              <w:rPr>
                <w:sz w:val="20"/>
                <w:szCs w:val="20"/>
                <w:color w:val="auto"/>
              </w:rPr>
            </w:pPr>
            <w:r>
              <w:rPr>
                <w:rFonts w:ascii="Arial" w:cs="Arial" w:eastAsia="Arial" w:hAnsi="Arial"/>
                <w:sz w:val="18"/>
                <w:szCs w:val="18"/>
                <w:b w:val="1"/>
                <w:bCs w:val="1"/>
                <w:color w:val="auto"/>
              </w:rPr>
              <w:t>Pavan Bagai</w:t>
            </w:r>
            <w:r>
              <w:rPr>
                <w:rFonts w:ascii="Arial" w:cs="Arial" w:eastAsia="Arial" w:hAnsi="Arial"/>
                <w:sz w:val="29"/>
                <w:szCs w:val="29"/>
                <w:b w:val="1"/>
                <w:bCs w:val="1"/>
                <w:color w:val="auto"/>
                <w:vertAlign w:val="superscript"/>
              </w:rPr>
              <w:t>(2)</w:t>
            </w:r>
          </w:p>
        </w:tc>
        <w:tc>
          <w:tcPr>
            <w:tcW w:w="3540" w:type="dxa"/>
            <w:vAlign w:val="bottom"/>
          </w:tcPr>
          <w:p>
            <w:pPr>
              <w:jc w:val="right"/>
              <w:ind w:right="590"/>
              <w:spacing w:after="0"/>
              <w:rPr>
                <w:sz w:val="20"/>
                <w:szCs w:val="20"/>
                <w:color w:val="auto"/>
              </w:rPr>
            </w:pPr>
            <w:r>
              <w:rPr>
                <w:rFonts w:ascii="Arial" w:cs="Arial" w:eastAsia="Arial" w:hAnsi="Arial"/>
                <w:sz w:val="18"/>
                <w:szCs w:val="18"/>
                <w:color w:val="auto"/>
              </w:rPr>
              <w:t>INR26,000,000</w:t>
            </w:r>
            <w:r>
              <w:rPr>
                <w:rFonts w:ascii="Arial" w:cs="Arial" w:eastAsia="Arial" w:hAnsi="Arial"/>
                <w:sz w:val="29"/>
                <w:szCs w:val="29"/>
                <w:color w:val="auto"/>
                <w:vertAlign w:val="superscript"/>
              </w:rPr>
              <w:t>(3)</w:t>
            </w:r>
          </w:p>
        </w:tc>
        <w:tc>
          <w:tcPr>
            <w:tcW w:w="2520" w:type="dxa"/>
            <w:vAlign w:val="bottom"/>
          </w:tcPr>
          <w:p>
            <w:pPr>
              <w:jc w:val="right"/>
              <w:ind w:right="230"/>
              <w:spacing w:after="0"/>
              <w:rPr>
                <w:sz w:val="20"/>
                <w:szCs w:val="20"/>
                <w:color w:val="auto"/>
              </w:rPr>
            </w:pPr>
            <w:r>
              <w:rPr>
                <w:rFonts w:ascii="Arial" w:cs="Arial" w:eastAsia="Arial" w:hAnsi="Arial"/>
                <w:sz w:val="18"/>
                <w:szCs w:val="18"/>
                <w:color w:val="auto"/>
              </w:rPr>
              <w:t>INR26,000,000</w:t>
            </w:r>
            <w:r>
              <w:rPr>
                <w:rFonts w:ascii="Arial" w:cs="Arial" w:eastAsia="Arial" w:hAnsi="Arial"/>
                <w:sz w:val="29"/>
                <w:szCs w:val="29"/>
                <w:color w:val="auto"/>
                <w:vertAlign w:val="superscript"/>
              </w:rPr>
              <w:t>(4)</w:t>
            </w:r>
          </w:p>
        </w:tc>
        <w:tc>
          <w:tcPr>
            <w:tcW w:w="2240" w:type="dxa"/>
            <w:vAlign w:val="bottom"/>
            <w:tcBorders>
              <w:right w:val="single" w:sz="8" w:color="C3E6FF"/>
            </w:tcBorders>
          </w:tcPr>
          <w:p>
            <w:pPr>
              <w:ind w:left="1920"/>
              <w:spacing w:after="0"/>
              <w:rPr>
                <w:sz w:val="20"/>
                <w:szCs w:val="20"/>
                <w:color w:val="auto"/>
              </w:rPr>
            </w:pPr>
            <w:r>
              <w:rPr>
                <w:rFonts w:ascii="Arial" w:cs="Arial" w:eastAsia="Arial" w:hAnsi="Arial"/>
                <w:sz w:val="18"/>
                <w:szCs w:val="18"/>
                <w:color w:val="auto"/>
              </w:rPr>
              <w:t>—</w:t>
            </w:r>
          </w:p>
        </w:tc>
      </w:tr>
      <w:tr>
        <w:trPr>
          <w:trHeight w:val="324"/>
        </w:trPr>
        <w:tc>
          <w:tcPr>
            <w:tcW w:w="238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b w:val="1"/>
                <w:bCs w:val="1"/>
                <w:color w:val="auto"/>
              </w:rPr>
              <w:t>Nalin Miglani</w:t>
            </w:r>
          </w:p>
        </w:tc>
        <w:tc>
          <w:tcPr>
            <w:tcW w:w="3540" w:type="dxa"/>
            <w:vAlign w:val="bottom"/>
            <w:shd w:val="clear" w:color="auto" w:fill="F3F9FF"/>
          </w:tcPr>
          <w:p>
            <w:pPr>
              <w:jc w:val="right"/>
              <w:ind w:right="590"/>
              <w:spacing w:after="0"/>
              <w:rPr>
                <w:sz w:val="20"/>
                <w:szCs w:val="20"/>
                <w:color w:val="auto"/>
              </w:rPr>
            </w:pPr>
            <w:r>
              <w:rPr>
                <w:rFonts w:ascii="Arial" w:cs="Arial" w:eastAsia="Arial" w:hAnsi="Arial"/>
                <w:sz w:val="18"/>
                <w:szCs w:val="18"/>
                <w:color w:val="auto"/>
              </w:rPr>
              <w:t>$450,000</w:t>
            </w:r>
          </w:p>
        </w:tc>
        <w:tc>
          <w:tcPr>
            <w:tcW w:w="2520" w:type="dxa"/>
            <w:vAlign w:val="bottom"/>
            <w:shd w:val="clear" w:color="auto" w:fill="F3F9FF"/>
          </w:tcPr>
          <w:p>
            <w:pPr>
              <w:jc w:val="right"/>
              <w:ind w:right="230"/>
              <w:spacing w:after="0"/>
              <w:rPr>
                <w:sz w:val="20"/>
                <w:szCs w:val="20"/>
                <w:color w:val="auto"/>
              </w:rPr>
            </w:pPr>
            <w:r>
              <w:rPr>
                <w:rFonts w:ascii="Arial" w:cs="Arial" w:eastAsia="Arial" w:hAnsi="Arial"/>
                <w:sz w:val="18"/>
                <w:szCs w:val="18"/>
                <w:color w:val="auto"/>
              </w:rPr>
              <w:t>$450,000</w:t>
            </w:r>
          </w:p>
        </w:tc>
        <w:tc>
          <w:tcPr>
            <w:tcW w:w="2240" w:type="dxa"/>
            <w:vAlign w:val="bottom"/>
            <w:tcBorders>
              <w:right w:val="single" w:sz="8" w:color="C3E6FF"/>
            </w:tcBorders>
            <w:shd w:val="clear" w:color="auto" w:fill="F3F9FF"/>
          </w:tcPr>
          <w:p>
            <w:pPr>
              <w:ind w:left="1920"/>
              <w:spacing w:after="0"/>
              <w:rPr>
                <w:sz w:val="20"/>
                <w:szCs w:val="20"/>
                <w:color w:val="auto"/>
              </w:rPr>
            </w:pPr>
            <w:r>
              <w:rPr>
                <w:rFonts w:ascii="Arial" w:cs="Arial" w:eastAsia="Arial" w:hAnsi="Arial"/>
                <w:sz w:val="18"/>
                <w:szCs w:val="18"/>
                <w:color w:val="auto"/>
              </w:rPr>
              <w:t>—</w:t>
            </w:r>
          </w:p>
        </w:tc>
      </w:tr>
      <w:tr>
        <w:trPr>
          <w:trHeight w:val="94"/>
        </w:trPr>
        <w:tc>
          <w:tcPr>
            <w:tcW w:w="2380" w:type="dxa"/>
            <w:vAlign w:val="bottom"/>
            <w:tcBorders>
              <w:left w:val="single" w:sz="8" w:color="C3E6FF"/>
            </w:tcBorders>
            <w:shd w:val="clear" w:color="auto" w:fill="F3F9FF"/>
          </w:tcPr>
          <w:p>
            <w:pPr>
              <w:spacing w:after="0"/>
              <w:rPr>
                <w:sz w:val="8"/>
                <w:szCs w:val="8"/>
                <w:color w:val="auto"/>
              </w:rPr>
            </w:pPr>
          </w:p>
        </w:tc>
        <w:tc>
          <w:tcPr>
            <w:tcW w:w="3540" w:type="dxa"/>
            <w:vAlign w:val="bottom"/>
            <w:shd w:val="clear" w:color="auto" w:fill="F3F9FF"/>
          </w:tcPr>
          <w:p>
            <w:pPr>
              <w:spacing w:after="0"/>
              <w:rPr>
                <w:sz w:val="8"/>
                <w:szCs w:val="8"/>
                <w:color w:val="auto"/>
              </w:rPr>
            </w:pPr>
          </w:p>
        </w:tc>
        <w:tc>
          <w:tcPr>
            <w:tcW w:w="2520" w:type="dxa"/>
            <w:vAlign w:val="bottom"/>
            <w:shd w:val="clear" w:color="auto" w:fill="F3F9FF"/>
          </w:tcPr>
          <w:p>
            <w:pPr>
              <w:spacing w:after="0"/>
              <w:rPr>
                <w:sz w:val="8"/>
                <w:szCs w:val="8"/>
                <w:color w:val="auto"/>
              </w:rPr>
            </w:pPr>
          </w:p>
        </w:tc>
        <w:tc>
          <w:tcPr>
            <w:tcW w:w="2240" w:type="dxa"/>
            <w:vAlign w:val="bottom"/>
            <w:tcBorders>
              <w:right w:val="single" w:sz="8" w:color="C3E6FF"/>
            </w:tcBorders>
            <w:shd w:val="clear" w:color="auto" w:fill="F3F9FF"/>
          </w:tcPr>
          <w:p>
            <w:pPr>
              <w:spacing w:after="0"/>
              <w:rPr>
                <w:sz w:val="8"/>
                <w:szCs w:val="8"/>
                <w:color w:val="auto"/>
              </w:rPr>
            </w:pPr>
          </w:p>
        </w:tc>
      </w:tr>
      <w:tr>
        <w:trPr>
          <w:trHeight w:val="459"/>
        </w:trPr>
        <w:tc>
          <w:tcPr>
            <w:tcW w:w="2380" w:type="dxa"/>
            <w:vAlign w:val="bottom"/>
            <w:tcBorders>
              <w:left w:val="single" w:sz="8" w:color="C3E6FF"/>
            </w:tcBorders>
          </w:tcPr>
          <w:p>
            <w:pPr>
              <w:ind w:left="140"/>
              <w:spacing w:after="0"/>
              <w:rPr>
                <w:sz w:val="20"/>
                <w:szCs w:val="20"/>
                <w:color w:val="auto"/>
              </w:rPr>
            </w:pPr>
            <w:r>
              <w:rPr>
                <w:rFonts w:ascii="Arial" w:cs="Arial" w:eastAsia="Arial" w:hAnsi="Arial"/>
                <w:sz w:val="18"/>
                <w:szCs w:val="18"/>
                <w:b w:val="1"/>
                <w:bCs w:val="1"/>
                <w:color w:val="auto"/>
              </w:rPr>
              <w:t>Vikas Bhalla</w:t>
            </w:r>
            <w:r>
              <w:rPr>
                <w:rFonts w:ascii="Arial" w:cs="Arial" w:eastAsia="Arial" w:hAnsi="Arial"/>
                <w:sz w:val="29"/>
                <w:szCs w:val="29"/>
                <w:b w:val="1"/>
                <w:bCs w:val="1"/>
                <w:color w:val="auto"/>
                <w:vertAlign w:val="superscript"/>
              </w:rPr>
              <w:t>(2)</w:t>
            </w:r>
          </w:p>
        </w:tc>
        <w:tc>
          <w:tcPr>
            <w:tcW w:w="3540" w:type="dxa"/>
            <w:vAlign w:val="bottom"/>
          </w:tcPr>
          <w:p>
            <w:pPr>
              <w:jc w:val="right"/>
              <w:ind w:right="590"/>
              <w:spacing w:after="0"/>
              <w:rPr>
                <w:sz w:val="20"/>
                <w:szCs w:val="20"/>
                <w:color w:val="auto"/>
              </w:rPr>
            </w:pPr>
            <w:r>
              <w:rPr>
                <w:rFonts w:ascii="Arial" w:cs="Arial" w:eastAsia="Arial" w:hAnsi="Arial"/>
                <w:sz w:val="18"/>
                <w:szCs w:val="18"/>
                <w:color w:val="auto"/>
              </w:rPr>
              <w:t>INR22,000,000</w:t>
            </w:r>
            <w:r>
              <w:rPr>
                <w:rFonts w:ascii="Arial" w:cs="Arial" w:eastAsia="Arial" w:hAnsi="Arial"/>
                <w:sz w:val="29"/>
                <w:szCs w:val="29"/>
                <w:color w:val="auto"/>
                <w:vertAlign w:val="superscript"/>
              </w:rPr>
              <w:t>(5)</w:t>
            </w:r>
          </w:p>
        </w:tc>
        <w:tc>
          <w:tcPr>
            <w:tcW w:w="2520" w:type="dxa"/>
            <w:vAlign w:val="bottom"/>
          </w:tcPr>
          <w:p>
            <w:pPr>
              <w:jc w:val="right"/>
              <w:ind w:right="230"/>
              <w:spacing w:after="0"/>
              <w:rPr>
                <w:sz w:val="20"/>
                <w:szCs w:val="20"/>
                <w:color w:val="auto"/>
              </w:rPr>
            </w:pPr>
            <w:r>
              <w:rPr>
                <w:rFonts w:ascii="Arial" w:cs="Arial" w:eastAsia="Arial" w:hAnsi="Arial"/>
                <w:sz w:val="18"/>
                <w:szCs w:val="18"/>
                <w:color w:val="auto"/>
              </w:rPr>
              <w:t>INR22,000,000</w:t>
            </w:r>
            <w:r>
              <w:rPr>
                <w:rFonts w:ascii="Arial" w:cs="Arial" w:eastAsia="Arial" w:hAnsi="Arial"/>
                <w:sz w:val="29"/>
                <w:szCs w:val="29"/>
                <w:color w:val="auto"/>
                <w:vertAlign w:val="superscript"/>
              </w:rPr>
              <w:t>(6)</w:t>
            </w:r>
          </w:p>
        </w:tc>
        <w:tc>
          <w:tcPr>
            <w:tcW w:w="2240" w:type="dxa"/>
            <w:vAlign w:val="bottom"/>
            <w:tcBorders>
              <w:right w:val="single" w:sz="8" w:color="C3E6FF"/>
            </w:tcBorders>
          </w:tcPr>
          <w:p>
            <w:pPr>
              <w:ind w:left="1920"/>
              <w:spacing w:after="0"/>
              <w:rPr>
                <w:sz w:val="20"/>
                <w:szCs w:val="20"/>
                <w:color w:val="auto"/>
              </w:rPr>
            </w:pPr>
            <w:r>
              <w:rPr>
                <w:rFonts w:ascii="Arial" w:cs="Arial" w:eastAsia="Arial" w:hAnsi="Arial"/>
                <w:sz w:val="18"/>
                <w:szCs w:val="18"/>
                <w:color w:val="auto"/>
              </w:rPr>
              <w:t>—</w:t>
            </w:r>
          </w:p>
        </w:tc>
      </w:tr>
      <w:tr>
        <w:trPr>
          <w:trHeight w:val="324"/>
        </w:trPr>
        <w:tc>
          <w:tcPr>
            <w:tcW w:w="238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b w:val="1"/>
                <w:bCs w:val="1"/>
                <w:color w:val="auto"/>
              </w:rPr>
              <w:t>Samuel Meckey</w:t>
            </w:r>
          </w:p>
        </w:tc>
        <w:tc>
          <w:tcPr>
            <w:tcW w:w="3540" w:type="dxa"/>
            <w:vAlign w:val="bottom"/>
            <w:shd w:val="clear" w:color="auto" w:fill="F3F9FF"/>
          </w:tcPr>
          <w:p>
            <w:pPr>
              <w:jc w:val="right"/>
              <w:ind w:right="590"/>
              <w:spacing w:after="0"/>
              <w:rPr>
                <w:sz w:val="20"/>
                <w:szCs w:val="20"/>
                <w:color w:val="auto"/>
              </w:rPr>
            </w:pPr>
            <w:r>
              <w:rPr>
                <w:rFonts w:ascii="Arial" w:cs="Arial" w:eastAsia="Arial" w:hAnsi="Arial"/>
                <w:sz w:val="18"/>
                <w:szCs w:val="18"/>
                <w:color w:val="auto"/>
              </w:rPr>
              <w:t>$425,000</w:t>
            </w:r>
          </w:p>
        </w:tc>
        <w:tc>
          <w:tcPr>
            <w:tcW w:w="2520" w:type="dxa"/>
            <w:vAlign w:val="bottom"/>
            <w:shd w:val="clear" w:color="auto" w:fill="F3F9FF"/>
          </w:tcPr>
          <w:p>
            <w:pPr>
              <w:jc w:val="right"/>
              <w:ind w:right="230"/>
              <w:spacing w:after="0"/>
              <w:rPr>
                <w:sz w:val="20"/>
                <w:szCs w:val="20"/>
                <w:color w:val="auto"/>
              </w:rPr>
            </w:pPr>
            <w:r>
              <w:rPr>
                <w:rFonts w:ascii="Arial" w:cs="Arial" w:eastAsia="Arial" w:hAnsi="Arial"/>
                <w:sz w:val="18"/>
                <w:szCs w:val="18"/>
                <w:color w:val="auto"/>
              </w:rPr>
              <w:t>$425,000</w:t>
            </w:r>
          </w:p>
        </w:tc>
        <w:tc>
          <w:tcPr>
            <w:tcW w:w="2240" w:type="dxa"/>
            <w:vAlign w:val="bottom"/>
            <w:tcBorders>
              <w:right w:val="single" w:sz="8" w:color="C3E6FF"/>
            </w:tcBorders>
            <w:shd w:val="clear" w:color="auto" w:fill="F3F9FF"/>
          </w:tcPr>
          <w:p>
            <w:pPr>
              <w:ind w:left="1920"/>
              <w:spacing w:after="0"/>
              <w:rPr>
                <w:sz w:val="20"/>
                <w:szCs w:val="20"/>
                <w:color w:val="auto"/>
              </w:rPr>
            </w:pPr>
            <w:r>
              <w:rPr>
                <w:rFonts w:ascii="Arial" w:cs="Arial" w:eastAsia="Arial" w:hAnsi="Arial"/>
                <w:sz w:val="18"/>
                <w:szCs w:val="18"/>
                <w:color w:val="auto"/>
              </w:rPr>
              <w:t>—</w:t>
            </w:r>
          </w:p>
        </w:tc>
      </w:tr>
      <w:tr>
        <w:trPr>
          <w:trHeight w:val="101"/>
        </w:trPr>
        <w:tc>
          <w:tcPr>
            <w:tcW w:w="2380" w:type="dxa"/>
            <w:vAlign w:val="bottom"/>
            <w:tcBorders>
              <w:left w:val="single" w:sz="8" w:color="C3E6FF"/>
              <w:bottom w:val="single" w:sz="8" w:color="C3E6FF"/>
            </w:tcBorders>
            <w:shd w:val="clear" w:color="auto" w:fill="F3F9FF"/>
          </w:tcPr>
          <w:p>
            <w:pPr>
              <w:spacing w:after="0"/>
              <w:rPr>
                <w:sz w:val="8"/>
                <w:szCs w:val="8"/>
                <w:color w:val="auto"/>
              </w:rPr>
            </w:pPr>
          </w:p>
        </w:tc>
        <w:tc>
          <w:tcPr>
            <w:tcW w:w="3540" w:type="dxa"/>
            <w:vAlign w:val="bottom"/>
            <w:tcBorders>
              <w:bottom w:val="single" w:sz="8" w:color="C3E6FF"/>
            </w:tcBorders>
            <w:shd w:val="clear" w:color="auto" w:fill="F3F9FF"/>
          </w:tcPr>
          <w:p>
            <w:pPr>
              <w:spacing w:after="0"/>
              <w:rPr>
                <w:sz w:val="8"/>
                <w:szCs w:val="8"/>
                <w:color w:val="auto"/>
              </w:rPr>
            </w:pPr>
          </w:p>
        </w:tc>
        <w:tc>
          <w:tcPr>
            <w:tcW w:w="2520" w:type="dxa"/>
            <w:vAlign w:val="bottom"/>
            <w:tcBorders>
              <w:bottom w:val="single" w:sz="8" w:color="C3E6FF"/>
            </w:tcBorders>
            <w:shd w:val="clear" w:color="auto" w:fill="F3F9FF"/>
          </w:tcPr>
          <w:p>
            <w:pPr>
              <w:spacing w:after="0"/>
              <w:rPr>
                <w:sz w:val="8"/>
                <w:szCs w:val="8"/>
                <w:color w:val="auto"/>
              </w:rPr>
            </w:pPr>
          </w:p>
        </w:tc>
        <w:tc>
          <w:tcPr>
            <w:tcW w:w="2240" w:type="dxa"/>
            <w:vAlign w:val="bottom"/>
            <w:tcBorders>
              <w:bottom w:val="single" w:sz="8" w:color="C3E6FF"/>
              <w:right w:val="single" w:sz="8" w:color="C3E6FF"/>
            </w:tcBorders>
            <w:shd w:val="clear" w:color="auto" w:fill="F3F9FF"/>
          </w:tcPr>
          <w:p>
            <w:pPr>
              <w:spacing w:after="0"/>
              <w:rPr>
                <w:sz w:val="8"/>
                <w:szCs w:val="8"/>
                <w:color w:val="auto"/>
              </w:rPr>
            </w:pPr>
          </w:p>
        </w:tc>
      </w:tr>
    </w:tbl>
    <w:p>
      <w:pPr>
        <w:spacing w:after="0" w:line="35"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8"/>
          <w:szCs w:val="18"/>
          <w:color w:val="262626"/>
        </w:rPr>
      </w:pPr>
      <w:r>
        <w:rPr>
          <w:rFonts w:ascii="Arial" w:cs="Arial" w:eastAsia="Arial" w:hAnsi="Arial"/>
          <w:sz w:val="18"/>
          <w:szCs w:val="18"/>
          <w:color w:val="262626"/>
        </w:rPr>
        <w:t>Mr. Kapoor’s base salary was revised effective January 1, 2018. There was no change in 2019.</w:t>
      </w:r>
    </w:p>
    <w:p>
      <w:pPr>
        <w:ind w:left="280" w:hanging="272"/>
        <w:spacing w:after="0" w:line="234" w:lineRule="auto"/>
        <w:tabs>
          <w:tab w:leader="none" w:pos="280" w:val="left"/>
        </w:tabs>
        <w:numPr>
          <w:ilvl w:val="0"/>
          <w:numId w:val="79"/>
        </w:numPr>
        <w:rPr>
          <w:rFonts w:ascii="Arial" w:cs="Arial" w:eastAsia="Arial" w:hAnsi="Arial"/>
          <w:sz w:val="18"/>
          <w:szCs w:val="18"/>
          <w:color w:val="262626"/>
        </w:rPr>
      </w:pPr>
      <w:r>
        <w:rPr>
          <w:rFonts w:ascii="Arial" w:cs="Arial" w:eastAsia="Arial" w:hAnsi="Arial"/>
          <w:sz w:val="18"/>
          <w:szCs w:val="18"/>
          <w:color w:val="262626"/>
        </w:rPr>
        <w:t>The fixed compensation paid to Messrs. Bagai and Bhalla is paid in Indian Rupees (INR).</w:t>
      </w:r>
    </w:p>
    <w:p>
      <w:pPr>
        <w:ind w:left="280" w:hanging="272"/>
        <w:spacing w:after="0" w:line="234" w:lineRule="auto"/>
        <w:tabs>
          <w:tab w:leader="none" w:pos="280" w:val="left"/>
        </w:tabs>
        <w:numPr>
          <w:ilvl w:val="0"/>
          <w:numId w:val="79"/>
        </w:numPr>
        <w:rPr>
          <w:rFonts w:ascii="Arial" w:cs="Arial" w:eastAsia="Arial" w:hAnsi="Arial"/>
          <w:sz w:val="18"/>
          <w:szCs w:val="18"/>
          <w:color w:val="262626"/>
        </w:rPr>
      </w:pPr>
      <w:r>
        <w:rPr>
          <w:rFonts w:ascii="Arial" w:cs="Arial" w:eastAsia="Arial" w:hAnsi="Arial"/>
          <w:sz w:val="18"/>
          <w:szCs w:val="18"/>
          <w:color w:val="262626"/>
        </w:rPr>
        <w:t>Equivalent to $407,077, converted at 63.87 INR to 1 USD, which was the exchange rate on December 31, 2018.</w:t>
      </w:r>
    </w:p>
    <w:p>
      <w:pPr>
        <w:ind w:left="280" w:hanging="272"/>
        <w:spacing w:after="0" w:line="234" w:lineRule="auto"/>
        <w:tabs>
          <w:tab w:leader="none" w:pos="280" w:val="left"/>
        </w:tabs>
        <w:numPr>
          <w:ilvl w:val="0"/>
          <w:numId w:val="79"/>
        </w:numPr>
        <w:rPr>
          <w:rFonts w:ascii="Arial" w:cs="Arial" w:eastAsia="Arial" w:hAnsi="Arial"/>
          <w:sz w:val="18"/>
          <w:szCs w:val="18"/>
          <w:color w:val="262626"/>
        </w:rPr>
      </w:pPr>
      <w:r>
        <w:rPr>
          <w:rFonts w:ascii="Arial" w:cs="Arial" w:eastAsia="Arial" w:hAnsi="Arial"/>
          <w:sz w:val="18"/>
          <w:szCs w:val="18"/>
          <w:color w:val="262626"/>
        </w:rPr>
        <w:t>Equivalent to $364,248, converted at 71.38 INR to 1 USD, which was the exchange rate on December 31, 2019.</w:t>
      </w:r>
    </w:p>
    <w:p>
      <w:pPr>
        <w:ind w:left="280" w:hanging="272"/>
        <w:spacing w:after="0" w:line="234" w:lineRule="auto"/>
        <w:tabs>
          <w:tab w:leader="none" w:pos="280" w:val="left"/>
        </w:tabs>
        <w:numPr>
          <w:ilvl w:val="0"/>
          <w:numId w:val="79"/>
        </w:numPr>
        <w:rPr>
          <w:rFonts w:ascii="Arial" w:cs="Arial" w:eastAsia="Arial" w:hAnsi="Arial"/>
          <w:sz w:val="18"/>
          <w:szCs w:val="18"/>
          <w:color w:val="262626"/>
        </w:rPr>
      </w:pPr>
      <w:r>
        <w:rPr>
          <w:rFonts w:ascii="Arial" w:cs="Arial" w:eastAsia="Arial" w:hAnsi="Arial"/>
          <w:sz w:val="18"/>
          <w:szCs w:val="18"/>
          <w:color w:val="262626"/>
        </w:rPr>
        <w:t>Equivalent to $344,450, converted at 63.87 INR to 1 USD, which was the exchange rate on December 31, 2018.</w:t>
      </w:r>
    </w:p>
    <w:p>
      <w:pPr>
        <w:ind w:left="280" w:hanging="272"/>
        <w:spacing w:after="0"/>
        <w:tabs>
          <w:tab w:leader="none" w:pos="280" w:val="left"/>
        </w:tabs>
        <w:numPr>
          <w:ilvl w:val="0"/>
          <w:numId w:val="79"/>
        </w:numPr>
        <w:rPr>
          <w:rFonts w:ascii="Arial" w:cs="Arial" w:eastAsia="Arial" w:hAnsi="Arial"/>
          <w:sz w:val="18"/>
          <w:szCs w:val="18"/>
          <w:color w:val="262626"/>
        </w:rPr>
      </w:pPr>
      <w:r>
        <w:rPr>
          <w:rFonts w:ascii="Arial" w:cs="Arial" w:eastAsia="Arial" w:hAnsi="Arial"/>
          <w:sz w:val="18"/>
          <w:szCs w:val="18"/>
          <w:color w:val="262626"/>
        </w:rPr>
        <w:t>Equivalent to $308,210, converted at 71.38 INR to 1 USD, which was the exchange rate on December 31, 2019.</w:t>
      </w:r>
    </w:p>
    <w:p>
      <w:pPr>
        <w:spacing w:after="0" w:line="33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Incentive Bonus</w:t>
      </w:r>
    </w:p>
    <w:p>
      <w:pPr>
        <w:spacing w:after="0" w:line="22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262626"/>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2018 for the year 2019 for bonuses payable in respect of 2019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our assessment of each named executive officer’s performance relative to his predetermined individual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Although the Compensation Committee has not historically done so, it has the discretion to adjust an award payout from the amount yielded by the formula at the end of the performance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262626"/>
        </w:rPr>
        <w:t>Our Compensation Committee considered the following when establishing the awards for 2019:</w:t>
      </w:r>
    </w:p>
    <w:p>
      <w:pPr>
        <w:spacing w:after="0" w:line="198" w:lineRule="exact"/>
        <w:rPr>
          <w:sz w:val="20"/>
          <w:szCs w:val="20"/>
          <w:color w:val="auto"/>
        </w:rPr>
      </w:pPr>
    </w:p>
    <w:p>
      <w:pPr>
        <w:ind w:left="660" w:right="60" w:hanging="328"/>
        <w:spacing w:after="0" w:line="237" w:lineRule="auto"/>
        <w:tabs>
          <w:tab w:leader="none" w:pos="660" w:val="left"/>
        </w:tabs>
        <w:numPr>
          <w:ilvl w:val="0"/>
          <w:numId w:val="80"/>
        </w:numPr>
        <w:rPr>
          <w:rFonts w:ascii="Arial" w:cs="Arial" w:eastAsia="Arial" w:hAnsi="Arial"/>
          <w:sz w:val="18"/>
          <w:szCs w:val="18"/>
          <w:color w:val="FF6503"/>
        </w:rPr>
      </w:pPr>
      <w:r>
        <w:rPr>
          <w:rFonts w:ascii="Arial" w:cs="Arial" w:eastAsia="Arial" w:hAnsi="Arial"/>
          <w:sz w:val="18"/>
          <w:szCs w:val="18"/>
          <w:color w:val="262626"/>
        </w:rPr>
        <w:t>Bonus Targets. Bonus targets were established based on job responsibilities and comparable market data. Our objective was to set bonus 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2019, our Compensation Committee established the following bonus targets (expressed as a percentage of base salary or annual fixed compensation) as well as maximum bonus targets for each named executive officer.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680" w:type="dxa"/>
            <w:vAlign w:val="bottom"/>
            <w:tcBorders>
              <w:right w:val="single" w:sz="8" w:color="C3E6FF"/>
            </w:tcBorders>
          </w:tcPr>
          <w:p>
            <w:pPr>
              <w:spacing w:after="0"/>
              <w:rPr>
                <w:sz w:val="24"/>
                <w:szCs w:val="24"/>
                <w:color w:val="auto"/>
              </w:rPr>
            </w:pPr>
          </w:p>
        </w:tc>
        <w:tc>
          <w:tcPr>
            <w:tcW w:w="1680" w:type="dxa"/>
            <w:vAlign w:val="bottom"/>
            <w:tcBorders>
              <w:top w:val="single" w:sz="8" w:color="C3E6FF"/>
            </w:tcBorders>
            <w:shd w:val="clear" w:color="auto" w:fill="0093FF"/>
          </w:tcPr>
          <w:p>
            <w:pPr>
              <w:ind w:left="100"/>
              <w:spacing w:after="0"/>
              <w:rPr>
                <w:sz w:val="20"/>
                <w:szCs w:val="20"/>
                <w:color w:val="auto"/>
              </w:rPr>
            </w:pPr>
            <w:r>
              <w:rPr>
                <w:rFonts w:ascii="Arial" w:cs="Arial" w:eastAsia="Arial" w:hAnsi="Arial"/>
                <w:sz w:val="18"/>
                <w:szCs w:val="18"/>
                <w:b w:val="1"/>
                <w:bCs w:val="1"/>
                <w:color w:val="FFFFFF"/>
              </w:rPr>
              <w:t>Name</w:t>
            </w:r>
          </w:p>
        </w:tc>
        <w:tc>
          <w:tcPr>
            <w:tcW w:w="3280" w:type="dxa"/>
            <w:vAlign w:val="bottom"/>
            <w:tcBorders>
              <w:top w:val="single" w:sz="8" w:color="C3E6FF"/>
            </w:tcBorders>
            <w:shd w:val="clear" w:color="auto" w:fill="0093FF"/>
          </w:tcPr>
          <w:p>
            <w:pPr>
              <w:ind w:left="200"/>
              <w:spacing w:after="0"/>
              <w:rPr>
                <w:sz w:val="20"/>
                <w:szCs w:val="20"/>
                <w:color w:val="auto"/>
              </w:rPr>
            </w:pPr>
            <w:r>
              <w:rPr>
                <w:rFonts w:ascii="Arial" w:cs="Arial" w:eastAsia="Arial" w:hAnsi="Arial"/>
                <w:sz w:val="18"/>
                <w:szCs w:val="18"/>
                <w:b w:val="1"/>
                <w:bCs w:val="1"/>
                <w:color w:val="FFFFFF"/>
              </w:rPr>
              <w:t>Bonus Target</w:t>
            </w:r>
          </w:p>
        </w:tc>
        <w:tc>
          <w:tcPr>
            <w:tcW w:w="4000" w:type="dxa"/>
            <w:vAlign w:val="bottom"/>
            <w:tcBorders>
              <w:top w:val="single" w:sz="8" w:color="C3E6FF"/>
              <w:right w:val="single" w:sz="8" w:color="C3E6FF"/>
            </w:tcBorders>
            <w:shd w:val="clear" w:color="auto" w:fill="0093FF"/>
          </w:tcPr>
          <w:p>
            <w:pPr>
              <w:ind w:left="320"/>
              <w:spacing w:after="0"/>
              <w:rPr>
                <w:sz w:val="20"/>
                <w:szCs w:val="20"/>
                <w:color w:val="auto"/>
              </w:rPr>
            </w:pPr>
            <w:r>
              <w:rPr>
                <w:rFonts w:ascii="Arial" w:cs="Arial" w:eastAsia="Arial" w:hAnsi="Arial"/>
                <w:sz w:val="18"/>
                <w:szCs w:val="18"/>
                <w:b w:val="1"/>
                <w:bCs w:val="1"/>
                <w:color w:val="FFFFFF"/>
              </w:rPr>
              <w:t>Bonus Maximum</w:t>
            </w:r>
          </w:p>
        </w:tc>
        <w:tc>
          <w:tcPr>
            <w:tcW w:w="1600" w:type="dxa"/>
            <w:vAlign w:val="bottom"/>
          </w:tcPr>
          <w:p>
            <w:pPr>
              <w:spacing w:after="0"/>
              <w:rPr>
                <w:sz w:val="24"/>
                <w:szCs w:val="24"/>
                <w:color w:val="auto"/>
              </w:rPr>
            </w:pPr>
          </w:p>
        </w:tc>
      </w:tr>
      <w:tr>
        <w:trPr>
          <w:trHeight w:val="95"/>
        </w:trPr>
        <w:tc>
          <w:tcPr>
            <w:tcW w:w="680" w:type="dxa"/>
            <w:vAlign w:val="bottom"/>
            <w:tcBorders>
              <w:right w:val="single" w:sz="8" w:color="C3E6FF"/>
            </w:tcBorders>
          </w:tcPr>
          <w:p>
            <w:pPr>
              <w:spacing w:after="0"/>
              <w:rPr>
                <w:sz w:val="8"/>
                <w:szCs w:val="8"/>
                <w:color w:val="auto"/>
              </w:rPr>
            </w:pPr>
          </w:p>
        </w:tc>
        <w:tc>
          <w:tcPr>
            <w:tcW w:w="1680" w:type="dxa"/>
            <w:vAlign w:val="bottom"/>
            <w:shd w:val="clear" w:color="auto" w:fill="0093FF"/>
          </w:tcPr>
          <w:p>
            <w:pPr>
              <w:spacing w:after="0"/>
              <w:rPr>
                <w:sz w:val="8"/>
                <w:szCs w:val="8"/>
                <w:color w:val="auto"/>
              </w:rPr>
            </w:pPr>
          </w:p>
        </w:tc>
        <w:tc>
          <w:tcPr>
            <w:tcW w:w="3280" w:type="dxa"/>
            <w:vAlign w:val="bottom"/>
            <w:shd w:val="clear" w:color="auto" w:fill="0093FF"/>
          </w:tcPr>
          <w:p>
            <w:pPr>
              <w:spacing w:after="0"/>
              <w:rPr>
                <w:sz w:val="8"/>
                <w:szCs w:val="8"/>
                <w:color w:val="auto"/>
              </w:rPr>
            </w:pPr>
          </w:p>
        </w:tc>
        <w:tc>
          <w:tcPr>
            <w:tcW w:w="4000" w:type="dxa"/>
            <w:vAlign w:val="bottom"/>
            <w:tcBorders>
              <w:right w:val="single" w:sz="8" w:color="C3E6FF"/>
            </w:tcBorders>
            <w:shd w:val="clear" w:color="auto" w:fill="0093FF"/>
          </w:tcPr>
          <w:p>
            <w:pPr>
              <w:spacing w:after="0"/>
              <w:rPr>
                <w:sz w:val="8"/>
                <w:szCs w:val="8"/>
                <w:color w:val="auto"/>
              </w:rPr>
            </w:pPr>
          </w:p>
        </w:tc>
        <w:tc>
          <w:tcPr>
            <w:tcW w:w="1600" w:type="dxa"/>
            <w:vAlign w:val="bottom"/>
          </w:tcPr>
          <w:p>
            <w:pPr>
              <w:spacing w:after="0"/>
              <w:rPr>
                <w:sz w:val="8"/>
                <w:szCs w:val="8"/>
                <w:color w:val="auto"/>
              </w:rPr>
            </w:pPr>
          </w:p>
        </w:tc>
      </w:tr>
      <w:tr>
        <w:trPr>
          <w:trHeight w:val="324"/>
        </w:trPr>
        <w:tc>
          <w:tcPr>
            <w:tcW w:w="680" w:type="dxa"/>
            <w:vAlign w:val="bottom"/>
            <w:tcBorders>
              <w:right w:val="single" w:sz="8" w:color="C3E6FF"/>
            </w:tcBorders>
          </w:tcPr>
          <w:p>
            <w:pPr>
              <w:spacing w:after="0"/>
              <w:rPr>
                <w:sz w:val="24"/>
                <w:szCs w:val="24"/>
                <w:color w:val="auto"/>
              </w:rPr>
            </w:pPr>
          </w:p>
        </w:tc>
        <w:tc>
          <w:tcPr>
            <w:tcW w:w="168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Rohit Kapoor</w:t>
            </w:r>
          </w:p>
        </w:tc>
        <w:tc>
          <w:tcPr>
            <w:tcW w:w="3280" w:type="dxa"/>
            <w:vAlign w:val="bottom"/>
            <w:shd w:val="clear" w:color="auto" w:fill="F0F8FF"/>
          </w:tcPr>
          <w:p>
            <w:pPr>
              <w:ind w:left="200"/>
              <w:spacing w:after="0"/>
              <w:rPr>
                <w:sz w:val="20"/>
                <w:szCs w:val="20"/>
                <w:color w:val="auto"/>
              </w:rPr>
            </w:pPr>
            <w:r>
              <w:rPr>
                <w:rFonts w:ascii="Arial" w:cs="Arial" w:eastAsia="Arial" w:hAnsi="Arial"/>
                <w:sz w:val="18"/>
                <w:szCs w:val="18"/>
                <w:color w:val="auto"/>
              </w:rPr>
              <w:t>150% of base salary</w:t>
            </w:r>
          </w:p>
        </w:tc>
        <w:tc>
          <w:tcPr>
            <w:tcW w:w="4000" w:type="dxa"/>
            <w:vAlign w:val="bottom"/>
            <w:tcBorders>
              <w:right w:val="single" w:sz="8" w:color="C3E6FF"/>
            </w:tcBorders>
            <w:shd w:val="clear" w:color="auto" w:fill="F0F8FF"/>
          </w:tcPr>
          <w:p>
            <w:pPr>
              <w:ind w:left="320"/>
              <w:spacing w:after="0"/>
              <w:rPr>
                <w:sz w:val="20"/>
                <w:szCs w:val="20"/>
                <w:color w:val="auto"/>
              </w:rPr>
            </w:pPr>
            <w:r>
              <w:rPr>
                <w:rFonts w:ascii="Arial" w:cs="Arial" w:eastAsia="Arial" w:hAnsi="Arial"/>
                <w:sz w:val="18"/>
                <w:szCs w:val="18"/>
                <w:color w:val="auto"/>
              </w:rPr>
              <w:t>310% of base salary</w:t>
            </w:r>
          </w:p>
        </w:tc>
        <w:tc>
          <w:tcPr>
            <w:tcW w:w="1600" w:type="dxa"/>
            <w:vAlign w:val="bottom"/>
          </w:tcPr>
          <w:p>
            <w:pPr>
              <w:spacing w:after="0"/>
              <w:rPr>
                <w:sz w:val="24"/>
                <w:szCs w:val="24"/>
                <w:color w:val="auto"/>
              </w:rPr>
            </w:pPr>
          </w:p>
        </w:tc>
      </w:tr>
      <w:tr>
        <w:trPr>
          <w:trHeight w:val="94"/>
        </w:trPr>
        <w:tc>
          <w:tcPr>
            <w:tcW w:w="680" w:type="dxa"/>
            <w:vAlign w:val="bottom"/>
            <w:tcBorders>
              <w:right w:val="single" w:sz="8" w:color="C3E6FF"/>
            </w:tcBorders>
          </w:tcPr>
          <w:p>
            <w:pPr>
              <w:spacing w:after="0"/>
              <w:rPr>
                <w:sz w:val="8"/>
                <w:szCs w:val="8"/>
                <w:color w:val="auto"/>
              </w:rPr>
            </w:pPr>
          </w:p>
        </w:tc>
        <w:tc>
          <w:tcPr>
            <w:tcW w:w="1680" w:type="dxa"/>
            <w:vAlign w:val="bottom"/>
            <w:shd w:val="clear" w:color="auto" w:fill="F0F8FF"/>
          </w:tcPr>
          <w:p>
            <w:pPr>
              <w:spacing w:after="0"/>
              <w:rPr>
                <w:sz w:val="8"/>
                <w:szCs w:val="8"/>
                <w:color w:val="auto"/>
              </w:rPr>
            </w:pPr>
          </w:p>
        </w:tc>
        <w:tc>
          <w:tcPr>
            <w:tcW w:w="3280" w:type="dxa"/>
            <w:vAlign w:val="bottom"/>
            <w:shd w:val="clear" w:color="auto" w:fill="F0F8FF"/>
          </w:tcPr>
          <w:p>
            <w:pPr>
              <w:spacing w:after="0"/>
              <w:rPr>
                <w:sz w:val="8"/>
                <w:szCs w:val="8"/>
                <w:color w:val="auto"/>
              </w:rPr>
            </w:pPr>
          </w:p>
        </w:tc>
        <w:tc>
          <w:tcPr>
            <w:tcW w:w="4000" w:type="dxa"/>
            <w:vAlign w:val="bottom"/>
            <w:tcBorders>
              <w:right w:val="single" w:sz="8" w:color="C3E6FF"/>
            </w:tcBorders>
            <w:shd w:val="clear" w:color="auto" w:fill="F0F8FF"/>
          </w:tcPr>
          <w:p>
            <w:pPr>
              <w:spacing w:after="0"/>
              <w:rPr>
                <w:sz w:val="8"/>
                <w:szCs w:val="8"/>
                <w:color w:val="auto"/>
              </w:rPr>
            </w:pPr>
          </w:p>
        </w:tc>
        <w:tc>
          <w:tcPr>
            <w:tcW w:w="1600" w:type="dxa"/>
            <w:vAlign w:val="bottom"/>
          </w:tcPr>
          <w:p>
            <w:pPr>
              <w:spacing w:after="0"/>
              <w:rPr>
                <w:sz w:val="8"/>
                <w:szCs w:val="8"/>
                <w:color w:val="auto"/>
              </w:rPr>
            </w:pPr>
          </w:p>
        </w:tc>
      </w:tr>
      <w:tr>
        <w:trPr>
          <w:trHeight w:val="324"/>
        </w:trPr>
        <w:tc>
          <w:tcPr>
            <w:tcW w:w="680" w:type="dxa"/>
            <w:vAlign w:val="bottom"/>
            <w:tcBorders>
              <w:right w:val="single" w:sz="8" w:color="C3E6FF"/>
            </w:tcBorders>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rPr>
              <w:t>Vishal Chhibbar</w:t>
            </w:r>
          </w:p>
        </w:tc>
        <w:tc>
          <w:tcPr>
            <w:tcW w:w="3280" w:type="dxa"/>
            <w:vAlign w:val="bottom"/>
          </w:tcPr>
          <w:p>
            <w:pPr>
              <w:ind w:left="200"/>
              <w:spacing w:after="0"/>
              <w:rPr>
                <w:sz w:val="20"/>
                <w:szCs w:val="20"/>
                <w:color w:val="auto"/>
              </w:rPr>
            </w:pPr>
            <w:r>
              <w:rPr>
                <w:rFonts w:ascii="Arial" w:cs="Arial" w:eastAsia="Arial" w:hAnsi="Arial"/>
                <w:sz w:val="18"/>
                <w:szCs w:val="18"/>
                <w:color w:val="auto"/>
              </w:rPr>
              <w:t>75% of base salary</w:t>
            </w:r>
          </w:p>
        </w:tc>
        <w:tc>
          <w:tcPr>
            <w:tcW w:w="4000" w:type="dxa"/>
            <w:vAlign w:val="bottom"/>
            <w:tcBorders>
              <w:right w:val="single" w:sz="8" w:color="C3E6FF"/>
            </w:tcBorders>
          </w:tcPr>
          <w:p>
            <w:pPr>
              <w:ind w:left="320"/>
              <w:spacing w:after="0"/>
              <w:rPr>
                <w:sz w:val="20"/>
                <w:szCs w:val="20"/>
                <w:color w:val="auto"/>
              </w:rPr>
            </w:pPr>
            <w:r>
              <w:rPr>
                <w:rFonts w:ascii="Arial" w:cs="Arial" w:eastAsia="Arial" w:hAnsi="Arial"/>
                <w:sz w:val="18"/>
                <w:szCs w:val="18"/>
                <w:color w:val="auto"/>
              </w:rPr>
              <w:t>155% of base salary</w:t>
            </w:r>
          </w:p>
        </w:tc>
        <w:tc>
          <w:tcPr>
            <w:tcW w:w="1600" w:type="dxa"/>
            <w:vAlign w:val="bottom"/>
          </w:tcPr>
          <w:p>
            <w:pPr>
              <w:spacing w:after="0"/>
              <w:rPr>
                <w:sz w:val="24"/>
                <w:szCs w:val="24"/>
                <w:color w:val="auto"/>
              </w:rPr>
            </w:pPr>
          </w:p>
        </w:tc>
      </w:tr>
      <w:tr>
        <w:trPr>
          <w:trHeight w:val="94"/>
        </w:trPr>
        <w:tc>
          <w:tcPr>
            <w:tcW w:w="680" w:type="dxa"/>
            <w:vAlign w:val="bottom"/>
            <w:tcBorders>
              <w:right w:val="single" w:sz="8" w:color="C3E6FF"/>
            </w:tcBorders>
          </w:tcPr>
          <w:p>
            <w:pPr>
              <w:spacing w:after="0"/>
              <w:rPr>
                <w:sz w:val="8"/>
                <w:szCs w:val="8"/>
                <w:color w:val="auto"/>
              </w:rPr>
            </w:pPr>
          </w:p>
        </w:tc>
        <w:tc>
          <w:tcPr>
            <w:tcW w:w="1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0" w:type="dxa"/>
            <w:vAlign w:val="bottom"/>
            <w:tcBorders>
              <w:right w:val="single" w:sz="8" w:color="C3E6FF"/>
            </w:tcBorders>
          </w:tcPr>
          <w:p>
            <w:pPr>
              <w:spacing w:after="0"/>
              <w:rPr>
                <w:sz w:val="8"/>
                <w:szCs w:val="8"/>
                <w:color w:val="auto"/>
              </w:rPr>
            </w:pPr>
          </w:p>
        </w:tc>
        <w:tc>
          <w:tcPr>
            <w:tcW w:w="1600" w:type="dxa"/>
            <w:vAlign w:val="bottom"/>
          </w:tcPr>
          <w:p>
            <w:pPr>
              <w:spacing w:after="0"/>
              <w:rPr>
                <w:sz w:val="8"/>
                <w:szCs w:val="8"/>
                <w:color w:val="auto"/>
              </w:rPr>
            </w:pPr>
          </w:p>
        </w:tc>
      </w:tr>
      <w:tr>
        <w:trPr>
          <w:trHeight w:val="324"/>
        </w:trPr>
        <w:tc>
          <w:tcPr>
            <w:tcW w:w="680" w:type="dxa"/>
            <w:vAlign w:val="bottom"/>
            <w:tcBorders>
              <w:right w:val="single" w:sz="8" w:color="C3E6FF"/>
            </w:tcBorders>
          </w:tcPr>
          <w:p>
            <w:pPr>
              <w:spacing w:after="0"/>
              <w:rPr>
                <w:sz w:val="24"/>
                <w:szCs w:val="24"/>
                <w:color w:val="auto"/>
              </w:rPr>
            </w:pPr>
          </w:p>
        </w:tc>
        <w:tc>
          <w:tcPr>
            <w:tcW w:w="168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Pavan Bagai</w:t>
            </w:r>
          </w:p>
        </w:tc>
        <w:tc>
          <w:tcPr>
            <w:tcW w:w="3280" w:type="dxa"/>
            <w:vAlign w:val="bottom"/>
            <w:shd w:val="clear" w:color="auto" w:fill="F0F8FF"/>
          </w:tcPr>
          <w:p>
            <w:pPr>
              <w:ind w:left="200"/>
              <w:spacing w:after="0"/>
              <w:rPr>
                <w:sz w:val="20"/>
                <w:szCs w:val="20"/>
                <w:color w:val="auto"/>
              </w:rPr>
            </w:pPr>
            <w:r>
              <w:rPr>
                <w:rFonts w:ascii="Arial" w:cs="Arial" w:eastAsia="Arial" w:hAnsi="Arial"/>
                <w:sz w:val="18"/>
                <w:szCs w:val="18"/>
                <w:color w:val="auto"/>
              </w:rPr>
              <w:t>75% of annual fixed compensation</w:t>
            </w:r>
          </w:p>
        </w:tc>
        <w:tc>
          <w:tcPr>
            <w:tcW w:w="4000" w:type="dxa"/>
            <w:vAlign w:val="bottom"/>
            <w:tcBorders>
              <w:right w:val="single" w:sz="8" w:color="C3E6FF"/>
            </w:tcBorders>
            <w:shd w:val="clear" w:color="auto" w:fill="F0F8FF"/>
          </w:tcPr>
          <w:p>
            <w:pPr>
              <w:ind w:left="320"/>
              <w:spacing w:after="0"/>
              <w:rPr>
                <w:sz w:val="20"/>
                <w:szCs w:val="20"/>
                <w:color w:val="auto"/>
              </w:rPr>
            </w:pPr>
            <w:r>
              <w:rPr>
                <w:rFonts w:ascii="Arial" w:cs="Arial" w:eastAsia="Arial" w:hAnsi="Arial"/>
                <w:sz w:val="18"/>
                <w:szCs w:val="18"/>
                <w:color w:val="auto"/>
              </w:rPr>
              <w:t>155% of annual fixed compensation</w:t>
            </w:r>
          </w:p>
        </w:tc>
        <w:tc>
          <w:tcPr>
            <w:tcW w:w="1600" w:type="dxa"/>
            <w:vAlign w:val="bottom"/>
          </w:tcPr>
          <w:p>
            <w:pPr>
              <w:spacing w:after="0"/>
              <w:rPr>
                <w:sz w:val="24"/>
                <w:szCs w:val="24"/>
                <w:color w:val="auto"/>
              </w:rPr>
            </w:pPr>
          </w:p>
        </w:tc>
      </w:tr>
      <w:tr>
        <w:trPr>
          <w:trHeight w:val="95"/>
        </w:trPr>
        <w:tc>
          <w:tcPr>
            <w:tcW w:w="680" w:type="dxa"/>
            <w:vAlign w:val="bottom"/>
            <w:tcBorders>
              <w:right w:val="single" w:sz="8" w:color="C3E6FF"/>
            </w:tcBorders>
          </w:tcPr>
          <w:p>
            <w:pPr>
              <w:spacing w:after="0"/>
              <w:rPr>
                <w:sz w:val="8"/>
                <w:szCs w:val="8"/>
                <w:color w:val="auto"/>
              </w:rPr>
            </w:pPr>
          </w:p>
        </w:tc>
        <w:tc>
          <w:tcPr>
            <w:tcW w:w="1680" w:type="dxa"/>
            <w:vAlign w:val="bottom"/>
            <w:shd w:val="clear" w:color="auto" w:fill="F0F8FF"/>
          </w:tcPr>
          <w:p>
            <w:pPr>
              <w:spacing w:after="0"/>
              <w:rPr>
                <w:sz w:val="8"/>
                <w:szCs w:val="8"/>
                <w:color w:val="auto"/>
              </w:rPr>
            </w:pPr>
          </w:p>
        </w:tc>
        <w:tc>
          <w:tcPr>
            <w:tcW w:w="3280" w:type="dxa"/>
            <w:vAlign w:val="bottom"/>
            <w:shd w:val="clear" w:color="auto" w:fill="F0F8FF"/>
          </w:tcPr>
          <w:p>
            <w:pPr>
              <w:spacing w:after="0"/>
              <w:rPr>
                <w:sz w:val="8"/>
                <w:szCs w:val="8"/>
                <w:color w:val="auto"/>
              </w:rPr>
            </w:pPr>
          </w:p>
        </w:tc>
        <w:tc>
          <w:tcPr>
            <w:tcW w:w="4000" w:type="dxa"/>
            <w:vAlign w:val="bottom"/>
            <w:tcBorders>
              <w:right w:val="single" w:sz="8" w:color="C3E6FF"/>
            </w:tcBorders>
            <w:shd w:val="clear" w:color="auto" w:fill="F0F8FF"/>
          </w:tcPr>
          <w:p>
            <w:pPr>
              <w:spacing w:after="0"/>
              <w:rPr>
                <w:sz w:val="8"/>
                <w:szCs w:val="8"/>
                <w:color w:val="auto"/>
              </w:rPr>
            </w:pPr>
          </w:p>
        </w:tc>
        <w:tc>
          <w:tcPr>
            <w:tcW w:w="1600" w:type="dxa"/>
            <w:vAlign w:val="bottom"/>
          </w:tcPr>
          <w:p>
            <w:pPr>
              <w:spacing w:after="0"/>
              <w:rPr>
                <w:sz w:val="8"/>
                <w:szCs w:val="8"/>
                <w:color w:val="auto"/>
              </w:rPr>
            </w:pPr>
          </w:p>
        </w:tc>
      </w:tr>
      <w:tr>
        <w:trPr>
          <w:trHeight w:val="324"/>
        </w:trPr>
        <w:tc>
          <w:tcPr>
            <w:tcW w:w="680" w:type="dxa"/>
            <w:vAlign w:val="bottom"/>
            <w:tcBorders>
              <w:right w:val="single" w:sz="8" w:color="C3E6FF"/>
            </w:tcBorders>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rPr>
              <w:t>Nalin Miglani</w:t>
            </w:r>
          </w:p>
        </w:tc>
        <w:tc>
          <w:tcPr>
            <w:tcW w:w="3280" w:type="dxa"/>
            <w:vAlign w:val="bottom"/>
          </w:tcPr>
          <w:p>
            <w:pPr>
              <w:ind w:left="200"/>
              <w:spacing w:after="0"/>
              <w:rPr>
                <w:sz w:val="20"/>
                <w:szCs w:val="20"/>
                <w:color w:val="auto"/>
              </w:rPr>
            </w:pPr>
            <w:r>
              <w:rPr>
                <w:rFonts w:ascii="Arial" w:cs="Arial" w:eastAsia="Arial" w:hAnsi="Arial"/>
                <w:sz w:val="18"/>
                <w:szCs w:val="18"/>
                <w:color w:val="auto"/>
              </w:rPr>
              <w:t>75% of base salary</w:t>
            </w:r>
          </w:p>
        </w:tc>
        <w:tc>
          <w:tcPr>
            <w:tcW w:w="4000" w:type="dxa"/>
            <w:vAlign w:val="bottom"/>
            <w:tcBorders>
              <w:right w:val="single" w:sz="8" w:color="C3E6FF"/>
            </w:tcBorders>
          </w:tcPr>
          <w:p>
            <w:pPr>
              <w:ind w:left="320"/>
              <w:spacing w:after="0"/>
              <w:rPr>
                <w:sz w:val="20"/>
                <w:szCs w:val="20"/>
                <w:color w:val="auto"/>
              </w:rPr>
            </w:pPr>
            <w:r>
              <w:rPr>
                <w:rFonts w:ascii="Arial" w:cs="Arial" w:eastAsia="Arial" w:hAnsi="Arial"/>
                <w:sz w:val="18"/>
                <w:szCs w:val="18"/>
                <w:color w:val="auto"/>
              </w:rPr>
              <w:t>155% of base salary</w:t>
            </w:r>
          </w:p>
        </w:tc>
        <w:tc>
          <w:tcPr>
            <w:tcW w:w="1600" w:type="dxa"/>
            <w:vAlign w:val="bottom"/>
          </w:tcPr>
          <w:p>
            <w:pPr>
              <w:spacing w:after="0"/>
              <w:rPr>
                <w:sz w:val="24"/>
                <w:szCs w:val="24"/>
                <w:color w:val="auto"/>
              </w:rPr>
            </w:pPr>
          </w:p>
        </w:tc>
      </w:tr>
      <w:tr>
        <w:trPr>
          <w:trHeight w:val="94"/>
        </w:trPr>
        <w:tc>
          <w:tcPr>
            <w:tcW w:w="680" w:type="dxa"/>
            <w:vAlign w:val="bottom"/>
            <w:tcBorders>
              <w:right w:val="single" w:sz="8" w:color="C3E6FF"/>
            </w:tcBorders>
          </w:tcPr>
          <w:p>
            <w:pPr>
              <w:spacing w:after="0"/>
              <w:rPr>
                <w:sz w:val="8"/>
                <w:szCs w:val="8"/>
                <w:color w:val="auto"/>
              </w:rPr>
            </w:pPr>
          </w:p>
        </w:tc>
        <w:tc>
          <w:tcPr>
            <w:tcW w:w="1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0" w:type="dxa"/>
            <w:vAlign w:val="bottom"/>
            <w:tcBorders>
              <w:right w:val="single" w:sz="8" w:color="C3E6FF"/>
            </w:tcBorders>
          </w:tcPr>
          <w:p>
            <w:pPr>
              <w:spacing w:after="0"/>
              <w:rPr>
                <w:sz w:val="8"/>
                <w:szCs w:val="8"/>
                <w:color w:val="auto"/>
              </w:rPr>
            </w:pPr>
          </w:p>
        </w:tc>
        <w:tc>
          <w:tcPr>
            <w:tcW w:w="1600" w:type="dxa"/>
            <w:vAlign w:val="bottom"/>
          </w:tcPr>
          <w:p>
            <w:pPr>
              <w:spacing w:after="0"/>
              <w:rPr>
                <w:sz w:val="8"/>
                <w:szCs w:val="8"/>
                <w:color w:val="auto"/>
              </w:rPr>
            </w:pPr>
          </w:p>
        </w:tc>
      </w:tr>
      <w:tr>
        <w:trPr>
          <w:trHeight w:val="324"/>
        </w:trPr>
        <w:tc>
          <w:tcPr>
            <w:tcW w:w="680" w:type="dxa"/>
            <w:vAlign w:val="bottom"/>
            <w:tcBorders>
              <w:right w:val="single" w:sz="8" w:color="C3E6FF"/>
            </w:tcBorders>
          </w:tcPr>
          <w:p>
            <w:pPr>
              <w:spacing w:after="0"/>
              <w:rPr>
                <w:sz w:val="24"/>
                <w:szCs w:val="24"/>
                <w:color w:val="auto"/>
              </w:rPr>
            </w:pPr>
          </w:p>
        </w:tc>
        <w:tc>
          <w:tcPr>
            <w:tcW w:w="1680" w:type="dxa"/>
            <w:vAlign w:val="bottom"/>
            <w:shd w:val="clear" w:color="auto" w:fill="F0F8FF"/>
          </w:tcPr>
          <w:p>
            <w:pPr>
              <w:ind w:left="100"/>
              <w:spacing w:after="0"/>
              <w:rPr>
                <w:sz w:val="20"/>
                <w:szCs w:val="20"/>
                <w:color w:val="auto"/>
              </w:rPr>
            </w:pPr>
            <w:r>
              <w:rPr>
                <w:rFonts w:ascii="Arial" w:cs="Arial" w:eastAsia="Arial" w:hAnsi="Arial"/>
                <w:sz w:val="18"/>
                <w:szCs w:val="18"/>
                <w:b w:val="1"/>
                <w:bCs w:val="1"/>
                <w:color w:val="auto"/>
              </w:rPr>
              <w:t>Vikas Bhalla</w:t>
            </w:r>
          </w:p>
        </w:tc>
        <w:tc>
          <w:tcPr>
            <w:tcW w:w="3280" w:type="dxa"/>
            <w:vAlign w:val="bottom"/>
            <w:shd w:val="clear" w:color="auto" w:fill="F0F8FF"/>
          </w:tcPr>
          <w:p>
            <w:pPr>
              <w:ind w:left="200"/>
              <w:spacing w:after="0"/>
              <w:rPr>
                <w:sz w:val="20"/>
                <w:szCs w:val="20"/>
                <w:color w:val="auto"/>
              </w:rPr>
            </w:pPr>
            <w:r>
              <w:rPr>
                <w:rFonts w:ascii="Arial" w:cs="Arial" w:eastAsia="Arial" w:hAnsi="Arial"/>
                <w:sz w:val="18"/>
                <w:szCs w:val="18"/>
                <w:color w:val="auto"/>
              </w:rPr>
              <w:t>75% of annual fixed compensation</w:t>
            </w:r>
          </w:p>
        </w:tc>
        <w:tc>
          <w:tcPr>
            <w:tcW w:w="4000" w:type="dxa"/>
            <w:vAlign w:val="bottom"/>
            <w:tcBorders>
              <w:right w:val="single" w:sz="8" w:color="C3E6FF"/>
            </w:tcBorders>
            <w:shd w:val="clear" w:color="auto" w:fill="F0F8FF"/>
          </w:tcPr>
          <w:p>
            <w:pPr>
              <w:ind w:left="320"/>
              <w:spacing w:after="0"/>
              <w:rPr>
                <w:sz w:val="20"/>
                <w:szCs w:val="20"/>
                <w:color w:val="auto"/>
              </w:rPr>
            </w:pPr>
            <w:r>
              <w:rPr>
                <w:rFonts w:ascii="Arial" w:cs="Arial" w:eastAsia="Arial" w:hAnsi="Arial"/>
                <w:sz w:val="18"/>
                <w:szCs w:val="18"/>
                <w:color w:val="auto"/>
              </w:rPr>
              <w:t>154% of annual fixed compensation</w:t>
            </w:r>
          </w:p>
        </w:tc>
        <w:tc>
          <w:tcPr>
            <w:tcW w:w="1600" w:type="dxa"/>
            <w:vAlign w:val="bottom"/>
          </w:tcPr>
          <w:p>
            <w:pPr>
              <w:spacing w:after="0"/>
              <w:rPr>
                <w:sz w:val="24"/>
                <w:szCs w:val="24"/>
                <w:color w:val="auto"/>
              </w:rPr>
            </w:pPr>
          </w:p>
        </w:tc>
      </w:tr>
      <w:tr>
        <w:trPr>
          <w:trHeight w:val="94"/>
        </w:trPr>
        <w:tc>
          <w:tcPr>
            <w:tcW w:w="680" w:type="dxa"/>
            <w:vAlign w:val="bottom"/>
            <w:tcBorders>
              <w:right w:val="single" w:sz="8" w:color="C3E6FF"/>
            </w:tcBorders>
          </w:tcPr>
          <w:p>
            <w:pPr>
              <w:spacing w:after="0"/>
              <w:rPr>
                <w:sz w:val="8"/>
                <w:szCs w:val="8"/>
                <w:color w:val="auto"/>
              </w:rPr>
            </w:pPr>
          </w:p>
        </w:tc>
        <w:tc>
          <w:tcPr>
            <w:tcW w:w="1680" w:type="dxa"/>
            <w:vAlign w:val="bottom"/>
            <w:shd w:val="clear" w:color="auto" w:fill="F0F8FF"/>
          </w:tcPr>
          <w:p>
            <w:pPr>
              <w:spacing w:after="0"/>
              <w:rPr>
                <w:sz w:val="8"/>
                <w:szCs w:val="8"/>
                <w:color w:val="auto"/>
              </w:rPr>
            </w:pPr>
          </w:p>
        </w:tc>
        <w:tc>
          <w:tcPr>
            <w:tcW w:w="3280" w:type="dxa"/>
            <w:vAlign w:val="bottom"/>
            <w:shd w:val="clear" w:color="auto" w:fill="F0F8FF"/>
          </w:tcPr>
          <w:p>
            <w:pPr>
              <w:spacing w:after="0"/>
              <w:rPr>
                <w:sz w:val="8"/>
                <w:szCs w:val="8"/>
                <w:color w:val="auto"/>
              </w:rPr>
            </w:pPr>
          </w:p>
        </w:tc>
        <w:tc>
          <w:tcPr>
            <w:tcW w:w="4000" w:type="dxa"/>
            <w:vAlign w:val="bottom"/>
            <w:tcBorders>
              <w:right w:val="single" w:sz="8" w:color="C3E6FF"/>
            </w:tcBorders>
            <w:shd w:val="clear" w:color="auto" w:fill="F0F8FF"/>
          </w:tcPr>
          <w:p>
            <w:pPr>
              <w:spacing w:after="0"/>
              <w:rPr>
                <w:sz w:val="8"/>
                <w:szCs w:val="8"/>
                <w:color w:val="auto"/>
              </w:rPr>
            </w:pPr>
          </w:p>
        </w:tc>
        <w:tc>
          <w:tcPr>
            <w:tcW w:w="1600" w:type="dxa"/>
            <w:vAlign w:val="bottom"/>
          </w:tcPr>
          <w:p>
            <w:pPr>
              <w:spacing w:after="0"/>
              <w:rPr>
                <w:sz w:val="8"/>
                <w:szCs w:val="8"/>
                <w:color w:val="auto"/>
              </w:rPr>
            </w:pPr>
          </w:p>
        </w:tc>
      </w:tr>
      <w:tr>
        <w:trPr>
          <w:trHeight w:val="324"/>
        </w:trPr>
        <w:tc>
          <w:tcPr>
            <w:tcW w:w="680" w:type="dxa"/>
            <w:vAlign w:val="bottom"/>
            <w:tcBorders>
              <w:right w:val="single" w:sz="8" w:color="C3E6FF"/>
            </w:tcBorders>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rPr>
              <w:t>Samuel Meckey</w:t>
            </w:r>
          </w:p>
        </w:tc>
        <w:tc>
          <w:tcPr>
            <w:tcW w:w="3280" w:type="dxa"/>
            <w:vAlign w:val="bottom"/>
          </w:tcPr>
          <w:p>
            <w:pPr>
              <w:ind w:left="200"/>
              <w:spacing w:after="0"/>
              <w:rPr>
                <w:sz w:val="20"/>
                <w:szCs w:val="20"/>
                <w:color w:val="auto"/>
              </w:rPr>
            </w:pPr>
            <w:r>
              <w:rPr>
                <w:rFonts w:ascii="Arial" w:cs="Arial" w:eastAsia="Arial" w:hAnsi="Arial"/>
                <w:sz w:val="18"/>
                <w:szCs w:val="18"/>
                <w:color w:val="auto"/>
              </w:rPr>
              <w:t>75% of base salary</w:t>
            </w:r>
          </w:p>
        </w:tc>
        <w:tc>
          <w:tcPr>
            <w:tcW w:w="4000" w:type="dxa"/>
            <w:vAlign w:val="bottom"/>
            <w:tcBorders>
              <w:right w:val="single" w:sz="8" w:color="C3E6FF"/>
            </w:tcBorders>
          </w:tcPr>
          <w:p>
            <w:pPr>
              <w:ind w:left="320"/>
              <w:spacing w:after="0"/>
              <w:rPr>
                <w:sz w:val="20"/>
                <w:szCs w:val="20"/>
                <w:color w:val="auto"/>
              </w:rPr>
            </w:pPr>
            <w:r>
              <w:rPr>
                <w:rFonts w:ascii="Arial" w:cs="Arial" w:eastAsia="Arial" w:hAnsi="Arial"/>
                <w:sz w:val="18"/>
                <w:szCs w:val="18"/>
                <w:color w:val="auto"/>
              </w:rPr>
              <w:t>154% of base salary</w:t>
            </w:r>
          </w:p>
        </w:tc>
        <w:tc>
          <w:tcPr>
            <w:tcW w:w="1600" w:type="dxa"/>
            <w:vAlign w:val="bottom"/>
          </w:tcPr>
          <w:p>
            <w:pPr>
              <w:spacing w:after="0"/>
              <w:rPr>
                <w:sz w:val="24"/>
                <w:szCs w:val="24"/>
                <w:color w:val="auto"/>
              </w:rPr>
            </w:pPr>
          </w:p>
        </w:tc>
      </w:tr>
      <w:tr>
        <w:trPr>
          <w:trHeight w:val="101"/>
        </w:trPr>
        <w:tc>
          <w:tcPr>
            <w:tcW w:w="680" w:type="dxa"/>
            <w:vAlign w:val="bottom"/>
            <w:tcBorders>
              <w:right w:val="single" w:sz="8" w:color="C3E6FF"/>
            </w:tcBorders>
          </w:tcPr>
          <w:p>
            <w:pPr>
              <w:spacing w:after="0"/>
              <w:rPr>
                <w:sz w:val="8"/>
                <w:szCs w:val="8"/>
                <w:color w:val="auto"/>
              </w:rPr>
            </w:pPr>
          </w:p>
        </w:tc>
        <w:tc>
          <w:tcPr>
            <w:tcW w:w="1680" w:type="dxa"/>
            <w:vAlign w:val="bottom"/>
            <w:tcBorders>
              <w:bottom w:val="single" w:sz="8" w:color="C3E6FF"/>
            </w:tcBorders>
          </w:tcPr>
          <w:p>
            <w:pPr>
              <w:spacing w:after="0"/>
              <w:rPr>
                <w:sz w:val="8"/>
                <w:szCs w:val="8"/>
                <w:color w:val="auto"/>
              </w:rPr>
            </w:pPr>
          </w:p>
        </w:tc>
        <w:tc>
          <w:tcPr>
            <w:tcW w:w="3280" w:type="dxa"/>
            <w:vAlign w:val="bottom"/>
            <w:tcBorders>
              <w:bottom w:val="single" w:sz="8" w:color="C3E6FF"/>
            </w:tcBorders>
          </w:tcPr>
          <w:p>
            <w:pPr>
              <w:spacing w:after="0"/>
              <w:rPr>
                <w:sz w:val="8"/>
                <w:szCs w:val="8"/>
                <w:color w:val="auto"/>
              </w:rPr>
            </w:pPr>
          </w:p>
        </w:tc>
        <w:tc>
          <w:tcPr>
            <w:tcW w:w="4000" w:type="dxa"/>
            <w:vAlign w:val="bottom"/>
            <w:tcBorders>
              <w:bottom w:val="single" w:sz="8" w:color="C3E6FF"/>
              <w:right w:val="single" w:sz="8" w:color="C3E6FF"/>
            </w:tcBorders>
          </w:tcPr>
          <w:p>
            <w:pPr>
              <w:spacing w:after="0"/>
              <w:rPr>
                <w:sz w:val="8"/>
                <w:szCs w:val="8"/>
                <w:color w:val="auto"/>
              </w:rPr>
            </w:pPr>
          </w:p>
        </w:tc>
        <w:tc>
          <w:tcPr>
            <w:tcW w:w="1600" w:type="dxa"/>
            <w:vAlign w:val="bottom"/>
          </w:tcPr>
          <w:p>
            <w:pPr>
              <w:spacing w:after="0"/>
              <w:rPr>
                <w:sz w:val="8"/>
                <w:szCs w:val="8"/>
                <w:color w:val="auto"/>
              </w:rPr>
            </w:pPr>
          </w:p>
        </w:tc>
      </w:tr>
      <w:tr>
        <w:trPr>
          <w:trHeight w:val="683"/>
        </w:trPr>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0" w:type="dxa"/>
            <w:vAlign w:val="bottom"/>
            <w:gridSpan w:val="2"/>
          </w:tcPr>
          <w:p>
            <w:pPr>
              <w:ind w:left="372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53</w:t>
            </w:r>
          </w:p>
        </w:tc>
      </w:tr>
      <w:tr>
        <w:trPr>
          <w:trHeight w:val="721"/>
        </w:trPr>
        <w:tc>
          <w:tcPr>
            <w:tcW w:w="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313" w:lineRule="exact"/>
        <w:rPr>
          <w:sz w:val="20"/>
          <w:szCs w:val="20"/>
          <w:color w:val="auto"/>
        </w:rPr>
      </w:pPr>
    </w:p>
    <w:p>
      <w:pPr>
        <w:ind w:left="660" w:right="200" w:hanging="328"/>
        <w:spacing w:after="0" w:line="253" w:lineRule="auto"/>
        <w:tabs>
          <w:tab w:leader="none" w:pos="660" w:val="left"/>
        </w:tabs>
        <w:numPr>
          <w:ilvl w:val="0"/>
          <w:numId w:val="81"/>
        </w:numPr>
        <w:rPr>
          <w:rFonts w:ascii="Arial" w:cs="Arial" w:eastAsia="Arial" w:hAnsi="Arial"/>
          <w:sz w:val="18"/>
          <w:szCs w:val="18"/>
          <w:color w:val="FF6503"/>
        </w:rPr>
      </w:pPr>
      <w:r>
        <w:rPr>
          <w:rFonts w:ascii="Arial" w:cs="Arial" w:eastAsia="Arial" w:hAnsi="Arial"/>
          <w:sz w:val="18"/>
          <w:szCs w:val="18"/>
          <w:b w:val="1"/>
          <w:bCs w:val="1"/>
          <w:color w:val="262626"/>
        </w:rPr>
        <w:t xml:space="preserve">Performance Measures. </w:t>
      </w:r>
      <w:r>
        <w:rPr>
          <w:rFonts w:ascii="Arial" w:cs="Arial" w:eastAsia="Arial" w:hAnsi="Arial"/>
          <w:sz w:val="18"/>
          <w:szCs w:val="18"/>
          <w:color w:val="262626"/>
        </w:rPr>
        <w:t>Our executives were eligible to earn annual bonuses based on their achievement of company-wide</w:t>
      </w:r>
      <w:r>
        <w:rPr>
          <w:rFonts w:ascii="Arial" w:cs="Arial" w:eastAsia="Arial" w:hAnsi="Arial"/>
          <w:sz w:val="18"/>
          <w:szCs w:val="18"/>
          <w:b w:val="1"/>
          <w:bCs w:val="1"/>
          <w:color w:val="262626"/>
        </w:rPr>
        <w:t xml:space="preserve"> </w:t>
      </w:r>
      <w:r>
        <w:rPr>
          <w:rFonts w:ascii="Arial" w:cs="Arial" w:eastAsia="Arial" w:hAnsi="Arial"/>
          <w:sz w:val="18"/>
          <w:szCs w:val="18"/>
          <w:color w:val="262626"/>
        </w:rPr>
        <w:t>performance metrics, business line or other company performance metrics and individual performance, as described in the tables below.</w:t>
      </w:r>
    </w:p>
    <w:p>
      <w:pPr>
        <w:spacing w:after="0" w:line="158" w:lineRule="exact"/>
        <w:rPr>
          <w:sz w:val="20"/>
          <w:szCs w:val="20"/>
          <w:color w:val="auto"/>
        </w:rPr>
      </w:pPr>
    </w:p>
    <w:tbl>
      <w:tblPr>
        <w:tblLayout w:type="fixed"/>
        <w:tblInd w:w="670" w:type="dxa"/>
        <w:tblCellMar>
          <w:top w:w="0" w:type="dxa"/>
          <w:left w:w="0" w:type="dxa"/>
          <w:bottom w:w="0" w:type="dxa"/>
          <w:right w:w="0" w:type="dxa"/>
        </w:tblCellMar>
      </w:tblPr>
      <w:tr>
        <w:trPr>
          <w:trHeight w:val="338"/>
        </w:trPr>
        <w:tc>
          <w:tcPr>
            <w:tcW w:w="1840" w:type="dxa"/>
            <w:vAlign w:val="bottom"/>
            <w:tcBorders>
              <w:top w:val="single" w:sz="8" w:color="C3E6FF"/>
              <w:left w:val="single" w:sz="8" w:color="C3E6FF"/>
            </w:tcBorders>
            <w:shd w:val="clear" w:color="auto" w:fill="0093FF"/>
          </w:tcPr>
          <w:p>
            <w:pPr>
              <w:spacing w:after="0"/>
              <w:rPr>
                <w:sz w:val="24"/>
                <w:szCs w:val="24"/>
                <w:color w:val="auto"/>
              </w:rPr>
            </w:pPr>
          </w:p>
        </w:tc>
        <w:tc>
          <w:tcPr>
            <w:tcW w:w="2120" w:type="dxa"/>
            <w:vAlign w:val="bottom"/>
            <w:tcBorders>
              <w:top w:val="single" w:sz="8" w:color="C3E6FF"/>
            </w:tcBorders>
            <w:shd w:val="clear" w:color="auto" w:fill="0093FF"/>
          </w:tcPr>
          <w:p>
            <w:pPr>
              <w:jc w:val="center"/>
              <w:spacing w:after="0"/>
              <w:rPr>
                <w:sz w:val="20"/>
                <w:szCs w:val="20"/>
                <w:color w:val="auto"/>
              </w:rPr>
            </w:pPr>
            <w:r>
              <w:rPr>
                <w:rFonts w:ascii="Arial" w:cs="Arial" w:eastAsia="Arial" w:hAnsi="Arial"/>
                <w:sz w:val="18"/>
                <w:szCs w:val="18"/>
                <w:b w:val="1"/>
                <w:bCs w:val="1"/>
                <w:color w:val="FFFFFF"/>
              </w:rPr>
              <w:t>Company-Wide</w:t>
            </w:r>
          </w:p>
        </w:tc>
        <w:tc>
          <w:tcPr>
            <w:tcW w:w="1980" w:type="dxa"/>
            <w:vAlign w:val="bottom"/>
            <w:tcBorders>
              <w:top w:val="single" w:sz="8" w:color="C3E6FF"/>
            </w:tcBorders>
            <w:shd w:val="clear" w:color="auto" w:fill="0093FF"/>
          </w:tcPr>
          <w:p>
            <w:pPr>
              <w:jc w:val="center"/>
              <w:spacing w:after="0"/>
              <w:rPr>
                <w:sz w:val="20"/>
                <w:szCs w:val="20"/>
                <w:color w:val="auto"/>
              </w:rPr>
            </w:pPr>
            <w:r>
              <w:rPr>
                <w:rFonts w:ascii="Arial" w:cs="Arial" w:eastAsia="Arial" w:hAnsi="Arial"/>
                <w:sz w:val="18"/>
                <w:szCs w:val="18"/>
                <w:b w:val="1"/>
                <w:bCs w:val="1"/>
                <w:color w:val="FFFFFF"/>
                <w:w w:val="99"/>
              </w:rPr>
              <w:t>Individual</w:t>
            </w:r>
          </w:p>
        </w:tc>
        <w:tc>
          <w:tcPr>
            <w:tcW w:w="3040" w:type="dxa"/>
            <w:vAlign w:val="bottom"/>
            <w:tcBorders>
              <w:top w:val="single" w:sz="8" w:color="C3E6FF"/>
              <w:right w:val="single" w:sz="8" w:color="C3E6FF"/>
            </w:tcBorders>
            <w:shd w:val="clear" w:color="auto" w:fill="0093FF"/>
          </w:tcPr>
          <w:p>
            <w:pPr>
              <w:jc w:val="center"/>
              <w:spacing w:after="0"/>
              <w:rPr>
                <w:sz w:val="20"/>
                <w:szCs w:val="20"/>
                <w:color w:val="auto"/>
              </w:rPr>
            </w:pPr>
            <w:r>
              <w:rPr>
                <w:rFonts w:ascii="Arial" w:cs="Arial" w:eastAsia="Arial" w:hAnsi="Arial"/>
                <w:sz w:val="18"/>
                <w:szCs w:val="18"/>
                <w:b w:val="1"/>
                <w:bCs w:val="1"/>
                <w:color w:val="FFFFFF"/>
                <w:w w:val="99"/>
              </w:rPr>
              <w:t>Business Line or Other</w:t>
            </w:r>
          </w:p>
        </w:tc>
      </w:tr>
      <w:tr>
        <w:trPr>
          <w:trHeight w:val="351"/>
        </w:trPr>
        <w:tc>
          <w:tcPr>
            <w:tcW w:w="1840" w:type="dxa"/>
            <w:vAlign w:val="bottom"/>
            <w:tcBorders>
              <w:left w:val="single" w:sz="8" w:color="C3E6FF"/>
            </w:tcBorders>
            <w:shd w:val="clear" w:color="auto" w:fill="0093FF"/>
          </w:tcPr>
          <w:p>
            <w:pPr>
              <w:ind w:left="720"/>
              <w:spacing w:after="0"/>
              <w:rPr>
                <w:sz w:val="20"/>
                <w:szCs w:val="20"/>
                <w:color w:val="auto"/>
              </w:rPr>
            </w:pPr>
            <w:r>
              <w:rPr>
                <w:rFonts w:ascii="Arial" w:cs="Arial" w:eastAsia="Arial" w:hAnsi="Arial"/>
                <w:sz w:val="18"/>
                <w:szCs w:val="18"/>
                <w:b w:val="1"/>
                <w:bCs w:val="1"/>
                <w:color w:val="FFFFFF"/>
              </w:rPr>
              <w:t>Name</w:t>
            </w:r>
          </w:p>
        </w:tc>
        <w:tc>
          <w:tcPr>
            <w:tcW w:w="2120" w:type="dxa"/>
            <w:vAlign w:val="bottom"/>
            <w:shd w:val="clear" w:color="auto" w:fill="0093FF"/>
          </w:tcPr>
          <w:p>
            <w:pPr>
              <w:jc w:val="center"/>
              <w:spacing w:after="0"/>
              <w:rPr>
                <w:sz w:val="20"/>
                <w:szCs w:val="20"/>
                <w:color w:val="auto"/>
              </w:rPr>
            </w:pPr>
            <w:r>
              <w:rPr>
                <w:rFonts w:ascii="Arial" w:cs="Arial" w:eastAsia="Arial" w:hAnsi="Arial"/>
                <w:sz w:val="18"/>
                <w:szCs w:val="18"/>
                <w:b w:val="1"/>
                <w:bCs w:val="1"/>
                <w:color w:val="FFFFFF"/>
                <w:w w:val="95"/>
              </w:rPr>
              <w:t>Performance</w:t>
            </w:r>
            <w:r>
              <w:rPr>
                <w:rFonts w:ascii="Arial" w:cs="Arial" w:eastAsia="Arial" w:hAnsi="Arial"/>
                <w:sz w:val="29"/>
                <w:szCs w:val="29"/>
                <w:b w:val="1"/>
                <w:bCs w:val="1"/>
                <w:color w:val="FFFFFF"/>
                <w:w w:val="95"/>
                <w:vertAlign w:val="superscript"/>
              </w:rPr>
              <w:t>(1)</w:t>
            </w:r>
          </w:p>
        </w:tc>
        <w:tc>
          <w:tcPr>
            <w:tcW w:w="1980" w:type="dxa"/>
            <w:vAlign w:val="bottom"/>
            <w:shd w:val="clear" w:color="auto" w:fill="0093FF"/>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3040" w:type="dxa"/>
            <w:vAlign w:val="bottom"/>
            <w:tcBorders>
              <w:right w:val="single" w:sz="8" w:color="C3E6FF"/>
            </w:tcBorders>
            <w:shd w:val="clear" w:color="auto" w:fill="0093FF"/>
          </w:tcPr>
          <w:p>
            <w:pPr>
              <w:jc w:val="center"/>
              <w:spacing w:after="0"/>
              <w:rPr>
                <w:sz w:val="20"/>
                <w:szCs w:val="20"/>
                <w:color w:val="auto"/>
              </w:rPr>
            </w:pPr>
            <w:r>
              <w:rPr>
                <w:rFonts w:ascii="Arial" w:cs="Arial" w:eastAsia="Arial" w:hAnsi="Arial"/>
                <w:sz w:val="18"/>
                <w:szCs w:val="18"/>
                <w:b w:val="1"/>
                <w:bCs w:val="1"/>
                <w:color w:val="FFFFFF"/>
                <w:w w:val="97"/>
              </w:rPr>
              <w:t>Company Performance</w:t>
            </w:r>
            <w:r>
              <w:rPr>
                <w:rFonts w:ascii="Arial" w:cs="Arial" w:eastAsia="Arial" w:hAnsi="Arial"/>
                <w:sz w:val="29"/>
                <w:szCs w:val="29"/>
                <w:b w:val="1"/>
                <w:bCs w:val="1"/>
                <w:color w:val="FFFFFF"/>
                <w:w w:val="97"/>
                <w:vertAlign w:val="superscript"/>
              </w:rPr>
              <w:t>(2)</w:t>
            </w:r>
          </w:p>
        </w:tc>
      </w:tr>
      <w:tr>
        <w:trPr>
          <w:trHeight w:val="324"/>
        </w:trPr>
        <w:tc>
          <w:tcPr>
            <w:tcW w:w="1840" w:type="dxa"/>
            <w:vAlign w:val="bottom"/>
            <w:tcBorders>
              <w:left w:val="single" w:sz="8" w:color="C3E6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Rohit Kapoor</w:t>
            </w:r>
          </w:p>
        </w:tc>
        <w:tc>
          <w:tcPr>
            <w:tcW w:w="2120" w:type="dxa"/>
            <w:vAlign w:val="bottom"/>
            <w:shd w:val="clear" w:color="auto" w:fill="F0F8FF"/>
          </w:tcPr>
          <w:p>
            <w:pPr>
              <w:jc w:val="center"/>
              <w:spacing w:after="0"/>
              <w:rPr>
                <w:sz w:val="20"/>
                <w:szCs w:val="20"/>
                <w:color w:val="auto"/>
              </w:rPr>
            </w:pPr>
            <w:r>
              <w:rPr>
                <w:rFonts w:ascii="Arial" w:cs="Arial" w:eastAsia="Arial" w:hAnsi="Arial"/>
                <w:sz w:val="18"/>
                <w:szCs w:val="18"/>
                <w:color w:val="auto"/>
                <w:w w:val="99"/>
              </w:rPr>
              <w:t>65%</w:t>
            </w:r>
          </w:p>
        </w:tc>
        <w:tc>
          <w:tcPr>
            <w:tcW w:w="1980" w:type="dxa"/>
            <w:vAlign w:val="bottom"/>
            <w:shd w:val="clear" w:color="auto" w:fill="F0F8FF"/>
          </w:tcPr>
          <w:p>
            <w:pPr>
              <w:jc w:val="center"/>
              <w:spacing w:after="0"/>
              <w:rPr>
                <w:sz w:val="20"/>
                <w:szCs w:val="20"/>
                <w:color w:val="auto"/>
              </w:rPr>
            </w:pPr>
            <w:r>
              <w:rPr>
                <w:rFonts w:ascii="Arial" w:cs="Arial" w:eastAsia="Arial" w:hAnsi="Arial"/>
                <w:sz w:val="18"/>
                <w:szCs w:val="18"/>
                <w:color w:val="auto"/>
                <w:w w:val="99"/>
              </w:rPr>
              <w:t>15%</w:t>
            </w:r>
          </w:p>
        </w:tc>
        <w:tc>
          <w:tcPr>
            <w:tcW w:w="3040" w:type="dxa"/>
            <w:vAlign w:val="bottom"/>
            <w:tcBorders>
              <w:right w:val="single" w:sz="8" w:color="C3E6FF"/>
            </w:tcBorders>
            <w:shd w:val="clear" w:color="auto" w:fill="F0F8FF"/>
          </w:tcPr>
          <w:p>
            <w:pPr>
              <w:jc w:val="center"/>
              <w:spacing w:after="0"/>
              <w:rPr>
                <w:sz w:val="20"/>
                <w:szCs w:val="20"/>
                <w:color w:val="auto"/>
              </w:rPr>
            </w:pPr>
            <w:r>
              <w:rPr>
                <w:rFonts w:ascii="Arial" w:cs="Arial" w:eastAsia="Arial" w:hAnsi="Arial"/>
                <w:sz w:val="18"/>
                <w:szCs w:val="18"/>
                <w:color w:val="auto"/>
                <w:w w:val="99"/>
              </w:rPr>
              <w:t>20%</w:t>
            </w:r>
          </w:p>
        </w:tc>
      </w:tr>
      <w:tr>
        <w:trPr>
          <w:trHeight w:val="94"/>
        </w:trPr>
        <w:tc>
          <w:tcPr>
            <w:tcW w:w="1840" w:type="dxa"/>
            <w:vAlign w:val="bottom"/>
            <w:tcBorders>
              <w:left w:val="single" w:sz="8" w:color="C3E6FF"/>
            </w:tcBorders>
            <w:shd w:val="clear" w:color="auto" w:fill="F0F8FF"/>
          </w:tcPr>
          <w:p>
            <w:pPr>
              <w:spacing w:after="0"/>
              <w:rPr>
                <w:sz w:val="8"/>
                <w:szCs w:val="8"/>
                <w:color w:val="auto"/>
              </w:rPr>
            </w:pPr>
          </w:p>
        </w:tc>
        <w:tc>
          <w:tcPr>
            <w:tcW w:w="2120" w:type="dxa"/>
            <w:vAlign w:val="bottom"/>
            <w:shd w:val="clear" w:color="auto" w:fill="F0F8FF"/>
          </w:tcPr>
          <w:p>
            <w:pPr>
              <w:spacing w:after="0"/>
              <w:rPr>
                <w:sz w:val="8"/>
                <w:szCs w:val="8"/>
                <w:color w:val="auto"/>
              </w:rPr>
            </w:pPr>
          </w:p>
        </w:tc>
        <w:tc>
          <w:tcPr>
            <w:tcW w:w="1980" w:type="dxa"/>
            <w:vAlign w:val="bottom"/>
            <w:shd w:val="clear" w:color="auto" w:fill="F0F8FF"/>
          </w:tcPr>
          <w:p>
            <w:pPr>
              <w:spacing w:after="0"/>
              <w:rPr>
                <w:sz w:val="8"/>
                <w:szCs w:val="8"/>
                <w:color w:val="auto"/>
              </w:rPr>
            </w:pPr>
          </w:p>
        </w:tc>
        <w:tc>
          <w:tcPr>
            <w:tcW w:w="3040" w:type="dxa"/>
            <w:vAlign w:val="bottom"/>
            <w:tcBorders>
              <w:right w:val="single" w:sz="8" w:color="C3E6FF"/>
            </w:tcBorders>
            <w:shd w:val="clear" w:color="auto" w:fill="F0F8FF"/>
          </w:tcPr>
          <w:p>
            <w:pPr>
              <w:spacing w:after="0"/>
              <w:rPr>
                <w:sz w:val="8"/>
                <w:szCs w:val="8"/>
                <w:color w:val="auto"/>
              </w:rPr>
            </w:pPr>
          </w:p>
        </w:tc>
      </w:tr>
      <w:tr>
        <w:trPr>
          <w:trHeight w:val="324"/>
        </w:trPr>
        <w:tc>
          <w:tcPr>
            <w:tcW w:w="184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Vishal Chhibbar</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3040" w:type="dxa"/>
            <w:vAlign w:val="bottom"/>
            <w:tcBorders>
              <w:right w:val="single" w:sz="8" w:color="C3E6FF"/>
            </w:tcBorders>
          </w:tcPr>
          <w:p>
            <w:pPr>
              <w:jc w:val="center"/>
              <w:spacing w:after="0"/>
              <w:rPr>
                <w:sz w:val="20"/>
                <w:szCs w:val="20"/>
                <w:color w:val="auto"/>
              </w:rPr>
            </w:pPr>
            <w:r>
              <w:rPr>
                <w:rFonts w:ascii="Arial" w:cs="Arial" w:eastAsia="Arial" w:hAnsi="Arial"/>
                <w:sz w:val="18"/>
                <w:szCs w:val="18"/>
                <w:color w:val="auto"/>
                <w:w w:val="99"/>
              </w:rPr>
              <w:t>20%</w:t>
            </w:r>
          </w:p>
        </w:tc>
      </w:tr>
      <w:tr>
        <w:trPr>
          <w:trHeight w:val="94"/>
        </w:trPr>
        <w:tc>
          <w:tcPr>
            <w:tcW w:w="1840" w:type="dxa"/>
            <w:vAlign w:val="bottom"/>
            <w:tcBorders>
              <w:left w:val="single" w:sz="8" w:color="C3E6FF"/>
            </w:tcBorders>
          </w:tcPr>
          <w:p>
            <w:pPr>
              <w:spacing w:after="0"/>
              <w:rPr>
                <w:sz w:val="8"/>
                <w:szCs w:val="8"/>
                <w:color w:val="auto"/>
              </w:rPr>
            </w:pPr>
          </w:p>
        </w:tc>
        <w:tc>
          <w:tcPr>
            <w:tcW w:w="2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040" w:type="dxa"/>
            <w:vAlign w:val="bottom"/>
            <w:tcBorders>
              <w:right w:val="single" w:sz="8" w:color="C3E6FF"/>
            </w:tcBorders>
          </w:tcPr>
          <w:p>
            <w:pPr>
              <w:spacing w:after="0"/>
              <w:rPr>
                <w:sz w:val="8"/>
                <w:szCs w:val="8"/>
                <w:color w:val="auto"/>
              </w:rPr>
            </w:pPr>
          </w:p>
        </w:tc>
      </w:tr>
      <w:tr>
        <w:trPr>
          <w:trHeight w:val="324"/>
        </w:trPr>
        <w:tc>
          <w:tcPr>
            <w:tcW w:w="1840" w:type="dxa"/>
            <w:vAlign w:val="bottom"/>
            <w:tcBorders>
              <w:left w:val="single" w:sz="8" w:color="C3E6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Pavan Bagai</w:t>
            </w:r>
          </w:p>
        </w:tc>
        <w:tc>
          <w:tcPr>
            <w:tcW w:w="2120" w:type="dxa"/>
            <w:vAlign w:val="bottom"/>
            <w:shd w:val="clear" w:color="auto" w:fill="F0F8FF"/>
          </w:tcPr>
          <w:p>
            <w:pPr>
              <w:jc w:val="center"/>
              <w:spacing w:after="0"/>
              <w:rPr>
                <w:sz w:val="20"/>
                <w:szCs w:val="20"/>
                <w:color w:val="auto"/>
              </w:rPr>
            </w:pPr>
            <w:r>
              <w:rPr>
                <w:rFonts w:ascii="Arial" w:cs="Arial" w:eastAsia="Arial" w:hAnsi="Arial"/>
                <w:sz w:val="18"/>
                <w:szCs w:val="18"/>
                <w:color w:val="auto"/>
                <w:w w:val="99"/>
              </w:rPr>
              <w:t>65%</w:t>
            </w:r>
          </w:p>
        </w:tc>
        <w:tc>
          <w:tcPr>
            <w:tcW w:w="1980" w:type="dxa"/>
            <w:vAlign w:val="bottom"/>
            <w:shd w:val="clear" w:color="auto" w:fill="F0F8FF"/>
          </w:tcPr>
          <w:p>
            <w:pPr>
              <w:jc w:val="center"/>
              <w:spacing w:after="0"/>
              <w:rPr>
                <w:sz w:val="20"/>
                <w:szCs w:val="20"/>
                <w:color w:val="auto"/>
              </w:rPr>
            </w:pPr>
            <w:r>
              <w:rPr>
                <w:rFonts w:ascii="Arial" w:cs="Arial" w:eastAsia="Arial" w:hAnsi="Arial"/>
                <w:sz w:val="18"/>
                <w:szCs w:val="18"/>
                <w:color w:val="auto"/>
                <w:w w:val="99"/>
              </w:rPr>
              <w:t>15%</w:t>
            </w:r>
          </w:p>
        </w:tc>
        <w:tc>
          <w:tcPr>
            <w:tcW w:w="3040" w:type="dxa"/>
            <w:vAlign w:val="bottom"/>
            <w:tcBorders>
              <w:right w:val="single" w:sz="8" w:color="C3E6FF"/>
            </w:tcBorders>
            <w:shd w:val="clear" w:color="auto" w:fill="F0F8FF"/>
          </w:tcPr>
          <w:p>
            <w:pPr>
              <w:jc w:val="center"/>
              <w:spacing w:after="0"/>
              <w:rPr>
                <w:sz w:val="20"/>
                <w:szCs w:val="20"/>
                <w:color w:val="auto"/>
              </w:rPr>
            </w:pPr>
            <w:r>
              <w:rPr>
                <w:rFonts w:ascii="Arial" w:cs="Arial" w:eastAsia="Arial" w:hAnsi="Arial"/>
                <w:sz w:val="18"/>
                <w:szCs w:val="18"/>
                <w:color w:val="auto"/>
                <w:w w:val="99"/>
              </w:rPr>
              <w:t>20%</w:t>
            </w:r>
          </w:p>
        </w:tc>
      </w:tr>
      <w:tr>
        <w:trPr>
          <w:trHeight w:val="94"/>
        </w:trPr>
        <w:tc>
          <w:tcPr>
            <w:tcW w:w="1840" w:type="dxa"/>
            <w:vAlign w:val="bottom"/>
            <w:tcBorders>
              <w:left w:val="single" w:sz="8" w:color="C3E6FF"/>
            </w:tcBorders>
            <w:shd w:val="clear" w:color="auto" w:fill="F0F8FF"/>
          </w:tcPr>
          <w:p>
            <w:pPr>
              <w:spacing w:after="0"/>
              <w:rPr>
                <w:sz w:val="8"/>
                <w:szCs w:val="8"/>
                <w:color w:val="auto"/>
              </w:rPr>
            </w:pPr>
          </w:p>
        </w:tc>
        <w:tc>
          <w:tcPr>
            <w:tcW w:w="2120" w:type="dxa"/>
            <w:vAlign w:val="bottom"/>
            <w:shd w:val="clear" w:color="auto" w:fill="F0F8FF"/>
          </w:tcPr>
          <w:p>
            <w:pPr>
              <w:spacing w:after="0"/>
              <w:rPr>
                <w:sz w:val="8"/>
                <w:szCs w:val="8"/>
                <w:color w:val="auto"/>
              </w:rPr>
            </w:pPr>
          </w:p>
        </w:tc>
        <w:tc>
          <w:tcPr>
            <w:tcW w:w="1980" w:type="dxa"/>
            <w:vAlign w:val="bottom"/>
            <w:shd w:val="clear" w:color="auto" w:fill="F0F8FF"/>
          </w:tcPr>
          <w:p>
            <w:pPr>
              <w:spacing w:after="0"/>
              <w:rPr>
                <w:sz w:val="8"/>
                <w:szCs w:val="8"/>
                <w:color w:val="auto"/>
              </w:rPr>
            </w:pPr>
          </w:p>
        </w:tc>
        <w:tc>
          <w:tcPr>
            <w:tcW w:w="3040" w:type="dxa"/>
            <w:vAlign w:val="bottom"/>
            <w:tcBorders>
              <w:right w:val="single" w:sz="8" w:color="C3E6FF"/>
            </w:tcBorders>
            <w:shd w:val="clear" w:color="auto" w:fill="F0F8FF"/>
          </w:tcPr>
          <w:p>
            <w:pPr>
              <w:spacing w:after="0"/>
              <w:rPr>
                <w:sz w:val="8"/>
                <w:szCs w:val="8"/>
                <w:color w:val="auto"/>
              </w:rPr>
            </w:pPr>
          </w:p>
        </w:tc>
      </w:tr>
      <w:tr>
        <w:trPr>
          <w:trHeight w:val="324"/>
        </w:trPr>
        <w:tc>
          <w:tcPr>
            <w:tcW w:w="184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Nalin Miglani</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3040" w:type="dxa"/>
            <w:vAlign w:val="bottom"/>
            <w:tcBorders>
              <w:right w:val="single" w:sz="8" w:color="C3E6FF"/>
            </w:tcBorders>
          </w:tcPr>
          <w:p>
            <w:pPr>
              <w:jc w:val="center"/>
              <w:spacing w:after="0"/>
              <w:rPr>
                <w:sz w:val="20"/>
                <w:szCs w:val="20"/>
                <w:color w:val="auto"/>
              </w:rPr>
            </w:pPr>
            <w:r>
              <w:rPr>
                <w:rFonts w:ascii="Arial" w:cs="Arial" w:eastAsia="Arial" w:hAnsi="Arial"/>
                <w:sz w:val="18"/>
                <w:szCs w:val="18"/>
                <w:color w:val="auto"/>
                <w:w w:val="99"/>
              </w:rPr>
              <w:t>20%</w:t>
            </w:r>
          </w:p>
        </w:tc>
      </w:tr>
      <w:tr>
        <w:trPr>
          <w:trHeight w:val="95"/>
        </w:trPr>
        <w:tc>
          <w:tcPr>
            <w:tcW w:w="1840" w:type="dxa"/>
            <w:vAlign w:val="bottom"/>
            <w:tcBorders>
              <w:left w:val="single" w:sz="8" w:color="C3E6FF"/>
            </w:tcBorders>
          </w:tcPr>
          <w:p>
            <w:pPr>
              <w:spacing w:after="0"/>
              <w:rPr>
                <w:sz w:val="8"/>
                <w:szCs w:val="8"/>
                <w:color w:val="auto"/>
              </w:rPr>
            </w:pPr>
          </w:p>
        </w:tc>
        <w:tc>
          <w:tcPr>
            <w:tcW w:w="2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040" w:type="dxa"/>
            <w:vAlign w:val="bottom"/>
            <w:tcBorders>
              <w:right w:val="single" w:sz="8" w:color="C3E6FF"/>
            </w:tcBorders>
          </w:tcPr>
          <w:p>
            <w:pPr>
              <w:spacing w:after="0"/>
              <w:rPr>
                <w:sz w:val="8"/>
                <w:szCs w:val="8"/>
                <w:color w:val="auto"/>
              </w:rPr>
            </w:pPr>
          </w:p>
        </w:tc>
      </w:tr>
      <w:tr>
        <w:trPr>
          <w:trHeight w:val="324"/>
        </w:trPr>
        <w:tc>
          <w:tcPr>
            <w:tcW w:w="1840" w:type="dxa"/>
            <w:vAlign w:val="bottom"/>
            <w:tcBorders>
              <w:left w:val="single" w:sz="8" w:color="C3E6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Vikas Bhalla</w:t>
            </w:r>
          </w:p>
        </w:tc>
        <w:tc>
          <w:tcPr>
            <w:tcW w:w="2120" w:type="dxa"/>
            <w:vAlign w:val="bottom"/>
            <w:shd w:val="clear" w:color="auto" w:fill="F0F8FF"/>
          </w:tcPr>
          <w:p>
            <w:pPr>
              <w:jc w:val="center"/>
              <w:spacing w:after="0"/>
              <w:rPr>
                <w:sz w:val="20"/>
                <w:szCs w:val="20"/>
                <w:color w:val="auto"/>
              </w:rPr>
            </w:pPr>
            <w:r>
              <w:rPr>
                <w:rFonts w:ascii="Arial" w:cs="Arial" w:eastAsia="Arial" w:hAnsi="Arial"/>
                <w:sz w:val="18"/>
                <w:szCs w:val="18"/>
                <w:color w:val="auto"/>
                <w:w w:val="99"/>
              </w:rPr>
              <w:t>40%</w:t>
            </w:r>
          </w:p>
        </w:tc>
        <w:tc>
          <w:tcPr>
            <w:tcW w:w="1980" w:type="dxa"/>
            <w:vAlign w:val="bottom"/>
            <w:shd w:val="clear" w:color="auto" w:fill="F0F8FF"/>
          </w:tcPr>
          <w:p>
            <w:pPr>
              <w:jc w:val="center"/>
              <w:spacing w:after="0"/>
              <w:rPr>
                <w:sz w:val="20"/>
                <w:szCs w:val="20"/>
                <w:color w:val="auto"/>
              </w:rPr>
            </w:pPr>
            <w:r>
              <w:rPr>
                <w:rFonts w:ascii="Arial" w:cs="Arial" w:eastAsia="Arial" w:hAnsi="Arial"/>
                <w:sz w:val="18"/>
                <w:szCs w:val="18"/>
                <w:color w:val="auto"/>
                <w:w w:val="99"/>
              </w:rPr>
              <w:t>20%</w:t>
            </w:r>
          </w:p>
        </w:tc>
        <w:tc>
          <w:tcPr>
            <w:tcW w:w="3040" w:type="dxa"/>
            <w:vAlign w:val="bottom"/>
            <w:tcBorders>
              <w:right w:val="single" w:sz="8" w:color="C3E6FF"/>
            </w:tcBorders>
            <w:shd w:val="clear" w:color="auto" w:fill="F0F8FF"/>
          </w:tcPr>
          <w:p>
            <w:pPr>
              <w:jc w:val="center"/>
              <w:spacing w:after="0"/>
              <w:rPr>
                <w:sz w:val="20"/>
                <w:szCs w:val="20"/>
                <w:color w:val="auto"/>
              </w:rPr>
            </w:pPr>
            <w:r>
              <w:rPr>
                <w:rFonts w:ascii="Arial" w:cs="Arial" w:eastAsia="Arial" w:hAnsi="Arial"/>
                <w:sz w:val="18"/>
                <w:szCs w:val="18"/>
                <w:color w:val="auto"/>
                <w:w w:val="99"/>
              </w:rPr>
              <w:t>40%</w:t>
            </w:r>
          </w:p>
        </w:tc>
      </w:tr>
      <w:tr>
        <w:trPr>
          <w:trHeight w:val="94"/>
        </w:trPr>
        <w:tc>
          <w:tcPr>
            <w:tcW w:w="1840" w:type="dxa"/>
            <w:vAlign w:val="bottom"/>
            <w:tcBorders>
              <w:left w:val="single" w:sz="8" w:color="C3E6FF"/>
            </w:tcBorders>
            <w:shd w:val="clear" w:color="auto" w:fill="F0F8FF"/>
          </w:tcPr>
          <w:p>
            <w:pPr>
              <w:spacing w:after="0"/>
              <w:rPr>
                <w:sz w:val="8"/>
                <w:szCs w:val="8"/>
                <w:color w:val="auto"/>
              </w:rPr>
            </w:pPr>
          </w:p>
        </w:tc>
        <w:tc>
          <w:tcPr>
            <w:tcW w:w="2120" w:type="dxa"/>
            <w:vAlign w:val="bottom"/>
            <w:shd w:val="clear" w:color="auto" w:fill="F0F8FF"/>
          </w:tcPr>
          <w:p>
            <w:pPr>
              <w:spacing w:after="0"/>
              <w:rPr>
                <w:sz w:val="8"/>
                <w:szCs w:val="8"/>
                <w:color w:val="auto"/>
              </w:rPr>
            </w:pPr>
          </w:p>
        </w:tc>
        <w:tc>
          <w:tcPr>
            <w:tcW w:w="1980" w:type="dxa"/>
            <w:vAlign w:val="bottom"/>
            <w:shd w:val="clear" w:color="auto" w:fill="F0F8FF"/>
          </w:tcPr>
          <w:p>
            <w:pPr>
              <w:spacing w:after="0"/>
              <w:rPr>
                <w:sz w:val="8"/>
                <w:szCs w:val="8"/>
                <w:color w:val="auto"/>
              </w:rPr>
            </w:pPr>
          </w:p>
        </w:tc>
        <w:tc>
          <w:tcPr>
            <w:tcW w:w="3040" w:type="dxa"/>
            <w:vAlign w:val="bottom"/>
            <w:tcBorders>
              <w:right w:val="single" w:sz="8" w:color="C3E6FF"/>
            </w:tcBorders>
            <w:shd w:val="clear" w:color="auto" w:fill="F0F8FF"/>
          </w:tcPr>
          <w:p>
            <w:pPr>
              <w:spacing w:after="0"/>
              <w:rPr>
                <w:sz w:val="8"/>
                <w:szCs w:val="8"/>
                <w:color w:val="auto"/>
              </w:rPr>
            </w:pPr>
          </w:p>
        </w:tc>
      </w:tr>
      <w:tr>
        <w:trPr>
          <w:trHeight w:val="324"/>
        </w:trPr>
        <w:tc>
          <w:tcPr>
            <w:tcW w:w="184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Samuel Meckey</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3040" w:type="dxa"/>
            <w:vAlign w:val="bottom"/>
            <w:tcBorders>
              <w:right w:val="single" w:sz="8" w:color="C3E6FF"/>
            </w:tcBorders>
          </w:tcPr>
          <w:p>
            <w:pPr>
              <w:jc w:val="center"/>
              <w:spacing w:after="0"/>
              <w:rPr>
                <w:sz w:val="20"/>
                <w:szCs w:val="20"/>
                <w:color w:val="auto"/>
              </w:rPr>
            </w:pPr>
            <w:r>
              <w:rPr>
                <w:rFonts w:ascii="Arial" w:cs="Arial" w:eastAsia="Arial" w:hAnsi="Arial"/>
                <w:sz w:val="18"/>
                <w:szCs w:val="18"/>
                <w:color w:val="auto"/>
                <w:w w:val="99"/>
              </w:rPr>
              <w:t>40%</w:t>
            </w:r>
          </w:p>
        </w:tc>
      </w:tr>
      <w:tr>
        <w:trPr>
          <w:trHeight w:val="101"/>
        </w:trPr>
        <w:tc>
          <w:tcPr>
            <w:tcW w:w="1840" w:type="dxa"/>
            <w:vAlign w:val="bottom"/>
            <w:tcBorders>
              <w:left w:val="single" w:sz="8" w:color="C3E6FF"/>
              <w:bottom w:val="single" w:sz="8" w:color="C3E6FF"/>
            </w:tcBorders>
          </w:tcPr>
          <w:p>
            <w:pPr>
              <w:spacing w:after="0"/>
              <w:rPr>
                <w:sz w:val="8"/>
                <w:szCs w:val="8"/>
                <w:color w:val="auto"/>
              </w:rPr>
            </w:pPr>
          </w:p>
        </w:tc>
        <w:tc>
          <w:tcPr>
            <w:tcW w:w="2120" w:type="dxa"/>
            <w:vAlign w:val="bottom"/>
            <w:tcBorders>
              <w:bottom w:val="single" w:sz="8" w:color="C3E6FF"/>
            </w:tcBorders>
          </w:tcPr>
          <w:p>
            <w:pPr>
              <w:spacing w:after="0"/>
              <w:rPr>
                <w:sz w:val="8"/>
                <w:szCs w:val="8"/>
                <w:color w:val="auto"/>
              </w:rPr>
            </w:pPr>
          </w:p>
        </w:tc>
        <w:tc>
          <w:tcPr>
            <w:tcW w:w="1980" w:type="dxa"/>
            <w:vAlign w:val="bottom"/>
            <w:tcBorders>
              <w:bottom w:val="single" w:sz="8" w:color="C3E6FF"/>
            </w:tcBorders>
          </w:tcPr>
          <w:p>
            <w:pPr>
              <w:spacing w:after="0"/>
              <w:rPr>
                <w:sz w:val="8"/>
                <w:szCs w:val="8"/>
                <w:color w:val="auto"/>
              </w:rPr>
            </w:pPr>
          </w:p>
        </w:tc>
        <w:tc>
          <w:tcPr>
            <w:tcW w:w="3040" w:type="dxa"/>
            <w:vAlign w:val="bottom"/>
            <w:tcBorders>
              <w:bottom w:val="single" w:sz="8" w:color="C3E6FF"/>
              <w:right w:val="single" w:sz="8" w:color="C3E6FF"/>
            </w:tcBorders>
          </w:tcPr>
          <w:p>
            <w:pPr>
              <w:spacing w:after="0"/>
              <w:rPr>
                <w:sz w:val="8"/>
                <w:szCs w:val="8"/>
                <w:color w:val="auto"/>
              </w:rPr>
            </w:pPr>
          </w:p>
        </w:tc>
      </w:tr>
    </w:tbl>
    <w:p>
      <w:pPr>
        <w:spacing w:after="0" w:line="5" w:lineRule="exact"/>
        <w:rPr>
          <w:sz w:val="20"/>
          <w:szCs w:val="20"/>
          <w:color w:val="auto"/>
        </w:rPr>
      </w:pPr>
    </w:p>
    <w:p>
      <w:pPr>
        <w:ind w:left="740" w:right="240" w:hanging="3"/>
        <w:spacing w:after="0" w:line="258" w:lineRule="auto"/>
        <w:tabs>
          <w:tab w:leader="none" w:pos="956" w:val="left"/>
        </w:tabs>
        <w:numPr>
          <w:ilvl w:val="0"/>
          <w:numId w:val="82"/>
        </w:numPr>
        <w:rPr>
          <w:rFonts w:ascii="Arial" w:cs="Arial" w:eastAsia="Arial" w:hAnsi="Arial"/>
          <w:sz w:val="14"/>
          <w:szCs w:val="14"/>
          <w:color w:val="262626"/>
        </w:rPr>
      </w:pPr>
      <w:r>
        <w:rPr>
          <w:rFonts w:ascii="Arial" w:cs="Arial" w:eastAsia="Arial" w:hAnsi="Arial"/>
          <w:sz w:val="14"/>
          <w:szCs w:val="14"/>
          <w:color w:val="262626"/>
        </w:rPr>
        <w:t>Based 50% on the Company’s Adjusted EPS goal and 50% on the Company’s revenue goal, for all employees whose incentive bonus is linked to Company</w:t>
      </w:r>
      <w:r>
        <w:rPr>
          <w:rFonts w:ascii="Arial" w:cs="Arial" w:eastAsia="Arial" w:hAnsi="Arial"/>
          <w:sz w:val="14"/>
          <w:szCs w:val="14"/>
          <w:color w:val="000000"/>
        </w:rPr>
        <w:t>-wide financial performance, including our named executive officers.</w:t>
      </w:r>
    </w:p>
    <w:p>
      <w:pPr>
        <w:spacing w:after="0" w:line="139" w:lineRule="exact"/>
        <w:rPr>
          <w:rFonts w:ascii="Arial" w:cs="Arial" w:eastAsia="Arial" w:hAnsi="Arial"/>
          <w:sz w:val="14"/>
          <w:szCs w:val="14"/>
          <w:color w:val="262626"/>
        </w:rPr>
      </w:pPr>
    </w:p>
    <w:p>
      <w:pPr>
        <w:ind w:left="740" w:right="40" w:hanging="3"/>
        <w:spacing w:after="0" w:line="249" w:lineRule="auto"/>
        <w:tabs>
          <w:tab w:leader="none" w:pos="956" w:val="left"/>
        </w:tabs>
        <w:numPr>
          <w:ilvl w:val="0"/>
          <w:numId w:val="82"/>
        </w:numPr>
        <w:rPr>
          <w:rFonts w:ascii="Arial" w:cs="Arial" w:eastAsia="Arial" w:hAnsi="Arial"/>
          <w:sz w:val="14"/>
          <w:szCs w:val="14"/>
          <w:color w:val="262626"/>
        </w:rPr>
      </w:pPr>
      <w:r>
        <w:rPr>
          <w:rFonts w:ascii="Arial" w:cs="Arial" w:eastAsia="Arial" w:hAnsi="Arial"/>
          <w:sz w:val="14"/>
          <w:szCs w:val="14"/>
          <w:color w:val="262626"/>
        </w:rPr>
        <w:t>For Messrs. Kapoor, Chhibbar, Bagai and Miglani, based on aggregate Revenue and Adjusted EPS for specific business units. For Messrs. Bhalla and Meckey, based on total revenue and business operating income for specific business units. Business operating income is a component for measuring business unit performance that is computed as the business unit’s gross margin less direct operating expenses.</w:t>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In 2019, the Compensation Committee continued to set the business line and other Company performance goals as well as the individual performance goals described above for all named executive officers to ensure the executives were properly focused on both the Company’s Adjusted EPS and revenue goals, aggregate of business units’ performance on revenue and other areas of performance that are unique to their positions within the organization. In 2018, we decided to move away from basing our annual bonus in part on Adjusted EPS and, instead, to base it in part on Adjusted profits before tax (“PBT”) targets because of the uncertain effect of proposed U.S. tax reforms on the Company and the Adjusted EPS calculation. Adjusted PBT, by its nature, is a measure that is unaffected by the then-current year’s taxation. However, since the enactment of the Tax Cuts and Jobs Act of 2017 on December 22, 2017, the Compensation Committee decided to return to using the Adjusted EPS target as the basis, in part, for the 2019 annual incentive awards. The Compensation Committee believes achievement of these performance metrics will drive our business and, in turn, lead to increased stockholder value.</w:t>
      </w:r>
    </w:p>
    <w:p>
      <w:pPr>
        <w:spacing w:after="0" w:line="1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262626"/>
        </w:rPr>
        <w:t>Determination of Financial Performance Achievement</w:t>
      </w:r>
      <w:r>
        <w:rPr>
          <w:rFonts w:ascii="Arial" w:cs="Arial" w:eastAsia="Arial" w:hAnsi="Arial"/>
          <w:sz w:val="18"/>
          <w:szCs w:val="18"/>
          <w:color w:val="262626"/>
        </w:rPr>
        <w:t>: In 2019, our Compensation Committee established an Adjusted EPS target of</w:t>
      </w:r>
      <w:r>
        <w:rPr>
          <w:rFonts w:ascii="Arial" w:cs="Arial" w:eastAsia="Arial" w:hAnsi="Arial"/>
          <w:sz w:val="18"/>
          <w:szCs w:val="18"/>
          <w:b w:val="1"/>
          <w:bCs w:val="1"/>
          <w:color w:val="262626"/>
        </w:rPr>
        <w:t xml:space="preserve"> </w:t>
      </w:r>
      <w:r>
        <w:rPr>
          <w:rFonts w:ascii="Arial" w:cs="Arial" w:eastAsia="Arial" w:hAnsi="Arial"/>
          <w:sz w:val="18"/>
          <w:szCs w:val="18"/>
          <w:color w:val="262626"/>
        </w:rPr>
        <w:t>$3.175 (14.6% higher than our actual Adjusted EPS for the prior year) and a revenue target of $989.0 million (12.0% higher than our actual revenue for the prior year). As shown below, the portion of incentive bonus payments that were subject to these financial performance measures could have ranged from zero to 210% of target depending on the achievement of the performance goals:</w:t>
      </w:r>
    </w:p>
    <w:p>
      <w:pPr>
        <w:spacing w:after="0" w:line="320"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2451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Performance Targets: Adjusted EPS ($3.175) and Revenue ($989.0 million)</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351"/>
        </w:trPr>
        <w:tc>
          <w:tcPr>
            <w:tcW w:w="5600" w:type="dxa"/>
            <w:vAlign w:val="bottom"/>
            <w:shd w:val="clear" w:color="auto" w:fill="F0F8FF"/>
          </w:tcPr>
          <w:p>
            <w:pPr>
              <w:ind w:left="120"/>
              <w:spacing w:after="0"/>
              <w:rPr>
                <w:sz w:val="20"/>
                <w:szCs w:val="20"/>
                <w:color w:val="auto"/>
              </w:rPr>
            </w:pPr>
            <w:r>
              <w:rPr>
                <w:rFonts w:ascii="Arial" w:cs="Arial" w:eastAsia="Arial" w:hAnsi="Arial"/>
                <w:sz w:val="18"/>
                <w:szCs w:val="18"/>
                <w:b w:val="1"/>
                <w:bCs w:val="1"/>
                <w:color w:val="auto"/>
              </w:rPr>
              <w:t>% of Performance Achieved Compared to Target Goal</w:t>
            </w:r>
          </w:p>
        </w:tc>
        <w:tc>
          <w:tcPr>
            <w:tcW w:w="5600" w:type="dxa"/>
            <w:vAlign w:val="bottom"/>
            <w:shd w:val="clear" w:color="auto" w:fill="F0F8FF"/>
          </w:tcPr>
          <w:p>
            <w:pPr>
              <w:ind w:left="900"/>
              <w:spacing w:after="0"/>
              <w:rPr>
                <w:sz w:val="20"/>
                <w:szCs w:val="20"/>
                <w:color w:val="auto"/>
              </w:rPr>
            </w:pPr>
            <w:r>
              <w:rPr>
                <w:rFonts w:ascii="Arial" w:cs="Arial" w:eastAsia="Arial" w:hAnsi="Arial"/>
                <w:sz w:val="18"/>
                <w:szCs w:val="18"/>
                <w:b w:val="1"/>
                <w:bCs w:val="1"/>
                <w:color w:val="auto"/>
              </w:rPr>
              <w:t>% of Target Portion Funded</w:t>
            </w:r>
          </w:p>
        </w:tc>
      </w:tr>
      <w:tr>
        <w:trPr>
          <w:trHeight w:val="94"/>
        </w:trPr>
        <w:tc>
          <w:tcPr>
            <w:tcW w:w="5600" w:type="dxa"/>
            <w:vAlign w:val="bottom"/>
            <w:shd w:val="clear" w:color="auto" w:fill="F0F8FF"/>
          </w:tcPr>
          <w:p>
            <w:pPr>
              <w:spacing w:after="0"/>
              <w:rPr>
                <w:sz w:val="8"/>
                <w:szCs w:val="8"/>
                <w:color w:val="auto"/>
              </w:rPr>
            </w:pPr>
          </w:p>
        </w:tc>
        <w:tc>
          <w:tcPr>
            <w:tcW w:w="5600" w:type="dxa"/>
            <w:vAlign w:val="bottom"/>
            <w:shd w:val="clear" w:color="auto" w:fill="F0F8FF"/>
          </w:tcPr>
          <w:p>
            <w:pPr>
              <w:spacing w:after="0"/>
              <w:rPr>
                <w:sz w:val="8"/>
                <w:szCs w:val="8"/>
                <w:color w:val="auto"/>
              </w:rPr>
            </w:pPr>
          </w:p>
        </w:tc>
      </w:tr>
      <w:tr>
        <w:trPr>
          <w:trHeight w:val="324"/>
        </w:trPr>
        <w:tc>
          <w:tcPr>
            <w:tcW w:w="5600" w:type="dxa"/>
            <w:vAlign w:val="bottom"/>
          </w:tcPr>
          <w:p>
            <w:pPr>
              <w:ind w:left="120"/>
              <w:spacing w:after="0"/>
              <w:rPr>
                <w:sz w:val="20"/>
                <w:szCs w:val="20"/>
                <w:color w:val="auto"/>
              </w:rPr>
            </w:pPr>
            <w:r>
              <w:rPr>
                <w:rFonts w:ascii="Arial" w:cs="Arial" w:eastAsia="Arial" w:hAnsi="Arial"/>
                <w:sz w:val="18"/>
                <w:szCs w:val="18"/>
                <w:color w:val="auto"/>
              </w:rPr>
              <w:t>Less than 90%</w:t>
            </w:r>
          </w:p>
        </w:tc>
        <w:tc>
          <w:tcPr>
            <w:tcW w:w="5600" w:type="dxa"/>
            <w:vAlign w:val="bottom"/>
          </w:tcPr>
          <w:p>
            <w:pPr>
              <w:ind w:left="900"/>
              <w:spacing w:after="0"/>
              <w:rPr>
                <w:sz w:val="20"/>
                <w:szCs w:val="20"/>
                <w:color w:val="auto"/>
              </w:rPr>
            </w:pPr>
            <w:r>
              <w:rPr>
                <w:rFonts w:ascii="Arial" w:cs="Arial" w:eastAsia="Arial" w:hAnsi="Arial"/>
                <w:sz w:val="18"/>
                <w:szCs w:val="18"/>
                <w:color w:val="auto"/>
              </w:rPr>
              <w:t>0%</w:t>
            </w:r>
          </w:p>
        </w:tc>
      </w:tr>
      <w:tr>
        <w:trPr>
          <w:trHeight w:val="94"/>
        </w:trPr>
        <w:tc>
          <w:tcPr>
            <w:tcW w:w="5600" w:type="dxa"/>
            <w:vAlign w:val="bottom"/>
          </w:tcPr>
          <w:p>
            <w:pPr>
              <w:spacing w:after="0"/>
              <w:rPr>
                <w:sz w:val="8"/>
                <w:szCs w:val="8"/>
                <w:color w:val="auto"/>
              </w:rPr>
            </w:pPr>
          </w:p>
        </w:tc>
        <w:tc>
          <w:tcPr>
            <w:tcW w:w="5600" w:type="dxa"/>
            <w:vAlign w:val="bottom"/>
          </w:tcPr>
          <w:p>
            <w:pPr>
              <w:spacing w:after="0"/>
              <w:rPr>
                <w:sz w:val="8"/>
                <w:szCs w:val="8"/>
                <w:color w:val="auto"/>
              </w:rPr>
            </w:pPr>
          </w:p>
        </w:tc>
      </w:tr>
      <w:tr>
        <w:trPr>
          <w:trHeight w:val="324"/>
        </w:trPr>
        <w:tc>
          <w:tcPr>
            <w:tcW w:w="5600" w:type="dxa"/>
            <w:vAlign w:val="bottom"/>
            <w:shd w:val="clear" w:color="auto" w:fill="F0F8FF"/>
          </w:tcPr>
          <w:p>
            <w:pPr>
              <w:ind w:left="120"/>
              <w:spacing w:after="0"/>
              <w:rPr>
                <w:sz w:val="20"/>
                <w:szCs w:val="20"/>
                <w:color w:val="auto"/>
              </w:rPr>
            </w:pPr>
            <w:r>
              <w:rPr>
                <w:rFonts w:ascii="Arial" w:cs="Arial" w:eastAsia="Arial" w:hAnsi="Arial"/>
                <w:sz w:val="18"/>
                <w:szCs w:val="18"/>
                <w:color w:val="auto"/>
              </w:rPr>
              <w:t>At 90%</w:t>
            </w:r>
          </w:p>
        </w:tc>
        <w:tc>
          <w:tcPr>
            <w:tcW w:w="5600" w:type="dxa"/>
            <w:vAlign w:val="bottom"/>
            <w:shd w:val="clear" w:color="auto" w:fill="F0F8FF"/>
          </w:tcPr>
          <w:p>
            <w:pPr>
              <w:ind w:left="900"/>
              <w:spacing w:after="0"/>
              <w:rPr>
                <w:sz w:val="20"/>
                <w:szCs w:val="20"/>
                <w:color w:val="auto"/>
              </w:rPr>
            </w:pPr>
            <w:r>
              <w:rPr>
                <w:rFonts w:ascii="Arial" w:cs="Arial" w:eastAsia="Arial" w:hAnsi="Arial"/>
                <w:sz w:val="18"/>
                <w:szCs w:val="18"/>
                <w:color w:val="auto"/>
              </w:rPr>
              <w:t>10%</w:t>
            </w:r>
          </w:p>
        </w:tc>
      </w:tr>
      <w:tr>
        <w:trPr>
          <w:trHeight w:val="95"/>
        </w:trPr>
        <w:tc>
          <w:tcPr>
            <w:tcW w:w="5600" w:type="dxa"/>
            <w:vAlign w:val="bottom"/>
            <w:shd w:val="clear" w:color="auto" w:fill="F0F8FF"/>
          </w:tcPr>
          <w:p>
            <w:pPr>
              <w:spacing w:after="0"/>
              <w:rPr>
                <w:sz w:val="8"/>
                <w:szCs w:val="8"/>
                <w:color w:val="auto"/>
              </w:rPr>
            </w:pPr>
          </w:p>
        </w:tc>
        <w:tc>
          <w:tcPr>
            <w:tcW w:w="5600" w:type="dxa"/>
            <w:vAlign w:val="bottom"/>
            <w:shd w:val="clear" w:color="auto" w:fill="F0F8FF"/>
          </w:tcPr>
          <w:p>
            <w:pPr>
              <w:spacing w:after="0"/>
              <w:rPr>
                <w:sz w:val="8"/>
                <w:szCs w:val="8"/>
                <w:color w:val="auto"/>
              </w:rPr>
            </w:pPr>
          </w:p>
        </w:tc>
      </w:tr>
      <w:tr>
        <w:trPr>
          <w:trHeight w:val="324"/>
        </w:trPr>
        <w:tc>
          <w:tcPr>
            <w:tcW w:w="5600" w:type="dxa"/>
            <w:vAlign w:val="bottom"/>
          </w:tcPr>
          <w:p>
            <w:pPr>
              <w:ind w:left="120"/>
              <w:spacing w:after="0"/>
              <w:rPr>
                <w:sz w:val="20"/>
                <w:szCs w:val="20"/>
                <w:color w:val="auto"/>
              </w:rPr>
            </w:pPr>
            <w:r>
              <w:rPr>
                <w:rFonts w:ascii="Arial" w:cs="Arial" w:eastAsia="Arial" w:hAnsi="Arial"/>
                <w:sz w:val="18"/>
                <w:szCs w:val="18"/>
                <w:color w:val="auto"/>
              </w:rPr>
              <w:t>90% to 100%</w:t>
            </w:r>
          </w:p>
        </w:tc>
        <w:tc>
          <w:tcPr>
            <w:tcW w:w="5600" w:type="dxa"/>
            <w:vAlign w:val="bottom"/>
          </w:tcPr>
          <w:p>
            <w:pPr>
              <w:ind w:left="900"/>
              <w:spacing w:after="0"/>
              <w:rPr>
                <w:sz w:val="20"/>
                <w:szCs w:val="20"/>
                <w:color w:val="auto"/>
              </w:rPr>
            </w:pPr>
            <w:r>
              <w:rPr>
                <w:rFonts w:ascii="Arial" w:cs="Arial" w:eastAsia="Arial" w:hAnsi="Arial"/>
                <w:sz w:val="18"/>
                <w:szCs w:val="18"/>
                <w:color w:val="auto"/>
              </w:rPr>
              <w:t>Linear interpolation from 10% to 100%</w:t>
            </w:r>
          </w:p>
        </w:tc>
      </w:tr>
      <w:tr>
        <w:trPr>
          <w:trHeight w:val="94"/>
        </w:trPr>
        <w:tc>
          <w:tcPr>
            <w:tcW w:w="5600" w:type="dxa"/>
            <w:vAlign w:val="bottom"/>
          </w:tcPr>
          <w:p>
            <w:pPr>
              <w:spacing w:after="0"/>
              <w:rPr>
                <w:sz w:val="8"/>
                <w:szCs w:val="8"/>
                <w:color w:val="auto"/>
              </w:rPr>
            </w:pPr>
          </w:p>
        </w:tc>
        <w:tc>
          <w:tcPr>
            <w:tcW w:w="5600" w:type="dxa"/>
            <w:vAlign w:val="bottom"/>
          </w:tcPr>
          <w:p>
            <w:pPr>
              <w:spacing w:after="0"/>
              <w:rPr>
                <w:sz w:val="8"/>
                <w:szCs w:val="8"/>
                <w:color w:val="auto"/>
              </w:rPr>
            </w:pPr>
          </w:p>
        </w:tc>
      </w:tr>
      <w:tr>
        <w:trPr>
          <w:trHeight w:val="324"/>
        </w:trPr>
        <w:tc>
          <w:tcPr>
            <w:tcW w:w="5600" w:type="dxa"/>
            <w:vAlign w:val="bottom"/>
            <w:shd w:val="clear" w:color="auto" w:fill="F0F8FF"/>
          </w:tcPr>
          <w:p>
            <w:pPr>
              <w:ind w:left="120"/>
              <w:spacing w:after="0"/>
              <w:rPr>
                <w:sz w:val="20"/>
                <w:szCs w:val="20"/>
                <w:color w:val="auto"/>
              </w:rPr>
            </w:pPr>
            <w:r>
              <w:rPr>
                <w:rFonts w:ascii="Arial" w:cs="Arial" w:eastAsia="Arial" w:hAnsi="Arial"/>
                <w:sz w:val="18"/>
                <w:szCs w:val="18"/>
                <w:color w:val="auto"/>
              </w:rPr>
              <w:t>At 100%</w:t>
            </w:r>
          </w:p>
        </w:tc>
        <w:tc>
          <w:tcPr>
            <w:tcW w:w="5600" w:type="dxa"/>
            <w:vAlign w:val="bottom"/>
            <w:shd w:val="clear" w:color="auto" w:fill="F0F8FF"/>
          </w:tcPr>
          <w:p>
            <w:pPr>
              <w:ind w:left="900"/>
              <w:spacing w:after="0"/>
              <w:rPr>
                <w:sz w:val="20"/>
                <w:szCs w:val="20"/>
                <w:color w:val="auto"/>
              </w:rPr>
            </w:pPr>
            <w:r>
              <w:rPr>
                <w:rFonts w:ascii="Arial" w:cs="Arial" w:eastAsia="Arial" w:hAnsi="Arial"/>
                <w:sz w:val="18"/>
                <w:szCs w:val="18"/>
                <w:color w:val="auto"/>
              </w:rPr>
              <w:t>100%</w:t>
            </w:r>
          </w:p>
        </w:tc>
      </w:tr>
      <w:tr>
        <w:trPr>
          <w:trHeight w:val="94"/>
        </w:trPr>
        <w:tc>
          <w:tcPr>
            <w:tcW w:w="5600" w:type="dxa"/>
            <w:vAlign w:val="bottom"/>
            <w:shd w:val="clear" w:color="auto" w:fill="F0F8FF"/>
          </w:tcPr>
          <w:p>
            <w:pPr>
              <w:spacing w:after="0"/>
              <w:rPr>
                <w:sz w:val="8"/>
                <w:szCs w:val="8"/>
                <w:color w:val="auto"/>
              </w:rPr>
            </w:pPr>
          </w:p>
        </w:tc>
        <w:tc>
          <w:tcPr>
            <w:tcW w:w="5600" w:type="dxa"/>
            <w:vAlign w:val="bottom"/>
            <w:shd w:val="clear" w:color="auto" w:fill="F0F8FF"/>
          </w:tcPr>
          <w:p>
            <w:pPr>
              <w:spacing w:after="0"/>
              <w:rPr>
                <w:sz w:val="8"/>
                <w:szCs w:val="8"/>
                <w:color w:val="auto"/>
              </w:rPr>
            </w:pPr>
          </w:p>
        </w:tc>
      </w:tr>
      <w:tr>
        <w:trPr>
          <w:trHeight w:val="324"/>
        </w:trPr>
        <w:tc>
          <w:tcPr>
            <w:tcW w:w="5600" w:type="dxa"/>
            <w:vAlign w:val="bottom"/>
          </w:tcPr>
          <w:p>
            <w:pPr>
              <w:ind w:left="120"/>
              <w:spacing w:after="0"/>
              <w:rPr>
                <w:sz w:val="20"/>
                <w:szCs w:val="20"/>
                <w:color w:val="auto"/>
              </w:rPr>
            </w:pPr>
            <w:r>
              <w:rPr>
                <w:rFonts w:ascii="Arial" w:cs="Arial" w:eastAsia="Arial" w:hAnsi="Arial"/>
                <w:sz w:val="18"/>
                <w:szCs w:val="18"/>
                <w:color w:val="auto"/>
              </w:rPr>
              <w:t>100% to 105%</w:t>
            </w:r>
          </w:p>
        </w:tc>
        <w:tc>
          <w:tcPr>
            <w:tcW w:w="5600" w:type="dxa"/>
            <w:vAlign w:val="bottom"/>
          </w:tcPr>
          <w:p>
            <w:pPr>
              <w:ind w:left="900"/>
              <w:spacing w:after="0"/>
              <w:rPr>
                <w:sz w:val="20"/>
                <w:szCs w:val="20"/>
                <w:color w:val="auto"/>
              </w:rPr>
            </w:pPr>
            <w:r>
              <w:rPr>
                <w:rFonts w:ascii="Arial" w:cs="Arial" w:eastAsia="Arial" w:hAnsi="Arial"/>
                <w:sz w:val="18"/>
                <w:szCs w:val="18"/>
                <w:color w:val="auto"/>
              </w:rPr>
              <w:t>Linear interpolation from 100% to 160%</w:t>
            </w:r>
          </w:p>
        </w:tc>
      </w:tr>
      <w:tr>
        <w:trPr>
          <w:trHeight w:val="94"/>
        </w:trPr>
        <w:tc>
          <w:tcPr>
            <w:tcW w:w="5600" w:type="dxa"/>
            <w:vAlign w:val="bottom"/>
          </w:tcPr>
          <w:p>
            <w:pPr>
              <w:spacing w:after="0"/>
              <w:rPr>
                <w:sz w:val="8"/>
                <w:szCs w:val="8"/>
                <w:color w:val="auto"/>
              </w:rPr>
            </w:pPr>
          </w:p>
        </w:tc>
        <w:tc>
          <w:tcPr>
            <w:tcW w:w="5600" w:type="dxa"/>
            <w:vAlign w:val="bottom"/>
          </w:tcPr>
          <w:p>
            <w:pPr>
              <w:spacing w:after="0"/>
              <w:rPr>
                <w:sz w:val="8"/>
                <w:szCs w:val="8"/>
                <w:color w:val="auto"/>
              </w:rPr>
            </w:pPr>
          </w:p>
        </w:tc>
      </w:tr>
      <w:tr>
        <w:trPr>
          <w:trHeight w:val="324"/>
        </w:trPr>
        <w:tc>
          <w:tcPr>
            <w:tcW w:w="5600" w:type="dxa"/>
            <w:vAlign w:val="bottom"/>
            <w:shd w:val="clear" w:color="auto" w:fill="F0F8FF"/>
          </w:tcPr>
          <w:p>
            <w:pPr>
              <w:ind w:left="120"/>
              <w:spacing w:after="0"/>
              <w:rPr>
                <w:sz w:val="20"/>
                <w:szCs w:val="20"/>
                <w:color w:val="auto"/>
              </w:rPr>
            </w:pPr>
            <w:r>
              <w:rPr>
                <w:rFonts w:ascii="Arial" w:cs="Arial" w:eastAsia="Arial" w:hAnsi="Arial"/>
                <w:sz w:val="18"/>
                <w:szCs w:val="18"/>
                <w:color w:val="auto"/>
              </w:rPr>
              <w:t>105% to 110%</w:t>
            </w:r>
          </w:p>
        </w:tc>
        <w:tc>
          <w:tcPr>
            <w:tcW w:w="5600" w:type="dxa"/>
            <w:vAlign w:val="bottom"/>
            <w:shd w:val="clear" w:color="auto" w:fill="F0F8FF"/>
          </w:tcPr>
          <w:p>
            <w:pPr>
              <w:ind w:left="900"/>
              <w:spacing w:after="0"/>
              <w:rPr>
                <w:sz w:val="20"/>
                <w:szCs w:val="20"/>
                <w:color w:val="auto"/>
              </w:rPr>
            </w:pPr>
            <w:r>
              <w:rPr>
                <w:rFonts w:ascii="Arial" w:cs="Arial" w:eastAsia="Arial" w:hAnsi="Arial"/>
                <w:sz w:val="18"/>
                <w:szCs w:val="18"/>
                <w:color w:val="auto"/>
              </w:rPr>
              <w:t>Linear interpolation from 160% to 210%</w:t>
            </w:r>
          </w:p>
        </w:tc>
      </w:tr>
      <w:tr>
        <w:trPr>
          <w:trHeight w:val="94"/>
        </w:trPr>
        <w:tc>
          <w:tcPr>
            <w:tcW w:w="5600" w:type="dxa"/>
            <w:vAlign w:val="bottom"/>
            <w:shd w:val="clear" w:color="auto" w:fill="F0F8FF"/>
          </w:tcPr>
          <w:p>
            <w:pPr>
              <w:spacing w:after="0"/>
              <w:rPr>
                <w:sz w:val="8"/>
                <w:szCs w:val="8"/>
                <w:color w:val="auto"/>
              </w:rPr>
            </w:pPr>
          </w:p>
        </w:tc>
        <w:tc>
          <w:tcPr>
            <w:tcW w:w="5600" w:type="dxa"/>
            <w:vAlign w:val="bottom"/>
            <w:shd w:val="clear" w:color="auto" w:fill="F0F8FF"/>
          </w:tcPr>
          <w:p>
            <w:pPr>
              <w:spacing w:after="0"/>
              <w:rPr>
                <w:sz w:val="8"/>
                <w:szCs w:val="8"/>
                <w:color w:val="auto"/>
              </w:rPr>
            </w:pPr>
          </w:p>
        </w:tc>
      </w:tr>
      <w:tr>
        <w:trPr>
          <w:trHeight w:val="324"/>
        </w:trPr>
        <w:tc>
          <w:tcPr>
            <w:tcW w:w="5600" w:type="dxa"/>
            <w:vAlign w:val="bottom"/>
          </w:tcPr>
          <w:p>
            <w:pPr>
              <w:ind w:left="120"/>
              <w:spacing w:after="0"/>
              <w:rPr>
                <w:sz w:val="20"/>
                <w:szCs w:val="20"/>
                <w:color w:val="auto"/>
              </w:rPr>
            </w:pPr>
            <w:r>
              <w:rPr>
                <w:rFonts w:ascii="Arial" w:cs="Arial" w:eastAsia="Arial" w:hAnsi="Arial"/>
                <w:sz w:val="18"/>
                <w:szCs w:val="18"/>
                <w:color w:val="auto"/>
              </w:rPr>
              <w:t>Above 110%</w:t>
            </w:r>
          </w:p>
        </w:tc>
        <w:tc>
          <w:tcPr>
            <w:tcW w:w="5600" w:type="dxa"/>
            <w:vAlign w:val="bottom"/>
          </w:tcPr>
          <w:p>
            <w:pPr>
              <w:ind w:left="900"/>
              <w:spacing w:after="0"/>
              <w:rPr>
                <w:sz w:val="20"/>
                <w:szCs w:val="20"/>
                <w:color w:val="auto"/>
              </w:rPr>
            </w:pPr>
            <w:r>
              <w:rPr>
                <w:rFonts w:ascii="Arial" w:cs="Arial" w:eastAsia="Arial" w:hAnsi="Arial"/>
                <w:sz w:val="18"/>
                <w:szCs w:val="18"/>
                <w:color w:val="auto"/>
              </w:rPr>
              <w:t>210%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262626"/>
        </w:rPr>
        <w:t>Based on our performance during the 2019 fiscal year, we achieved 104.1% of our Adjusted EPS target, and 99.2% of our revenue target.</w:t>
      </w:r>
    </w:p>
    <w:p>
      <w:pPr>
        <w:spacing w:after="0" w:line="19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262626"/>
        </w:rPr>
        <w:t>The bonus pool funding for employees whose bonuses are tied to the performance of specific business lines is determined by targets established for such businesses by our Compensation Committee.</w:t>
      </w:r>
    </w:p>
    <w:p>
      <w:pPr>
        <w:spacing w:after="0" w:line="161" w:lineRule="exact"/>
        <w:rPr>
          <w:sz w:val="20"/>
          <w:szCs w:val="20"/>
          <w:color w:val="auto"/>
        </w:rPr>
      </w:pPr>
    </w:p>
    <w:p>
      <w:pPr>
        <w:ind w:left="660" w:right="60" w:hanging="328"/>
        <w:spacing w:after="0"/>
        <w:tabs>
          <w:tab w:leader="none" w:pos="660" w:val="left"/>
        </w:tabs>
        <w:numPr>
          <w:ilvl w:val="0"/>
          <w:numId w:val="83"/>
        </w:numPr>
        <w:rPr>
          <w:rFonts w:ascii="Arial" w:cs="Arial" w:eastAsia="Arial" w:hAnsi="Arial"/>
          <w:sz w:val="18"/>
          <w:szCs w:val="18"/>
          <w:color w:val="FF6503"/>
        </w:rPr>
      </w:pPr>
      <w:r>
        <w:rPr>
          <w:rFonts w:ascii="Arial" w:cs="Arial" w:eastAsia="Arial" w:hAnsi="Arial"/>
          <w:sz w:val="18"/>
          <w:szCs w:val="18"/>
          <w:b w:val="1"/>
          <w:bCs w:val="1"/>
          <w:color w:val="262626"/>
        </w:rPr>
        <w:t>Individual Performance Measures</w:t>
      </w:r>
      <w:r>
        <w:rPr>
          <w:rFonts w:ascii="Arial" w:cs="Arial" w:eastAsia="Arial" w:hAnsi="Arial"/>
          <w:sz w:val="18"/>
          <w:szCs w:val="18"/>
          <w:color w:val="262626"/>
        </w:rPr>
        <w:t>: As discussed above, each of our named executive officers earns a portion of his respective</w:t>
      </w:r>
      <w:r>
        <w:rPr>
          <w:rFonts w:ascii="Arial" w:cs="Arial" w:eastAsia="Arial" w:hAnsi="Arial"/>
          <w:sz w:val="18"/>
          <w:szCs w:val="18"/>
          <w:b w:val="1"/>
          <w:bCs w:val="1"/>
          <w:color w:val="262626"/>
        </w:rPr>
        <w:t xml:space="preserve"> </w:t>
      </w:r>
      <w:r>
        <w:rPr>
          <w:rFonts w:ascii="Arial" w:cs="Arial" w:eastAsia="Arial" w:hAnsi="Arial"/>
          <w:sz w:val="18"/>
          <w:szCs w:val="18"/>
          <w:color w:val="262626"/>
        </w:rPr>
        <w:t>annual incentive 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other goals, such as client and employee satisfaction metrics, are capable of objective measurement. The individual performance measures are generally based on strategic performance indicators such as improving sales productivity, strengthening our sales effectiveness, supporting inorganic growth through mergers and acquisitions, improving recruitment capabilities, enhancing market recognition, advancing our technological and automation capabilities and achieving revenue growth targets within specific areas.</w:t>
      </w:r>
    </w:p>
    <w:p>
      <w:pPr>
        <w:spacing w:after="0" w:line="166" w:lineRule="exact"/>
        <w:rPr>
          <w:rFonts w:ascii="Arial" w:cs="Arial" w:eastAsia="Arial" w:hAnsi="Arial"/>
          <w:sz w:val="18"/>
          <w:szCs w:val="18"/>
          <w:color w:val="FF6503"/>
        </w:rPr>
      </w:pPr>
    </w:p>
    <w:p>
      <w:pPr>
        <w:ind w:left="660" w:right="20" w:hanging="328"/>
        <w:spacing w:after="0" w:line="238" w:lineRule="auto"/>
        <w:tabs>
          <w:tab w:leader="none" w:pos="660" w:val="left"/>
        </w:tabs>
        <w:numPr>
          <w:ilvl w:val="0"/>
          <w:numId w:val="83"/>
        </w:numPr>
        <w:rPr>
          <w:rFonts w:ascii="Arial" w:cs="Arial" w:eastAsia="Arial" w:hAnsi="Arial"/>
          <w:sz w:val="18"/>
          <w:szCs w:val="18"/>
          <w:color w:val="FF6503"/>
        </w:rPr>
      </w:pPr>
      <w:r>
        <w:rPr>
          <w:rFonts w:ascii="Arial" w:cs="Arial" w:eastAsia="Arial" w:hAnsi="Arial"/>
          <w:sz w:val="18"/>
          <w:szCs w:val="18"/>
          <w:b w:val="1"/>
          <w:bCs w:val="1"/>
          <w:color w:val="262626"/>
        </w:rPr>
        <w:t>Determination of Individual Performance Achievement</w:t>
      </w:r>
      <w:r>
        <w:rPr>
          <w:rFonts w:ascii="Arial" w:cs="Arial" w:eastAsia="Arial" w:hAnsi="Arial"/>
          <w:sz w:val="18"/>
          <w:szCs w:val="18"/>
          <w:color w:val="262626"/>
        </w:rPr>
        <w:t>: Mr. Kapoor made performance assessments and compensation</w:t>
      </w:r>
      <w:r>
        <w:rPr>
          <w:rFonts w:ascii="Arial" w:cs="Arial" w:eastAsia="Arial" w:hAnsi="Arial"/>
          <w:sz w:val="18"/>
          <w:szCs w:val="18"/>
          <w:b w:val="1"/>
          <w:bCs w:val="1"/>
          <w:color w:val="262626"/>
        </w:rPr>
        <w:t xml:space="preserve"> </w:t>
      </w:r>
      <w:r>
        <w:rPr>
          <w:rFonts w:ascii="Arial" w:cs="Arial" w:eastAsia="Arial" w:hAnsi="Arial"/>
          <w:sz w:val="18"/>
          <w:szCs w:val="18"/>
          <w:color w:val="262626"/>
        </w:rPr>
        <w:t>recommendations for Messrs. Bagai, Miglani, Bhalla and Meckey and our Compensation Committee approved the recommendations after reviewing similar considerations for such named executive officers. For Mr. Bagai, our Compensation Committee noted his contribution in providing leadership to the analytics business, building significant client relationships and driving efficient operations across the enterprise. For Mr. Miglani, our Compensation Committee noted his contribution in building digital capabilities across the organization, significantly expanding the diversity of leadership, driving margin enhancement initiatives and enabling a new organization design. For Mr. Bhalla, our Compensation Committee noted that the Insurance vertical had a successful year. During this year, existing client relationships were expanded and greater geographic diversification was achieved. For Mr. Meckey, our Compensation Committee noted his contribution in developing a growth strategy for the healthcare vertical, building a team of industry experts to drive the strategy and an efficient wind down of the Health Integrated business. For Mr. Kapoor, the Compensation Committee noted that 2019 was one of the best years for growth and profitability. This was in addition to laying the foundation for the future through building a diverse leadership team, developing a long term strategy and creating depth in the leadership team.</w:t>
      </w:r>
    </w:p>
    <w:p>
      <w:pPr>
        <w:spacing w:after="0" w:line="32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32" w:lineRule="exact"/>
        <w:rPr>
          <w:sz w:val="20"/>
          <w:szCs w:val="20"/>
          <w:color w:val="auto"/>
        </w:rPr>
      </w:pPr>
    </w:p>
    <w:p>
      <w:pPr>
        <w:ind w:left="660" w:right="280" w:hanging="328"/>
        <w:spacing w:after="0" w:line="271" w:lineRule="auto"/>
        <w:tabs>
          <w:tab w:leader="none" w:pos="660" w:val="left"/>
        </w:tabs>
        <w:numPr>
          <w:ilvl w:val="0"/>
          <w:numId w:val="84"/>
        </w:numPr>
        <w:rPr>
          <w:rFonts w:ascii="Arial" w:cs="Arial" w:eastAsia="Arial" w:hAnsi="Arial"/>
          <w:sz w:val="18"/>
          <w:szCs w:val="18"/>
          <w:color w:val="FF6503"/>
        </w:rPr>
      </w:pPr>
      <w:r>
        <w:rPr>
          <w:rFonts w:ascii="Arial" w:cs="Arial" w:eastAsia="Arial" w:hAnsi="Arial"/>
          <w:sz w:val="18"/>
          <w:szCs w:val="18"/>
          <w:b w:val="1"/>
          <w:bCs w:val="1"/>
          <w:color w:val="262626"/>
        </w:rPr>
        <w:t>Actual Bonus Payments</w:t>
      </w:r>
      <w:r>
        <w:rPr>
          <w:rFonts w:ascii="Arial" w:cs="Arial" w:eastAsia="Arial" w:hAnsi="Arial"/>
          <w:sz w:val="18"/>
          <w:szCs w:val="18"/>
          <w:color w:val="262626"/>
        </w:rPr>
        <w:t>: The table below sets out the 2019 incentive bonuses for our named executive officers (paid in March</w:t>
      </w:r>
      <w:r>
        <w:rPr>
          <w:rFonts w:ascii="Arial" w:cs="Arial" w:eastAsia="Arial" w:hAnsi="Arial"/>
          <w:sz w:val="18"/>
          <w:szCs w:val="18"/>
          <w:b w:val="1"/>
          <w:bCs w:val="1"/>
          <w:color w:val="262626"/>
        </w:rPr>
        <w:t xml:space="preserve"> </w:t>
      </w:r>
      <w:r>
        <w:rPr>
          <w:rFonts w:ascii="Arial" w:cs="Arial" w:eastAsia="Arial" w:hAnsi="Arial"/>
          <w:sz w:val="18"/>
          <w:szCs w:val="18"/>
          <w:color w:val="262626"/>
        </w:rPr>
        <w:t>2020).</w:t>
      </w:r>
    </w:p>
    <w:p>
      <w:pPr>
        <w:spacing w:after="0" w:line="143" w:lineRule="exact"/>
        <w:rPr>
          <w:sz w:val="20"/>
          <w:szCs w:val="20"/>
          <w:color w:val="auto"/>
        </w:rPr>
      </w:pPr>
    </w:p>
    <w:tbl>
      <w:tblPr>
        <w:tblLayout w:type="fixed"/>
        <w:tblInd w:w="670" w:type="dxa"/>
        <w:tblCellMar>
          <w:top w:w="0" w:type="dxa"/>
          <w:left w:w="0" w:type="dxa"/>
          <w:bottom w:w="0" w:type="dxa"/>
          <w:right w:w="0" w:type="dxa"/>
        </w:tblCellMar>
      </w:tblPr>
      <w:tr>
        <w:trPr>
          <w:trHeight w:val="351"/>
        </w:trPr>
        <w:tc>
          <w:tcPr>
            <w:tcW w:w="2440" w:type="dxa"/>
            <w:vAlign w:val="bottom"/>
            <w:tcBorders>
              <w:top w:val="single" w:sz="8" w:color="C3E6FF"/>
              <w:left w:val="single" w:sz="8" w:color="C3E6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Name</w:t>
            </w:r>
          </w:p>
        </w:tc>
        <w:tc>
          <w:tcPr>
            <w:tcW w:w="4300" w:type="dxa"/>
            <w:vAlign w:val="bottom"/>
            <w:tcBorders>
              <w:top w:val="single" w:sz="8" w:color="C3E6FF"/>
              <w:right w:val="single" w:sz="8" w:color="C3E6FF"/>
            </w:tcBorders>
            <w:shd w:val="clear" w:color="auto" w:fill="0093FF"/>
          </w:tcPr>
          <w:p>
            <w:pPr>
              <w:ind w:left="760"/>
              <w:spacing w:after="0"/>
              <w:rPr>
                <w:sz w:val="20"/>
                <w:szCs w:val="20"/>
                <w:color w:val="auto"/>
              </w:rPr>
            </w:pPr>
            <w:r>
              <w:rPr>
                <w:rFonts w:ascii="Arial" w:cs="Arial" w:eastAsia="Arial" w:hAnsi="Arial"/>
                <w:sz w:val="18"/>
                <w:szCs w:val="18"/>
                <w:b w:val="1"/>
                <w:bCs w:val="1"/>
                <w:color w:val="FFFFFF"/>
              </w:rPr>
              <w:t>Earned 2019 — Incentive Bonus ($)</w:t>
            </w:r>
          </w:p>
        </w:tc>
      </w:tr>
      <w:tr>
        <w:trPr>
          <w:trHeight w:val="94"/>
        </w:trPr>
        <w:tc>
          <w:tcPr>
            <w:tcW w:w="2440" w:type="dxa"/>
            <w:vAlign w:val="bottom"/>
            <w:tcBorders>
              <w:left w:val="single" w:sz="8" w:color="C3E6FF"/>
            </w:tcBorders>
            <w:shd w:val="clear" w:color="auto" w:fill="0093FF"/>
          </w:tcPr>
          <w:p>
            <w:pPr>
              <w:spacing w:after="0"/>
              <w:rPr>
                <w:sz w:val="8"/>
                <w:szCs w:val="8"/>
                <w:color w:val="auto"/>
              </w:rPr>
            </w:pPr>
          </w:p>
        </w:tc>
        <w:tc>
          <w:tcPr>
            <w:tcW w:w="4300" w:type="dxa"/>
            <w:vAlign w:val="bottom"/>
            <w:tcBorders>
              <w:right w:val="single" w:sz="8" w:color="C3E6FF"/>
            </w:tcBorders>
            <w:shd w:val="clear" w:color="auto" w:fill="0093FF"/>
          </w:tcPr>
          <w:p>
            <w:pPr>
              <w:spacing w:after="0"/>
              <w:rPr>
                <w:sz w:val="8"/>
                <w:szCs w:val="8"/>
                <w:color w:val="auto"/>
              </w:rPr>
            </w:pPr>
          </w:p>
        </w:tc>
      </w:tr>
      <w:tr>
        <w:trPr>
          <w:trHeight w:val="324"/>
        </w:trPr>
        <w:tc>
          <w:tcPr>
            <w:tcW w:w="2440" w:type="dxa"/>
            <w:vAlign w:val="bottom"/>
            <w:tcBorders>
              <w:left w:val="single" w:sz="8" w:color="C3E6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Rohit Kapoor</w:t>
            </w:r>
          </w:p>
        </w:tc>
        <w:tc>
          <w:tcPr>
            <w:tcW w:w="4300" w:type="dxa"/>
            <w:vAlign w:val="bottom"/>
            <w:tcBorders>
              <w:right w:val="single" w:sz="8" w:color="C3E6FF"/>
            </w:tcBorders>
            <w:shd w:val="clear" w:color="auto" w:fill="F0F8FF"/>
          </w:tcPr>
          <w:p>
            <w:pPr>
              <w:ind w:left="760"/>
              <w:spacing w:after="0"/>
              <w:rPr>
                <w:sz w:val="20"/>
                <w:szCs w:val="20"/>
                <w:color w:val="auto"/>
              </w:rPr>
            </w:pPr>
            <w:r>
              <w:rPr>
                <w:rFonts w:ascii="Arial" w:cs="Arial" w:eastAsia="Arial" w:hAnsi="Arial"/>
                <w:sz w:val="18"/>
                <w:szCs w:val="18"/>
                <w:color w:val="auto"/>
              </w:rPr>
              <w:t>1,304,453</w:t>
            </w:r>
          </w:p>
        </w:tc>
      </w:tr>
      <w:tr>
        <w:trPr>
          <w:trHeight w:val="94"/>
        </w:trPr>
        <w:tc>
          <w:tcPr>
            <w:tcW w:w="2440" w:type="dxa"/>
            <w:vAlign w:val="bottom"/>
            <w:tcBorders>
              <w:left w:val="single" w:sz="8" w:color="C3E6FF"/>
            </w:tcBorders>
            <w:shd w:val="clear" w:color="auto" w:fill="F0F8FF"/>
          </w:tcPr>
          <w:p>
            <w:pPr>
              <w:spacing w:after="0"/>
              <w:rPr>
                <w:sz w:val="8"/>
                <w:szCs w:val="8"/>
                <w:color w:val="auto"/>
              </w:rPr>
            </w:pPr>
          </w:p>
        </w:tc>
        <w:tc>
          <w:tcPr>
            <w:tcW w:w="4300" w:type="dxa"/>
            <w:vAlign w:val="bottom"/>
            <w:tcBorders>
              <w:right w:val="single" w:sz="8" w:color="C3E6FF"/>
            </w:tcBorders>
            <w:shd w:val="clear" w:color="auto" w:fill="F0F8FF"/>
          </w:tcPr>
          <w:p>
            <w:pPr>
              <w:spacing w:after="0"/>
              <w:rPr>
                <w:sz w:val="8"/>
                <w:szCs w:val="8"/>
                <w:color w:val="auto"/>
              </w:rPr>
            </w:pPr>
          </w:p>
        </w:tc>
      </w:tr>
      <w:tr>
        <w:trPr>
          <w:trHeight w:val="459"/>
        </w:trPr>
        <w:tc>
          <w:tcPr>
            <w:tcW w:w="244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Vishal Chhibbar</w:t>
            </w:r>
            <w:r>
              <w:rPr>
                <w:rFonts w:ascii="Arial" w:cs="Arial" w:eastAsia="Arial" w:hAnsi="Arial"/>
                <w:sz w:val="29"/>
                <w:szCs w:val="29"/>
                <w:color w:val="auto"/>
                <w:vertAlign w:val="superscript"/>
              </w:rPr>
              <w:t>(1)</w:t>
            </w:r>
          </w:p>
        </w:tc>
        <w:tc>
          <w:tcPr>
            <w:tcW w:w="4300" w:type="dxa"/>
            <w:vAlign w:val="bottom"/>
            <w:tcBorders>
              <w:right w:val="single" w:sz="8" w:color="C3E6FF"/>
            </w:tcBorders>
          </w:tcPr>
          <w:p>
            <w:pPr>
              <w:ind w:left="760"/>
              <w:spacing w:after="0"/>
              <w:rPr>
                <w:sz w:val="20"/>
                <w:szCs w:val="20"/>
                <w:color w:val="auto"/>
              </w:rPr>
            </w:pPr>
            <w:r>
              <w:rPr>
                <w:rFonts w:ascii="Arial" w:cs="Arial" w:eastAsia="Arial" w:hAnsi="Arial"/>
                <w:sz w:val="18"/>
                <w:szCs w:val="18"/>
                <w:color w:val="auto"/>
              </w:rPr>
              <w:t>—</w:t>
            </w:r>
          </w:p>
        </w:tc>
      </w:tr>
      <w:tr>
        <w:trPr>
          <w:trHeight w:val="459"/>
        </w:trPr>
        <w:tc>
          <w:tcPr>
            <w:tcW w:w="2440" w:type="dxa"/>
            <w:vAlign w:val="bottom"/>
            <w:tcBorders>
              <w:left w:val="single" w:sz="8" w:color="C3E6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Pavan Bagai</w:t>
            </w:r>
            <w:r>
              <w:rPr>
                <w:rFonts w:ascii="Arial" w:cs="Arial" w:eastAsia="Arial" w:hAnsi="Arial"/>
                <w:sz w:val="29"/>
                <w:szCs w:val="29"/>
                <w:color w:val="auto"/>
                <w:vertAlign w:val="superscript"/>
              </w:rPr>
              <w:t>(2)</w:t>
            </w:r>
          </w:p>
        </w:tc>
        <w:tc>
          <w:tcPr>
            <w:tcW w:w="4300" w:type="dxa"/>
            <w:vAlign w:val="bottom"/>
            <w:tcBorders>
              <w:right w:val="single" w:sz="8" w:color="C3E6FF"/>
            </w:tcBorders>
            <w:shd w:val="clear" w:color="auto" w:fill="F0F8FF"/>
          </w:tcPr>
          <w:p>
            <w:pPr>
              <w:ind w:left="760"/>
              <w:spacing w:after="0"/>
              <w:rPr>
                <w:sz w:val="20"/>
                <w:szCs w:val="20"/>
                <w:color w:val="auto"/>
              </w:rPr>
            </w:pPr>
            <w:r>
              <w:rPr>
                <w:rFonts w:ascii="Arial" w:cs="Arial" w:eastAsia="Arial" w:hAnsi="Arial"/>
                <w:sz w:val="18"/>
                <w:szCs w:val="18"/>
                <w:color w:val="auto"/>
              </w:rPr>
              <w:t>323,814</w:t>
            </w:r>
          </w:p>
        </w:tc>
      </w:tr>
      <w:tr>
        <w:trPr>
          <w:trHeight w:val="324"/>
        </w:trPr>
        <w:tc>
          <w:tcPr>
            <w:tcW w:w="244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Nalin Miglani</w:t>
            </w:r>
          </w:p>
        </w:tc>
        <w:tc>
          <w:tcPr>
            <w:tcW w:w="4300" w:type="dxa"/>
            <w:vAlign w:val="bottom"/>
            <w:tcBorders>
              <w:right w:val="single" w:sz="8" w:color="C3E6FF"/>
            </w:tcBorders>
          </w:tcPr>
          <w:p>
            <w:pPr>
              <w:ind w:left="760"/>
              <w:spacing w:after="0"/>
              <w:rPr>
                <w:sz w:val="20"/>
                <w:szCs w:val="20"/>
                <w:color w:val="auto"/>
              </w:rPr>
            </w:pPr>
            <w:r>
              <w:rPr>
                <w:rFonts w:ascii="Arial" w:cs="Arial" w:eastAsia="Arial" w:hAnsi="Arial"/>
                <w:sz w:val="18"/>
                <w:szCs w:val="18"/>
                <w:color w:val="auto"/>
              </w:rPr>
              <w:t>411,735</w:t>
            </w:r>
          </w:p>
        </w:tc>
      </w:tr>
      <w:tr>
        <w:trPr>
          <w:trHeight w:val="94"/>
        </w:trPr>
        <w:tc>
          <w:tcPr>
            <w:tcW w:w="2440" w:type="dxa"/>
            <w:vAlign w:val="bottom"/>
            <w:tcBorders>
              <w:left w:val="single" w:sz="8" w:color="C3E6FF"/>
            </w:tcBorders>
          </w:tcPr>
          <w:p>
            <w:pPr>
              <w:spacing w:after="0"/>
              <w:rPr>
                <w:sz w:val="8"/>
                <w:szCs w:val="8"/>
                <w:color w:val="auto"/>
              </w:rPr>
            </w:pPr>
          </w:p>
        </w:tc>
        <w:tc>
          <w:tcPr>
            <w:tcW w:w="4300" w:type="dxa"/>
            <w:vAlign w:val="bottom"/>
            <w:tcBorders>
              <w:right w:val="single" w:sz="8" w:color="C3E6FF"/>
            </w:tcBorders>
          </w:tcPr>
          <w:p>
            <w:pPr>
              <w:spacing w:after="0"/>
              <w:rPr>
                <w:sz w:val="8"/>
                <w:szCs w:val="8"/>
                <w:color w:val="auto"/>
              </w:rPr>
            </w:pPr>
          </w:p>
        </w:tc>
      </w:tr>
      <w:tr>
        <w:trPr>
          <w:trHeight w:val="459"/>
        </w:trPr>
        <w:tc>
          <w:tcPr>
            <w:tcW w:w="2440" w:type="dxa"/>
            <w:vAlign w:val="bottom"/>
            <w:tcBorders>
              <w:left w:val="single" w:sz="8" w:color="C3E6FF"/>
            </w:tcBorders>
            <w:shd w:val="clear" w:color="auto" w:fill="F0F8FF"/>
          </w:tcPr>
          <w:p>
            <w:pPr>
              <w:ind w:left="120"/>
              <w:spacing w:after="0"/>
              <w:rPr>
                <w:sz w:val="20"/>
                <w:szCs w:val="20"/>
                <w:color w:val="auto"/>
              </w:rPr>
            </w:pPr>
            <w:r>
              <w:rPr>
                <w:rFonts w:ascii="Arial" w:cs="Arial" w:eastAsia="Arial" w:hAnsi="Arial"/>
                <w:sz w:val="18"/>
                <w:szCs w:val="18"/>
                <w:b w:val="1"/>
                <w:bCs w:val="1"/>
                <w:color w:val="auto"/>
              </w:rPr>
              <w:t>Vikas Bhalla</w:t>
            </w:r>
            <w:r>
              <w:rPr>
                <w:rFonts w:ascii="Arial" w:cs="Arial" w:eastAsia="Arial" w:hAnsi="Arial"/>
                <w:sz w:val="29"/>
                <w:szCs w:val="29"/>
                <w:color w:val="auto"/>
                <w:vertAlign w:val="superscript"/>
              </w:rPr>
              <w:t>(2)</w:t>
            </w:r>
          </w:p>
        </w:tc>
        <w:tc>
          <w:tcPr>
            <w:tcW w:w="4300" w:type="dxa"/>
            <w:vAlign w:val="bottom"/>
            <w:tcBorders>
              <w:right w:val="single" w:sz="8" w:color="C3E6FF"/>
            </w:tcBorders>
            <w:shd w:val="clear" w:color="auto" w:fill="F0F8FF"/>
          </w:tcPr>
          <w:p>
            <w:pPr>
              <w:ind w:left="760"/>
              <w:spacing w:after="0"/>
              <w:rPr>
                <w:sz w:val="20"/>
                <w:szCs w:val="20"/>
                <w:color w:val="auto"/>
              </w:rPr>
            </w:pPr>
            <w:r>
              <w:rPr>
                <w:rFonts w:ascii="Arial" w:cs="Arial" w:eastAsia="Arial" w:hAnsi="Arial"/>
                <w:sz w:val="18"/>
                <w:szCs w:val="18"/>
                <w:color w:val="auto"/>
              </w:rPr>
              <w:t>285,636</w:t>
            </w:r>
          </w:p>
        </w:tc>
      </w:tr>
      <w:tr>
        <w:trPr>
          <w:trHeight w:val="324"/>
        </w:trPr>
        <w:tc>
          <w:tcPr>
            <w:tcW w:w="244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Samuel Meckey</w:t>
            </w:r>
          </w:p>
        </w:tc>
        <w:tc>
          <w:tcPr>
            <w:tcW w:w="4300" w:type="dxa"/>
            <w:vAlign w:val="bottom"/>
            <w:tcBorders>
              <w:right w:val="single" w:sz="8" w:color="C3E6FF"/>
            </w:tcBorders>
          </w:tcPr>
          <w:p>
            <w:pPr>
              <w:ind w:left="760"/>
              <w:spacing w:after="0"/>
              <w:rPr>
                <w:sz w:val="20"/>
                <w:szCs w:val="20"/>
                <w:color w:val="auto"/>
              </w:rPr>
            </w:pPr>
            <w:r>
              <w:rPr>
                <w:rFonts w:ascii="Arial" w:cs="Arial" w:eastAsia="Arial" w:hAnsi="Arial"/>
                <w:sz w:val="18"/>
                <w:szCs w:val="18"/>
                <w:color w:val="auto"/>
              </w:rPr>
              <w:t>364,320</w:t>
            </w:r>
          </w:p>
        </w:tc>
      </w:tr>
      <w:tr>
        <w:trPr>
          <w:trHeight w:val="101"/>
        </w:trPr>
        <w:tc>
          <w:tcPr>
            <w:tcW w:w="2440" w:type="dxa"/>
            <w:vAlign w:val="bottom"/>
            <w:tcBorders>
              <w:left w:val="single" w:sz="8" w:color="C3E6FF"/>
              <w:bottom w:val="single" w:sz="8" w:color="C3E6FF"/>
            </w:tcBorders>
          </w:tcPr>
          <w:p>
            <w:pPr>
              <w:spacing w:after="0"/>
              <w:rPr>
                <w:sz w:val="8"/>
                <w:szCs w:val="8"/>
                <w:color w:val="auto"/>
              </w:rPr>
            </w:pPr>
          </w:p>
        </w:tc>
        <w:tc>
          <w:tcPr>
            <w:tcW w:w="4300" w:type="dxa"/>
            <w:vAlign w:val="bottom"/>
            <w:tcBorders>
              <w:bottom w:val="single" w:sz="8" w:color="C3E6FF"/>
              <w:right w:val="single" w:sz="8" w:color="C3E6FF"/>
            </w:tcBorders>
          </w:tcPr>
          <w:p>
            <w:pPr>
              <w:spacing w:after="0"/>
              <w:rPr>
                <w:sz w:val="8"/>
                <w:szCs w:val="8"/>
                <w:color w:val="auto"/>
              </w:rPr>
            </w:pPr>
          </w:p>
        </w:tc>
      </w:tr>
    </w:tbl>
    <w:p>
      <w:pPr>
        <w:spacing w:after="0" w:line="5" w:lineRule="exact"/>
        <w:rPr>
          <w:sz w:val="20"/>
          <w:szCs w:val="20"/>
          <w:color w:val="auto"/>
        </w:rPr>
      </w:pPr>
    </w:p>
    <w:p>
      <w:pPr>
        <w:ind w:left="860" w:hanging="204"/>
        <w:spacing w:after="0"/>
        <w:tabs>
          <w:tab w:leader="none" w:pos="860" w:val="left"/>
        </w:tabs>
        <w:numPr>
          <w:ilvl w:val="0"/>
          <w:numId w:val="85"/>
        </w:numPr>
        <w:rPr>
          <w:rFonts w:ascii="Arial" w:cs="Arial" w:eastAsia="Arial" w:hAnsi="Arial"/>
          <w:sz w:val="14"/>
          <w:szCs w:val="14"/>
          <w:color w:val="262626"/>
        </w:rPr>
      </w:pPr>
      <w:r>
        <w:rPr>
          <w:rFonts w:ascii="Arial" w:cs="Arial" w:eastAsia="Arial" w:hAnsi="Arial"/>
          <w:sz w:val="14"/>
          <w:szCs w:val="14"/>
          <w:color w:val="262626"/>
        </w:rPr>
        <w:t>There was no bonus payout for Mr. Chhibbar since his last working day at the Company was December 13, 2019.</w:t>
      </w:r>
    </w:p>
    <w:p>
      <w:pPr>
        <w:spacing w:after="0" w:line="163" w:lineRule="exact"/>
        <w:rPr>
          <w:rFonts w:ascii="Arial" w:cs="Arial" w:eastAsia="Arial" w:hAnsi="Arial"/>
          <w:sz w:val="14"/>
          <w:szCs w:val="14"/>
          <w:color w:val="262626"/>
        </w:rPr>
      </w:pPr>
    </w:p>
    <w:p>
      <w:pPr>
        <w:ind w:left="660" w:right="400" w:hanging="4"/>
        <w:spacing w:after="0" w:line="258" w:lineRule="auto"/>
        <w:tabs>
          <w:tab w:leader="none" w:pos="873" w:val="left"/>
        </w:tabs>
        <w:numPr>
          <w:ilvl w:val="0"/>
          <w:numId w:val="85"/>
        </w:numPr>
        <w:rPr>
          <w:rFonts w:ascii="Arial" w:cs="Arial" w:eastAsia="Arial" w:hAnsi="Arial"/>
          <w:sz w:val="14"/>
          <w:szCs w:val="14"/>
          <w:color w:val="262626"/>
        </w:rPr>
      </w:pPr>
      <w:r>
        <w:rPr>
          <w:rFonts w:ascii="Arial" w:cs="Arial" w:eastAsia="Arial" w:hAnsi="Arial"/>
          <w:sz w:val="14"/>
          <w:szCs w:val="14"/>
          <w:color w:val="262626"/>
        </w:rPr>
        <w:t>The exchange rate used for the bonus conversion from Indian rupees to U.S. dollars for Messrs. Bagai and Bhalla was 71.38 INR to 1 USD, which was the exchange rate on December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Long-Term Equity Incentives</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262626"/>
        </w:rPr>
        <w:t>Moreover, the Committee favors restricted stock unit awards as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62626"/>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62626"/>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Fiscal Year 2019 Awards</w:t>
      </w:r>
    </w:p>
    <w:p>
      <w:pPr>
        <w:spacing w:after="0" w:line="2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262626"/>
        </w:rPr>
        <w:t>Under our equity compensation program, our executive officers received restricted stock units under the 2015 Amendment and Restatement of the 2006 Omnibus Award Plan (the “2015 Plan”). Subsequent awards were made pursuant to the 2018 Omnibus Incentive Plan approved by the Company’s stockholders at the annual meeting of stockholders held in June 2018 (the “2018 Plan”).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000750" cy="7715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007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262626"/>
        </w:rPr>
        <w:t>The table below shows the amount of Time-Vested and Performance-Vested RSUs our Compensation Committee awarded our named executive officers in 2019. In general, the Compensation Committee believes that the size of the award granted to an executive officer should increase based on the executive officer’s level of responsibility within the Company.</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2100" w:type="dxa"/>
            <w:vAlign w:val="bottom"/>
            <w:tcBorders>
              <w:top w:val="single" w:sz="8" w:color="C3E6FF"/>
              <w:left w:val="single" w:sz="8" w:color="C3E6FF"/>
            </w:tcBorders>
            <w:shd w:val="clear" w:color="auto" w:fill="0093FF"/>
          </w:tcPr>
          <w:p>
            <w:pPr>
              <w:ind w:left="140"/>
              <w:spacing w:after="0"/>
              <w:rPr>
                <w:sz w:val="20"/>
                <w:szCs w:val="20"/>
                <w:color w:val="auto"/>
              </w:rPr>
            </w:pPr>
            <w:r>
              <w:rPr>
                <w:rFonts w:ascii="Arial" w:cs="Arial" w:eastAsia="Arial" w:hAnsi="Arial"/>
                <w:sz w:val="18"/>
                <w:szCs w:val="18"/>
                <w:b w:val="1"/>
                <w:bCs w:val="1"/>
                <w:color w:val="FFFFFF"/>
              </w:rPr>
              <w:t>Name</w:t>
            </w:r>
          </w:p>
        </w:tc>
        <w:tc>
          <w:tcPr>
            <w:tcW w:w="2660" w:type="dxa"/>
            <w:vAlign w:val="bottom"/>
            <w:tcBorders>
              <w:top w:val="single" w:sz="8" w:color="C3E6FF"/>
            </w:tcBorders>
            <w:shd w:val="clear" w:color="auto" w:fill="0093FF"/>
          </w:tcPr>
          <w:p>
            <w:pPr>
              <w:ind w:left="620"/>
              <w:spacing w:after="0"/>
              <w:rPr>
                <w:sz w:val="20"/>
                <w:szCs w:val="20"/>
                <w:color w:val="auto"/>
              </w:rPr>
            </w:pPr>
            <w:r>
              <w:rPr>
                <w:rFonts w:ascii="Arial" w:cs="Arial" w:eastAsia="Arial" w:hAnsi="Arial"/>
                <w:sz w:val="18"/>
                <w:szCs w:val="18"/>
                <w:b w:val="1"/>
                <w:bCs w:val="1"/>
                <w:color w:val="FFFFFF"/>
              </w:rPr>
              <w:t>Time-Vested RSUs</w:t>
            </w:r>
          </w:p>
        </w:tc>
        <w:tc>
          <w:tcPr>
            <w:tcW w:w="3020" w:type="dxa"/>
            <w:vAlign w:val="bottom"/>
            <w:tcBorders>
              <w:top w:val="single" w:sz="8" w:color="C3E6FF"/>
            </w:tcBorders>
            <w:shd w:val="clear" w:color="auto" w:fill="0093FF"/>
          </w:tcPr>
          <w:p>
            <w:pPr>
              <w:ind w:left="460"/>
              <w:spacing w:after="0"/>
              <w:rPr>
                <w:sz w:val="20"/>
                <w:szCs w:val="20"/>
                <w:color w:val="auto"/>
              </w:rPr>
            </w:pPr>
            <w:r>
              <w:rPr>
                <w:rFonts w:ascii="Arial" w:cs="Arial" w:eastAsia="Arial" w:hAnsi="Arial"/>
                <w:sz w:val="18"/>
                <w:szCs w:val="18"/>
                <w:b w:val="1"/>
                <w:bCs w:val="1"/>
                <w:color w:val="FFFFFF"/>
              </w:rPr>
              <w:t>Revenue-Linked PRSUs</w:t>
            </w:r>
          </w:p>
        </w:tc>
        <w:tc>
          <w:tcPr>
            <w:tcW w:w="3460" w:type="dxa"/>
            <w:vAlign w:val="bottom"/>
            <w:tcBorders>
              <w:top w:val="single" w:sz="8" w:color="C3E6FF"/>
              <w:right w:val="single" w:sz="8" w:color="C3E6FF"/>
            </w:tcBorders>
            <w:shd w:val="clear" w:color="auto" w:fill="0093FF"/>
          </w:tcPr>
          <w:p>
            <w:pPr>
              <w:ind w:left="520"/>
              <w:spacing w:after="0"/>
              <w:rPr>
                <w:sz w:val="20"/>
                <w:szCs w:val="20"/>
                <w:color w:val="auto"/>
              </w:rPr>
            </w:pPr>
            <w:r>
              <w:rPr>
                <w:rFonts w:ascii="Arial" w:cs="Arial" w:eastAsia="Arial" w:hAnsi="Arial"/>
                <w:sz w:val="18"/>
                <w:szCs w:val="18"/>
                <w:b w:val="1"/>
                <w:bCs w:val="1"/>
                <w:color w:val="FFFFFF"/>
              </w:rPr>
              <w:t>Relative TSR-Linked PRSUs</w:t>
            </w:r>
          </w:p>
        </w:tc>
      </w:tr>
      <w:tr>
        <w:trPr>
          <w:trHeight w:val="94"/>
        </w:trPr>
        <w:tc>
          <w:tcPr>
            <w:tcW w:w="2100" w:type="dxa"/>
            <w:vAlign w:val="bottom"/>
            <w:tcBorders>
              <w:left w:val="single" w:sz="8" w:color="C3E6FF"/>
            </w:tcBorders>
            <w:shd w:val="clear" w:color="auto" w:fill="0093FF"/>
          </w:tcPr>
          <w:p>
            <w:pPr>
              <w:spacing w:after="0"/>
              <w:rPr>
                <w:sz w:val="8"/>
                <w:szCs w:val="8"/>
                <w:color w:val="auto"/>
              </w:rPr>
            </w:pPr>
          </w:p>
        </w:tc>
        <w:tc>
          <w:tcPr>
            <w:tcW w:w="2660" w:type="dxa"/>
            <w:vAlign w:val="bottom"/>
            <w:shd w:val="clear" w:color="auto" w:fill="0093FF"/>
          </w:tcPr>
          <w:p>
            <w:pPr>
              <w:spacing w:after="0"/>
              <w:rPr>
                <w:sz w:val="8"/>
                <w:szCs w:val="8"/>
                <w:color w:val="auto"/>
              </w:rPr>
            </w:pPr>
          </w:p>
        </w:tc>
        <w:tc>
          <w:tcPr>
            <w:tcW w:w="3020" w:type="dxa"/>
            <w:vAlign w:val="bottom"/>
            <w:shd w:val="clear" w:color="auto" w:fill="0093FF"/>
          </w:tcPr>
          <w:p>
            <w:pPr>
              <w:spacing w:after="0"/>
              <w:rPr>
                <w:sz w:val="8"/>
                <w:szCs w:val="8"/>
                <w:color w:val="auto"/>
              </w:rPr>
            </w:pPr>
          </w:p>
        </w:tc>
        <w:tc>
          <w:tcPr>
            <w:tcW w:w="3460" w:type="dxa"/>
            <w:vAlign w:val="bottom"/>
            <w:tcBorders>
              <w:right w:val="single" w:sz="8" w:color="C3E6FF"/>
            </w:tcBorders>
            <w:shd w:val="clear" w:color="auto" w:fill="0093FF"/>
          </w:tcPr>
          <w:p>
            <w:pPr>
              <w:spacing w:after="0"/>
              <w:rPr>
                <w:sz w:val="8"/>
                <w:szCs w:val="8"/>
                <w:color w:val="auto"/>
              </w:rPr>
            </w:pPr>
          </w:p>
        </w:tc>
      </w:tr>
      <w:tr>
        <w:trPr>
          <w:trHeight w:val="324"/>
        </w:trPr>
        <w:tc>
          <w:tcPr>
            <w:tcW w:w="2100" w:type="dxa"/>
            <w:vAlign w:val="bottom"/>
            <w:tcBorders>
              <w:left w:val="single" w:sz="8" w:color="C3E6FF"/>
            </w:tcBorders>
          </w:tcPr>
          <w:p>
            <w:pPr>
              <w:ind w:left="140"/>
              <w:spacing w:after="0"/>
              <w:rPr>
                <w:sz w:val="20"/>
                <w:szCs w:val="20"/>
                <w:color w:val="auto"/>
              </w:rPr>
            </w:pPr>
            <w:r>
              <w:rPr>
                <w:rFonts w:ascii="Arial" w:cs="Arial" w:eastAsia="Arial" w:hAnsi="Arial"/>
                <w:sz w:val="18"/>
                <w:szCs w:val="18"/>
                <w:b w:val="1"/>
                <w:bCs w:val="1"/>
                <w:color w:val="auto"/>
              </w:rPr>
              <w:t>Rohit Kapoor</w:t>
            </w:r>
          </w:p>
        </w:tc>
        <w:tc>
          <w:tcPr>
            <w:tcW w:w="2660" w:type="dxa"/>
            <w:vAlign w:val="bottom"/>
          </w:tcPr>
          <w:p>
            <w:pPr>
              <w:jc w:val="center"/>
              <w:ind w:left="50"/>
              <w:spacing w:after="0"/>
              <w:rPr>
                <w:sz w:val="20"/>
                <w:szCs w:val="20"/>
                <w:color w:val="auto"/>
              </w:rPr>
            </w:pPr>
            <w:r>
              <w:rPr>
                <w:rFonts w:ascii="Arial" w:cs="Arial" w:eastAsia="Arial" w:hAnsi="Arial"/>
                <w:sz w:val="18"/>
                <w:szCs w:val="18"/>
                <w:color w:val="auto"/>
              </w:rPr>
              <w:t>28,910</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14,455</w:t>
            </w:r>
          </w:p>
        </w:tc>
        <w:tc>
          <w:tcPr>
            <w:tcW w:w="3460" w:type="dxa"/>
            <w:vAlign w:val="bottom"/>
            <w:tcBorders>
              <w:right w:val="single" w:sz="8" w:color="C3E6FF"/>
            </w:tcBorders>
          </w:tcPr>
          <w:p>
            <w:pPr>
              <w:jc w:val="center"/>
              <w:spacing w:after="0"/>
              <w:rPr>
                <w:sz w:val="20"/>
                <w:szCs w:val="20"/>
                <w:color w:val="auto"/>
              </w:rPr>
            </w:pPr>
            <w:r>
              <w:rPr>
                <w:rFonts w:ascii="Arial" w:cs="Arial" w:eastAsia="Arial" w:hAnsi="Arial"/>
                <w:sz w:val="18"/>
                <w:szCs w:val="18"/>
                <w:color w:val="auto"/>
                <w:w w:val="98"/>
              </w:rPr>
              <w:t>14,455</w:t>
            </w:r>
          </w:p>
        </w:tc>
      </w:tr>
      <w:tr>
        <w:trPr>
          <w:trHeight w:val="94"/>
        </w:trPr>
        <w:tc>
          <w:tcPr>
            <w:tcW w:w="2100" w:type="dxa"/>
            <w:vAlign w:val="bottom"/>
            <w:tcBorders>
              <w:left w:val="single" w:sz="8" w:color="C3E6FF"/>
            </w:tcBorders>
          </w:tcPr>
          <w:p>
            <w:pPr>
              <w:spacing w:after="0"/>
              <w:rPr>
                <w:sz w:val="8"/>
                <w:szCs w:val="8"/>
                <w:color w:val="auto"/>
              </w:rPr>
            </w:pPr>
          </w:p>
        </w:tc>
        <w:tc>
          <w:tcPr>
            <w:tcW w:w="26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60" w:type="dxa"/>
            <w:vAlign w:val="bottom"/>
            <w:tcBorders>
              <w:right w:val="single" w:sz="8" w:color="C3E6FF"/>
            </w:tcBorders>
          </w:tcPr>
          <w:p>
            <w:pPr>
              <w:spacing w:after="0"/>
              <w:rPr>
                <w:sz w:val="8"/>
                <w:szCs w:val="8"/>
                <w:color w:val="auto"/>
              </w:rPr>
            </w:pPr>
          </w:p>
        </w:tc>
      </w:tr>
      <w:tr>
        <w:trPr>
          <w:trHeight w:val="324"/>
        </w:trPr>
        <w:tc>
          <w:tcPr>
            <w:tcW w:w="210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b w:val="1"/>
                <w:bCs w:val="1"/>
                <w:color w:val="auto"/>
              </w:rPr>
              <w:t>Vishal Chhibbar</w:t>
            </w:r>
          </w:p>
        </w:tc>
        <w:tc>
          <w:tcPr>
            <w:tcW w:w="2660" w:type="dxa"/>
            <w:vAlign w:val="bottom"/>
            <w:shd w:val="clear" w:color="auto" w:fill="F3F9FF"/>
          </w:tcPr>
          <w:p>
            <w:pPr>
              <w:jc w:val="center"/>
              <w:ind w:left="50"/>
              <w:spacing w:after="0"/>
              <w:rPr>
                <w:sz w:val="20"/>
                <w:szCs w:val="20"/>
                <w:color w:val="auto"/>
              </w:rPr>
            </w:pPr>
            <w:r>
              <w:rPr>
                <w:rFonts w:ascii="Arial" w:cs="Arial" w:eastAsia="Arial" w:hAnsi="Arial"/>
                <w:sz w:val="18"/>
                <w:szCs w:val="18"/>
                <w:color w:val="auto"/>
                <w:w w:val="97"/>
              </w:rPr>
              <w:t>7,085</w:t>
            </w:r>
          </w:p>
        </w:tc>
        <w:tc>
          <w:tcPr>
            <w:tcW w:w="3020" w:type="dxa"/>
            <w:vAlign w:val="bottom"/>
            <w:shd w:val="clear" w:color="auto" w:fill="F3F9FF"/>
          </w:tcPr>
          <w:p>
            <w:pPr>
              <w:jc w:val="center"/>
              <w:spacing w:after="0"/>
              <w:rPr>
                <w:sz w:val="20"/>
                <w:szCs w:val="20"/>
                <w:color w:val="auto"/>
              </w:rPr>
            </w:pPr>
            <w:r>
              <w:rPr>
                <w:rFonts w:ascii="Arial" w:cs="Arial" w:eastAsia="Arial" w:hAnsi="Arial"/>
                <w:sz w:val="18"/>
                <w:szCs w:val="18"/>
                <w:color w:val="auto"/>
              </w:rPr>
              <w:t>3,543</w:t>
            </w:r>
          </w:p>
        </w:tc>
        <w:tc>
          <w:tcPr>
            <w:tcW w:w="3460" w:type="dxa"/>
            <w:vAlign w:val="bottom"/>
            <w:tcBorders>
              <w:right w:val="single" w:sz="8" w:color="C3E6FF"/>
            </w:tcBorders>
            <w:shd w:val="clear" w:color="auto" w:fill="F3F9FF"/>
          </w:tcPr>
          <w:p>
            <w:pPr>
              <w:jc w:val="center"/>
              <w:spacing w:after="0"/>
              <w:rPr>
                <w:sz w:val="20"/>
                <w:szCs w:val="20"/>
                <w:color w:val="auto"/>
              </w:rPr>
            </w:pPr>
            <w:r>
              <w:rPr>
                <w:rFonts w:ascii="Arial" w:cs="Arial" w:eastAsia="Arial" w:hAnsi="Arial"/>
                <w:sz w:val="18"/>
                <w:szCs w:val="18"/>
                <w:color w:val="auto"/>
              </w:rPr>
              <w:t>3,542</w:t>
            </w:r>
          </w:p>
        </w:tc>
      </w:tr>
      <w:tr>
        <w:trPr>
          <w:trHeight w:val="94"/>
        </w:trPr>
        <w:tc>
          <w:tcPr>
            <w:tcW w:w="2100" w:type="dxa"/>
            <w:vAlign w:val="bottom"/>
            <w:tcBorders>
              <w:left w:val="single" w:sz="8" w:color="C3E6FF"/>
            </w:tcBorders>
            <w:shd w:val="clear" w:color="auto" w:fill="F3F9FF"/>
          </w:tcPr>
          <w:p>
            <w:pPr>
              <w:spacing w:after="0"/>
              <w:rPr>
                <w:sz w:val="8"/>
                <w:szCs w:val="8"/>
                <w:color w:val="auto"/>
              </w:rPr>
            </w:pPr>
          </w:p>
        </w:tc>
        <w:tc>
          <w:tcPr>
            <w:tcW w:w="2660" w:type="dxa"/>
            <w:vAlign w:val="bottom"/>
            <w:shd w:val="clear" w:color="auto" w:fill="F3F9FF"/>
          </w:tcPr>
          <w:p>
            <w:pPr>
              <w:spacing w:after="0"/>
              <w:rPr>
                <w:sz w:val="8"/>
                <w:szCs w:val="8"/>
                <w:color w:val="auto"/>
              </w:rPr>
            </w:pPr>
          </w:p>
        </w:tc>
        <w:tc>
          <w:tcPr>
            <w:tcW w:w="3020" w:type="dxa"/>
            <w:vAlign w:val="bottom"/>
            <w:shd w:val="clear" w:color="auto" w:fill="F3F9FF"/>
          </w:tcPr>
          <w:p>
            <w:pPr>
              <w:spacing w:after="0"/>
              <w:rPr>
                <w:sz w:val="8"/>
                <w:szCs w:val="8"/>
                <w:color w:val="auto"/>
              </w:rPr>
            </w:pPr>
          </w:p>
        </w:tc>
        <w:tc>
          <w:tcPr>
            <w:tcW w:w="3460" w:type="dxa"/>
            <w:vAlign w:val="bottom"/>
            <w:tcBorders>
              <w:right w:val="single" w:sz="8" w:color="C3E6FF"/>
            </w:tcBorders>
            <w:shd w:val="clear" w:color="auto" w:fill="F3F9FF"/>
          </w:tcPr>
          <w:p>
            <w:pPr>
              <w:spacing w:after="0"/>
              <w:rPr>
                <w:sz w:val="8"/>
                <w:szCs w:val="8"/>
                <w:color w:val="auto"/>
              </w:rPr>
            </w:pPr>
          </w:p>
        </w:tc>
      </w:tr>
      <w:tr>
        <w:trPr>
          <w:trHeight w:val="324"/>
        </w:trPr>
        <w:tc>
          <w:tcPr>
            <w:tcW w:w="2100" w:type="dxa"/>
            <w:vAlign w:val="bottom"/>
            <w:tcBorders>
              <w:left w:val="single" w:sz="8" w:color="C3E6FF"/>
            </w:tcBorders>
          </w:tcPr>
          <w:p>
            <w:pPr>
              <w:ind w:left="140"/>
              <w:spacing w:after="0"/>
              <w:rPr>
                <w:sz w:val="20"/>
                <w:szCs w:val="20"/>
                <w:color w:val="auto"/>
              </w:rPr>
            </w:pPr>
            <w:r>
              <w:rPr>
                <w:rFonts w:ascii="Arial" w:cs="Arial" w:eastAsia="Arial" w:hAnsi="Arial"/>
                <w:sz w:val="18"/>
                <w:szCs w:val="18"/>
                <w:b w:val="1"/>
                <w:bCs w:val="1"/>
                <w:color w:val="auto"/>
              </w:rPr>
              <w:t>Pavan Bagai</w:t>
            </w:r>
          </w:p>
        </w:tc>
        <w:tc>
          <w:tcPr>
            <w:tcW w:w="2660" w:type="dxa"/>
            <w:vAlign w:val="bottom"/>
          </w:tcPr>
          <w:p>
            <w:pPr>
              <w:jc w:val="center"/>
              <w:ind w:left="50"/>
              <w:spacing w:after="0"/>
              <w:rPr>
                <w:sz w:val="20"/>
                <w:szCs w:val="20"/>
                <w:color w:val="auto"/>
              </w:rPr>
            </w:pPr>
            <w:r>
              <w:rPr>
                <w:rFonts w:ascii="Arial" w:cs="Arial" w:eastAsia="Arial" w:hAnsi="Arial"/>
                <w:sz w:val="18"/>
                <w:szCs w:val="18"/>
                <w:color w:val="auto"/>
              </w:rPr>
              <w:t>10,925</w:t>
            </w:r>
          </w:p>
        </w:tc>
        <w:tc>
          <w:tcPr>
            <w:tcW w:w="3020" w:type="dxa"/>
            <w:vAlign w:val="bottom"/>
          </w:tcPr>
          <w:p>
            <w:pPr>
              <w:jc w:val="center"/>
              <w:spacing w:after="0"/>
              <w:rPr>
                <w:sz w:val="20"/>
                <w:szCs w:val="20"/>
                <w:color w:val="auto"/>
              </w:rPr>
            </w:pPr>
            <w:r>
              <w:rPr>
                <w:rFonts w:ascii="Arial" w:cs="Arial" w:eastAsia="Arial" w:hAnsi="Arial"/>
                <w:sz w:val="18"/>
                <w:szCs w:val="18"/>
                <w:color w:val="auto"/>
              </w:rPr>
              <w:t>5,463</w:t>
            </w:r>
          </w:p>
        </w:tc>
        <w:tc>
          <w:tcPr>
            <w:tcW w:w="3460" w:type="dxa"/>
            <w:vAlign w:val="bottom"/>
            <w:tcBorders>
              <w:right w:val="single" w:sz="8" w:color="C3E6FF"/>
            </w:tcBorders>
          </w:tcPr>
          <w:p>
            <w:pPr>
              <w:jc w:val="center"/>
              <w:spacing w:after="0"/>
              <w:rPr>
                <w:sz w:val="20"/>
                <w:szCs w:val="20"/>
                <w:color w:val="auto"/>
              </w:rPr>
            </w:pPr>
            <w:r>
              <w:rPr>
                <w:rFonts w:ascii="Arial" w:cs="Arial" w:eastAsia="Arial" w:hAnsi="Arial"/>
                <w:sz w:val="18"/>
                <w:szCs w:val="18"/>
                <w:color w:val="auto"/>
              </w:rPr>
              <w:t>5,462</w:t>
            </w:r>
          </w:p>
        </w:tc>
      </w:tr>
      <w:tr>
        <w:trPr>
          <w:trHeight w:val="95"/>
        </w:trPr>
        <w:tc>
          <w:tcPr>
            <w:tcW w:w="2100" w:type="dxa"/>
            <w:vAlign w:val="bottom"/>
            <w:tcBorders>
              <w:left w:val="single" w:sz="8" w:color="C3E6FF"/>
            </w:tcBorders>
          </w:tcPr>
          <w:p>
            <w:pPr>
              <w:spacing w:after="0"/>
              <w:rPr>
                <w:sz w:val="8"/>
                <w:szCs w:val="8"/>
                <w:color w:val="auto"/>
              </w:rPr>
            </w:pPr>
          </w:p>
        </w:tc>
        <w:tc>
          <w:tcPr>
            <w:tcW w:w="26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60" w:type="dxa"/>
            <w:vAlign w:val="bottom"/>
            <w:tcBorders>
              <w:right w:val="single" w:sz="8" w:color="C3E6FF"/>
            </w:tcBorders>
          </w:tcPr>
          <w:p>
            <w:pPr>
              <w:spacing w:after="0"/>
              <w:rPr>
                <w:sz w:val="8"/>
                <w:szCs w:val="8"/>
                <w:color w:val="auto"/>
              </w:rPr>
            </w:pPr>
          </w:p>
        </w:tc>
      </w:tr>
      <w:tr>
        <w:trPr>
          <w:trHeight w:val="324"/>
        </w:trPr>
        <w:tc>
          <w:tcPr>
            <w:tcW w:w="210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b w:val="1"/>
                <w:bCs w:val="1"/>
                <w:color w:val="auto"/>
              </w:rPr>
              <w:t>Nalin Miglani</w:t>
            </w:r>
          </w:p>
        </w:tc>
        <w:tc>
          <w:tcPr>
            <w:tcW w:w="2660" w:type="dxa"/>
            <w:vAlign w:val="bottom"/>
            <w:shd w:val="clear" w:color="auto" w:fill="F3F9FF"/>
          </w:tcPr>
          <w:p>
            <w:pPr>
              <w:jc w:val="center"/>
              <w:ind w:left="50"/>
              <w:spacing w:after="0"/>
              <w:rPr>
                <w:sz w:val="20"/>
                <w:szCs w:val="20"/>
                <w:color w:val="auto"/>
              </w:rPr>
            </w:pPr>
            <w:r>
              <w:rPr>
                <w:rFonts w:ascii="Arial" w:cs="Arial" w:eastAsia="Arial" w:hAnsi="Arial"/>
                <w:sz w:val="18"/>
                <w:szCs w:val="18"/>
                <w:color w:val="auto"/>
                <w:w w:val="97"/>
              </w:rPr>
              <w:t>6,175</w:t>
            </w:r>
          </w:p>
        </w:tc>
        <w:tc>
          <w:tcPr>
            <w:tcW w:w="3020" w:type="dxa"/>
            <w:vAlign w:val="bottom"/>
            <w:shd w:val="clear" w:color="auto" w:fill="F3F9FF"/>
          </w:tcPr>
          <w:p>
            <w:pPr>
              <w:jc w:val="center"/>
              <w:spacing w:after="0"/>
              <w:rPr>
                <w:sz w:val="20"/>
                <w:szCs w:val="20"/>
                <w:color w:val="auto"/>
              </w:rPr>
            </w:pPr>
            <w:r>
              <w:rPr>
                <w:rFonts w:ascii="Arial" w:cs="Arial" w:eastAsia="Arial" w:hAnsi="Arial"/>
                <w:sz w:val="18"/>
                <w:szCs w:val="18"/>
                <w:color w:val="auto"/>
              </w:rPr>
              <w:t>3,088</w:t>
            </w:r>
          </w:p>
        </w:tc>
        <w:tc>
          <w:tcPr>
            <w:tcW w:w="3460" w:type="dxa"/>
            <w:vAlign w:val="bottom"/>
            <w:tcBorders>
              <w:right w:val="single" w:sz="8" w:color="C3E6FF"/>
            </w:tcBorders>
            <w:shd w:val="clear" w:color="auto" w:fill="F3F9FF"/>
          </w:tcPr>
          <w:p>
            <w:pPr>
              <w:jc w:val="center"/>
              <w:spacing w:after="0"/>
              <w:rPr>
                <w:sz w:val="20"/>
                <w:szCs w:val="20"/>
                <w:color w:val="auto"/>
              </w:rPr>
            </w:pPr>
            <w:r>
              <w:rPr>
                <w:rFonts w:ascii="Arial" w:cs="Arial" w:eastAsia="Arial" w:hAnsi="Arial"/>
                <w:sz w:val="18"/>
                <w:szCs w:val="18"/>
                <w:color w:val="auto"/>
              </w:rPr>
              <w:t>3,087</w:t>
            </w:r>
          </w:p>
        </w:tc>
      </w:tr>
      <w:tr>
        <w:trPr>
          <w:trHeight w:val="94"/>
        </w:trPr>
        <w:tc>
          <w:tcPr>
            <w:tcW w:w="2100" w:type="dxa"/>
            <w:vAlign w:val="bottom"/>
            <w:tcBorders>
              <w:left w:val="single" w:sz="8" w:color="C3E6FF"/>
            </w:tcBorders>
            <w:shd w:val="clear" w:color="auto" w:fill="F3F9FF"/>
          </w:tcPr>
          <w:p>
            <w:pPr>
              <w:spacing w:after="0"/>
              <w:rPr>
                <w:sz w:val="8"/>
                <w:szCs w:val="8"/>
                <w:color w:val="auto"/>
              </w:rPr>
            </w:pPr>
          </w:p>
        </w:tc>
        <w:tc>
          <w:tcPr>
            <w:tcW w:w="2660" w:type="dxa"/>
            <w:vAlign w:val="bottom"/>
            <w:shd w:val="clear" w:color="auto" w:fill="F3F9FF"/>
          </w:tcPr>
          <w:p>
            <w:pPr>
              <w:spacing w:after="0"/>
              <w:rPr>
                <w:sz w:val="8"/>
                <w:szCs w:val="8"/>
                <w:color w:val="auto"/>
              </w:rPr>
            </w:pPr>
          </w:p>
        </w:tc>
        <w:tc>
          <w:tcPr>
            <w:tcW w:w="3020" w:type="dxa"/>
            <w:vAlign w:val="bottom"/>
            <w:shd w:val="clear" w:color="auto" w:fill="F3F9FF"/>
          </w:tcPr>
          <w:p>
            <w:pPr>
              <w:spacing w:after="0"/>
              <w:rPr>
                <w:sz w:val="8"/>
                <w:szCs w:val="8"/>
                <w:color w:val="auto"/>
              </w:rPr>
            </w:pPr>
          </w:p>
        </w:tc>
        <w:tc>
          <w:tcPr>
            <w:tcW w:w="3460" w:type="dxa"/>
            <w:vAlign w:val="bottom"/>
            <w:tcBorders>
              <w:right w:val="single" w:sz="8" w:color="C3E6FF"/>
            </w:tcBorders>
            <w:shd w:val="clear" w:color="auto" w:fill="F3F9FF"/>
          </w:tcPr>
          <w:p>
            <w:pPr>
              <w:spacing w:after="0"/>
              <w:rPr>
                <w:sz w:val="8"/>
                <w:szCs w:val="8"/>
                <w:color w:val="auto"/>
              </w:rPr>
            </w:pPr>
          </w:p>
        </w:tc>
      </w:tr>
      <w:tr>
        <w:trPr>
          <w:trHeight w:val="324"/>
        </w:trPr>
        <w:tc>
          <w:tcPr>
            <w:tcW w:w="2100" w:type="dxa"/>
            <w:vAlign w:val="bottom"/>
            <w:tcBorders>
              <w:left w:val="single" w:sz="8" w:color="C3E6FF"/>
            </w:tcBorders>
          </w:tcPr>
          <w:p>
            <w:pPr>
              <w:ind w:left="140"/>
              <w:spacing w:after="0"/>
              <w:rPr>
                <w:sz w:val="20"/>
                <w:szCs w:val="20"/>
                <w:color w:val="auto"/>
              </w:rPr>
            </w:pPr>
            <w:r>
              <w:rPr>
                <w:rFonts w:ascii="Arial" w:cs="Arial" w:eastAsia="Arial" w:hAnsi="Arial"/>
                <w:sz w:val="18"/>
                <w:szCs w:val="18"/>
                <w:b w:val="1"/>
                <w:bCs w:val="1"/>
                <w:color w:val="auto"/>
              </w:rPr>
              <w:t>Vikas Bhalla</w:t>
            </w:r>
          </w:p>
        </w:tc>
        <w:tc>
          <w:tcPr>
            <w:tcW w:w="2660" w:type="dxa"/>
            <w:vAlign w:val="bottom"/>
          </w:tcPr>
          <w:p>
            <w:pPr>
              <w:jc w:val="center"/>
              <w:ind w:left="50"/>
              <w:spacing w:after="0"/>
              <w:rPr>
                <w:sz w:val="20"/>
                <w:szCs w:val="20"/>
                <w:color w:val="auto"/>
              </w:rPr>
            </w:pPr>
            <w:r>
              <w:rPr>
                <w:rFonts w:ascii="Arial" w:cs="Arial" w:eastAsia="Arial" w:hAnsi="Arial"/>
                <w:sz w:val="18"/>
                <w:szCs w:val="18"/>
                <w:color w:val="auto"/>
                <w:w w:val="97"/>
              </w:rPr>
              <w:t>6,830</w:t>
            </w:r>
          </w:p>
        </w:tc>
        <w:tc>
          <w:tcPr>
            <w:tcW w:w="3020" w:type="dxa"/>
            <w:vAlign w:val="bottom"/>
          </w:tcPr>
          <w:p>
            <w:pPr>
              <w:jc w:val="center"/>
              <w:spacing w:after="0"/>
              <w:rPr>
                <w:sz w:val="20"/>
                <w:szCs w:val="20"/>
                <w:color w:val="auto"/>
              </w:rPr>
            </w:pPr>
            <w:r>
              <w:rPr>
                <w:rFonts w:ascii="Arial" w:cs="Arial" w:eastAsia="Arial" w:hAnsi="Arial"/>
                <w:sz w:val="18"/>
                <w:szCs w:val="18"/>
                <w:color w:val="auto"/>
              </w:rPr>
              <w:t>3,415</w:t>
            </w:r>
          </w:p>
        </w:tc>
        <w:tc>
          <w:tcPr>
            <w:tcW w:w="3460" w:type="dxa"/>
            <w:vAlign w:val="bottom"/>
            <w:tcBorders>
              <w:right w:val="single" w:sz="8" w:color="C3E6FF"/>
            </w:tcBorders>
          </w:tcPr>
          <w:p>
            <w:pPr>
              <w:jc w:val="center"/>
              <w:spacing w:after="0"/>
              <w:rPr>
                <w:sz w:val="20"/>
                <w:szCs w:val="20"/>
                <w:color w:val="auto"/>
              </w:rPr>
            </w:pPr>
            <w:r>
              <w:rPr>
                <w:rFonts w:ascii="Arial" w:cs="Arial" w:eastAsia="Arial" w:hAnsi="Arial"/>
                <w:sz w:val="18"/>
                <w:szCs w:val="18"/>
                <w:color w:val="auto"/>
              </w:rPr>
              <w:t>3,415</w:t>
            </w:r>
          </w:p>
        </w:tc>
      </w:tr>
      <w:tr>
        <w:trPr>
          <w:trHeight w:val="94"/>
        </w:trPr>
        <w:tc>
          <w:tcPr>
            <w:tcW w:w="2100" w:type="dxa"/>
            <w:vAlign w:val="bottom"/>
            <w:tcBorders>
              <w:left w:val="single" w:sz="8" w:color="C3E6FF"/>
            </w:tcBorders>
          </w:tcPr>
          <w:p>
            <w:pPr>
              <w:spacing w:after="0"/>
              <w:rPr>
                <w:sz w:val="8"/>
                <w:szCs w:val="8"/>
                <w:color w:val="auto"/>
              </w:rPr>
            </w:pPr>
          </w:p>
        </w:tc>
        <w:tc>
          <w:tcPr>
            <w:tcW w:w="26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60" w:type="dxa"/>
            <w:vAlign w:val="bottom"/>
            <w:tcBorders>
              <w:right w:val="single" w:sz="8" w:color="C3E6FF"/>
            </w:tcBorders>
          </w:tcPr>
          <w:p>
            <w:pPr>
              <w:spacing w:after="0"/>
              <w:rPr>
                <w:sz w:val="8"/>
                <w:szCs w:val="8"/>
                <w:color w:val="auto"/>
              </w:rPr>
            </w:pPr>
          </w:p>
        </w:tc>
      </w:tr>
      <w:tr>
        <w:trPr>
          <w:trHeight w:val="324"/>
        </w:trPr>
        <w:tc>
          <w:tcPr>
            <w:tcW w:w="210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b w:val="1"/>
                <w:bCs w:val="1"/>
                <w:color w:val="auto"/>
              </w:rPr>
              <w:t>Samuel Meckey</w:t>
            </w:r>
          </w:p>
        </w:tc>
        <w:tc>
          <w:tcPr>
            <w:tcW w:w="2660" w:type="dxa"/>
            <w:vAlign w:val="bottom"/>
            <w:shd w:val="clear" w:color="auto" w:fill="F3F9FF"/>
          </w:tcPr>
          <w:p>
            <w:pPr>
              <w:jc w:val="center"/>
              <w:ind w:left="50"/>
              <w:spacing w:after="0"/>
              <w:rPr>
                <w:sz w:val="20"/>
                <w:szCs w:val="20"/>
                <w:color w:val="auto"/>
              </w:rPr>
            </w:pPr>
            <w:r>
              <w:rPr>
                <w:rFonts w:ascii="Arial" w:cs="Arial" w:eastAsia="Arial" w:hAnsi="Arial"/>
                <w:sz w:val="18"/>
                <w:szCs w:val="18"/>
                <w:color w:val="auto"/>
                <w:w w:val="97"/>
              </w:rPr>
              <w:t>5,370</w:t>
            </w:r>
          </w:p>
        </w:tc>
        <w:tc>
          <w:tcPr>
            <w:tcW w:w="3020" w:type="dxa"/>
            <w:vAlign w:val="bottom"/>
            <w:shd w:val="clear" w:color="auto" w:fill="F3F9FF"/>
          </w:tcPr>
          <w:p>
            <w:pPr>
              <w:jc w:val="center"/>
              <w:spacing w:after="0"/>
              <w:rPr>
                <w:sz w:val="20"/>
                <w:szCs w:val="20"/>
                <w:color w:val="auto"/>
              </w:rPr>
            </w:pPr>
            <w:r>
              <w:rPr>
                <w:rFonts w:ascii="Arial" w:cs="Arial" w:eastAsia="Arial" w:hAnsi="Arial"/>
                <w:sz w:val="18"/>
                <w:szCs w:val="18"/>
                <w:color w:val="auto"/>
              </w:rPr>
              <w:t>2,685</w:t>
            </w:r>
          </w:p>
        </w:tc>
        <w:tc>
          <w:tcPr>
            <w:tcW w:w="3460" w:type="dxa"/>
            <w:vAlign w:val="bottom"/>
            <w:tcBorders>
              <w:right w:val="single" w:sz="8" w:color="C3E6FF"/>
            </w:tcBorders>
            <w:shd w:val="clear" w:color="auto" w:fill="F3F9FF"/>
          </w:tcPr>
          <w:p>
            <w:pPr>
              <w:jc w:val="center"/>
              <w:spacing w:after="0"/>
              <w:rPr>
                <w:sz w:val="20"/>
                <w:szCs w:val="20"/>
                <w:color w:val="auto"/>
              </w:rPr>
            </w:pPr>
            <w:r>
              <w:rPr>
                <w:rFonts w:ascii="Arial" w:cs="Arial" w:eastAsia="Arial" w:hAnsi="Arial"/>
                <w:sz w:val="18"/>
                <w:szCs w:val="18"/>
                <w:color w:val="auto"/>
              </w:rPr>
              <w:t>2,685</w:t>
            </w:r>
          </w:p>
        </w:tc>
      </w:tr>
      <w:tr>
        <w:trPr>
          <w:trHeight w:val="101"/>
        </w:trPr>
        <w:tc>
          <w:tcPr>
            <w:tcW w:w="2100" w:type="dxa"/>
            <w:vAlign w:val="bottom"/>
            <w:tcBorders>
              <w:left w:val="single" w:sz="8" w:color="C3E6FF"/>
              <w:bottom w:val="single" w:sz="8" w:color="C3E6FF"/>
            </w:tcBorders>
            <w:shd w:val="clear" w:color="auto" w:fill="F3F9FF"/>
          </w:tcPr>
          <w:p>
            <w:pPr>
              <w:spacing w:after="0"/>
              <w:rPr>
                <w:sz w:val="8"/>
                <w:szCs w:val="8"/>
                <w:color w:val="auto"/>
              </w:rPr>
            </w:pPr>
          </w:p>
        </w:tc>
        <w:tc>
          <w:tcPr>
            <w:tcW w:w="2660" w:type="dxa"/>
            <w:vAlign w:val="bottom"/>
            <w:tcBorders>
              <w:bottom w:val="single" w:sz="8" w:color="C3E6FF"/>
            </w:tcBorders>
            <w:shd w:val="clear" w:color="auto" w:fill="F3F9FF"/>
          </w:tcPr>
          <w:p>
            <w:pPr>
              <w:spacing w:after="0"/>
              <w:rPr>
                <w:sz w:val="8"/>
                <w:szCs w:val="8"/>
                <w:color w:val="auto"/>
              </w:rPr>
            </w:pPr>
          </w:p>
        </w:tc>
        <w:tc>
          <w:tcPr>
            <w:tcW w:w="3020" w:type="dxa"/>
            <w:vAlign w:val="bottom"/>
            <w:tcBorders>
              <w:bottom w:val="single" w:sz="8" w:color="C3E6FF"/>
            </w:tcBorders>
            <w:shd w:val="clear" w:color="auto" w:fill="F3F9FF"/>
          </w:tcPr>
          <w:p>
            <w:pPr>
              <w:spacing w:after="0"/>
              <w:rPr>
                <w:sz w:val="8"/>
                <w:szCs w:val="8"/>
                <w:color w:val="auto"/>
              </w:rPr>
            </w:pPr>
          </w:p>
        </w:tc>
        <w:tc>
          <w:tcPr>
            <w:tcW w:w="3460" w:type="dxa"/>
            <w:vAlign w:val="bottom"/>
            <w:tcBorders>
              <w:bottom w:val="single" w:sz="8" w:color="C3E6FF"/>
              <w:right w:val="single" w:sz="8" w:color="C3E6FF"/>
            </w:tcBorders>
            <w:shd w:val="clear" w:color="auto" w:fill="F3F9FF"/>
          </w:tcPr>
          <w:p>
            <w:pPr>
              <w:spacing w:after="0"/>
              <w:rPr>
                <w:sz w:val="8"/>
                <w:szCs w:val="8"/>
                <w:color w:val="auto"/>
              </w:rPr>
            </w:pPr>
          </w:p>
        </w:tc>
      </w:tr>
    </w:tbl>
    <w:p>
      <w:pPr>
        <w:spacing w:after="0" w:line="220" w:lineRule="exact"/>
        <w:rPr>
          <w:sz w:val="20"/>
          <w:szCs w:val="20"/>
          <w:color w:val="auto"/>
        </w:rPr>
      </w:pPr>
    </w:p>
    <w:p>
      <w:pPr>
        <w:ind w:left="660" w:right="60" w:hanging="328"/>
        <w:spacing w:after="0" w:line="271" w:lineRule="auto"/>
        <w:tabs>
          <w:tab w:leader="none" w:pos="660" w:val="left"/>
        </w:tabs>
        <w:numPr>
          <w:ilvl w:val="0"/>
          <w:numId w:val="86"/>
        </w:numPr>
        <w:rPr>
          <w:rFonts w:ascii="Arial" w:cs="Arial" w:eastAsia="Arial" w:hAnsi="Arial"/>
          <w:sz w:val="18"/>
          <w:szCs w:val="18"/>
          <w:color w:val="FF6503"/>
        </w:rPr>
      </w:pPr>
      <w:r>
        <w:rPr>
          <w:rFonts w:ascii="Arial" w:cs="Arial" w:eastAsia="Arial" w:hAnsi="Arial"/>
          <w:sz w:val="18"/>
          <w:szCs w:val="18"/>
          <w:color w:val="262626"/>
        </w:rPr>
        <w:t xml:space="preserve">The </w:t>
      </w:r>
      <w:r>
        <w:rPr>
          <w:rFonts w:ascii="Arial" w:cs="Arial" w:eastAsia="Arial" w:hAnsi="Arial"/>
          <w:sz w:val="18"/>
          <w:szCs w:val="18"/>
          <w:b w:val="1"/>
          <w:bCs w:val="1"/>
          <w:color w:val="262626"/>
        </w:rPr>
        <w:t>Time-Vested RSUs</w:t>
      </w:r>
      <w:r>
        <w:rPr>
          <w:rFonts w:ascii="Arial" w:cs="Arial" w:eastAsia="Arial" w:hAnsi="Arial"/>
          <w:sz w:val="18"/>
          <w:szCs w:val="18"/>
          <w:color w:val="262626"/>
        </w:rPr>
        <w:t xml:space="preserve"> will vest in increments of 25% on each of the first four anniversaries of the grant date, subject to continuous service with the Company through the applicable vesting date.</w:t>
      </w:r>
    </w:p>
    <w:p>
      <w:pPr>
        <w:spacing w:after="0" w:line="162" w:lineRule="exact"/>
        <w:rPr>
          <w:rFonts w:ascii="Arial" w:cs="Arial" w:eastAsia="Arial" w:hAnsi="Arial"/>
          <w:sz w:val="18"/>
          <w:szCs w:val="18"/>
          <w:color w:val="FF6503"/>
        </w:rPr>
      </w:pPr>
    </w:p>
    <w:p>
      <w:pPr>
        <w:ind w:left="660" w:hanging="328"/>
        <w:spacing w:after="0"/>
        <w:tabs>
          <w:tab w:leader="none" w:pos="660" w:val="left"/>
        </w:tabs>
        <w:numPr>
          <w:ilvl w:val="0"/>
          <w:numId w:val="86"/>
        </w:numPr>
        <w:rPr>
          <w:rFonts w:ascii="Arial" w:cs="Arial" w:eastAsia="Arial" w:hAnsi="Arial"/>
          <w:sz w:val="18"/>
          <w:szCs w:val="18"/>
          <w:color w:val="FF6503"/>
        </w:rPr>
      </w:pPr>
      <w:r>
        <w:rPr>
          <w:rFonts w:ascii="Arial" w:cs="Arial" w:eastAsia="Arial" w:hAnsi="Arial"/>
          <w:sz w:val="18"/>
          <w:szCs w:val="18"/>
          <w:color w:val="262626"/>
        </w:rPr>
        <w:t>The Committee believes these Time-Vested RSUs provide an important role in promoting retention of our executive officers.</w:t>
      </w:r>
    </w:p>
    <w:p>
      <w:pPr>
        <w:spacing w:after="0" w:line="176" w:lineRule="exact"/>
        <w:rPr>
          <w:rFonts w:ascii="Arial" w:cs="Arial" w:eastAsia="Arial" w:hAnsi="Arial"/>
          <w:sz w:val="18"/>
          <w:szCs w:val="18"/>
          <w:color w:val="FF6503"/>
        </w:rPr>
      </w:pPr>
    </w:p>
    <w:p>
      <w:pPr>
        <w:ind w:left="660" w:right="960" w:hanging="328"/>
        <w:spacing w:after="0" w:line="271" w:lineRule="auto"/>
        <w:tabs>
          <w:tab w:leader="none" w:pos="660" w:val="left"/>
        </w:tabs>
        <w:numPr>
          <w:ilvl w:val="0"/>
          <w:numId w:val="86"/>
        </w:numPr>
        <w:rPr>
          <w:rFonts w:ascii="Arial" w:cs="Arial" w:eastAsia="Arial" w:hAnsi="Arial"/>
          <w:sz w:val="18"/>
          <w:szCs w:val="18"/>
          <w:color w:val="FF6503"/>
        </w:rPr>
      </w:pPr>
      <w:r>
        <w:rPr>
          <w:rFonts w:ascii="Arial" w:cs="Arial" w:eastAsia="Arial" w:hAnsi="Arial"/>
          <w:sz w:val="18"/>
          <w:szCs w:val="18"/>
          <w:color w:val="262626"/>
        </w:rPr>
        <w:t>The “Performance-Vested” portion of the 2019 RSUs (“</w:t>
      </w:r>
      <w:r>
        <w:rPr>
          <w:rFonts w:ascii="Arial" w:cs="Arial" w:eastAsia="Arial" w:hAnsi="Arial"/>
          <w:sz w:val="18"/>
          <w:szCs w:val="18"/>
          <w:b w:val="1"/>
          <w:bCs w:val="1"/>
          <w:color w:val="262626"/>
        </w:rPr>
        <w:t>PRSUs</w:t>
      </w:r>
      <w:r>
        <w:rPr>
          <w:rFonts w:ascii="Arial" w:cs="Arial" w:eastAsia="Arial" w:hAnsi="Arial"/>
          <w:sz w:val="18"/>
          <w:szCs w:val="18"/>
          <w:color w:val="262626"/>
        </w:rPr>
        <w:t>”) are split into two types that each vest based on separate performance measures as follows:</w:t>
      </w:r>
    </w:p>
    <w:p>
      <w:pPr>
        <w:spacing w:after="0" w:line="140" w:lineRule="exact"/>
        <w:rPr>
          <w:rFonts w:ascii="Arial" w:cs="Arial" w:eastAsia="Arial" w:hAnsi="Arial"/>
          <w:sz w:val="18"/>
          <w:szCs w:val="18"/>
          <w:color w:val="FF6503"/>
        </w:rPr>
      </w:pPr>
    </w:p>
    <w:p>
      <w:pPr>
        <w:ind w:left="980" w:right="140" w:hanging="324"/>
        <w:spacing w:after="0" w:line="242" w:lineRule="auto"/>
        <w:tabs>
          <w:tab w:leader="none" w:pos="980" w:val="left"/>
        </w:tabs>
        <w:numPr>
          <w:ilvl w:val="1"/>
          <w:numId w:val="86"/>
        </w:numPr>
        <w:rPr>
          <w:rFonts w:ascii="Arial" w:cs="Arial" w:eastAsia="Arial" w:hAnsi="Arial"/>
          <w:sz w:val="18"/>
          <w:szCs w:val="18"/>
          <w:color w:val="FF6503"/>
        </w:rPr>
      </w:pPr>
      <w:r>
        <w:rPr>
          <w:rFonts w:ascii="Arial" w:cs="Arial" w:eastAsia="Arial" w:hAnsi="Arial"/>
          <w:sz w:val="18"/>
          <w:szCs w:val="18"/>
          <w:b w:val="1"/>
          <w:bCs w:val="1"/>
          <w:color w:val="auto"/>
        </w:rPr>
        <w:t xml:space="preserve">Revenue-Linked PRSUs: </w:t>
      </w:r>
      <w:r>
        <w:rPr>
          <w:rFonts w:ascii="Arial" w:cs="Arial" w:eastAsia="Arial" w:hAnsi="Arial"/>
          <w:sz w:val="18"/>
          <w:szCs w:val="18"/>
          <w:color w:val="auto"/>
        </w:rPr>
        <w:t>50% of these performance-based restricted stock unit awards will cliff-vest on December 31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fiscal year in the performance period, subject to achievement of threshold Company revenues against an aggregate revenue target over the grant’s three year performance period of January 1, 2019 to December 31, 2021 and continuous employment through December 31, 2021 — we call these awards “Revenue-Linked PRSUs.” The ultimate amount of Revenue-Linked PRSUs that a recipient earns may be up to 200% of the target award of Revenue-Linked RSUs. To the extent the Company’s revenue falls in between 90% and 98%, the percentage of Revenue-Based RSUS earned will be</w:t>
      </w:r>
    </w:p>
    <w:p>
      <w:pPr>
        <w:spacing w:after="0" w:line="32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95" w:lineRule="exact"/>
        <w:rPr>
          <w:sz w:val="20"/>
          <w:szCs w:val="20"/>
          <w:color w:val="auto"/>
        </w:rPr>
      </w:pPr>
    </w:p>
    <w:p>
      <w:pPr>
        <w:ind w:left="648" w:right="100"/>
        <w:spacing w:after="0" w:line="238" w:lineRule="auto"/>
        <w:rPr>
          <w:sz w:val="20"/>
          <w:szCs w:val="20"/>
          <w:color w:val="auto"/>
        </w:rPr>
      </w:pPr>
      <w:r>
        <w:rPr>
          <w:rFonts w:ascii="Arial" w:cs="Arial" w:eastAsia="Arial" w:hAnsi="Arial"/>
          <w:sz w:val="18"/>
          <w:szCs w:val="18"/>
          <w:color w:val="auto"/>
        </w:rPr>
        <w:t>determined based on straight line interpolation calculated using a revenue target range between 90% and 100% and a funding range between 0% and 100%. Likewise, if performance is between 102% and 110%, the percentage of Revenue-Based RSUs earned will be determined based on straight line interpolation calculated using a revenue target range between 100% and 110% and a funding range between 100% and 200%. The chart below sets forth the revenue target achievement thresholds and corresponding funding percentage:</w:t>
      </w:r>
    </w:p>
    <w:p>
      <w:pPr>
        <w:spacing w:after="0" w:line="170" w:lineRule="exact"/>
        <w:rPr>
          <w:sz w:val="20"/>
          <w:szCs w:val="20"/>
          <w:color w:val="auto"/>
        </w:rPr>
      </w:pPr>
    </w:p>
    <w:tbl>
      <w:tblPr>
        <w:tblLayout w:type="fixed"/>
        <w:tblInd w:w="658" w:type="dxa"/>
        <w:tblCellMar>
          <w:top w:w="0" w:type="dxa"/>
          <w:left w:w="0" w:type="dxa"/>
          <w:bottom w:w="0" w:type="dxa"/>
          <w:right w:w="0" w:type="dxa"/>
        </w:tblCellMar>
      </w:tblPr>
      <w:tr>
        <w:trPr>
          <w:trHeight w:val="351"/>
        </w:trPr>
        <w:tc>
          <w:tcPr>
            <w:tcW w:w="4780" w:type="dxa"/>
            <w:vAlign w:val="bottom"/>
            <w:tcBorders>
              <w:top w:val="single" w:sz="8" w:color="C3E6FF"/>
              <w:left w:val="single" w:sz="8" w:color="C3E6FF"/>
            </w:tcBorders>
            <w:shd w:val="clear" w:color="auto" w:fill="0093FF"/>
          </w:tcPr>
          <w:p>
            <w:pPr>
              <w:jc w:val="center"/>
              <w:spacing w:after="0"/>
              <w:rPr>
                <w:sz w:val="20"/>
                <w:szCs w:val="20"/>
                <w:color w:val="auto"/>
              </w:rPr>
            </w:pPr>
            <w:r>
              <w:rPr>
                <w:rFonts w:ascii="Arial" w:cs="Arial" w:eastAsia="Arial" w:hAnsi="Arial"/>
                <w:sz w:val="18"/>
                <w:szCs w:val="18"/>
                <w:b w:val="1"/>
                <w:bCs w:val="1"/>
                <w:color w:val="FFFFFF"/>
                <w:w w:val="99"/>
              </w:rPr>
              <w:t>Revenue Target Achievement</w:t>
            </w:r>
          </w:p>
        </w:tc>
        <w:tc>
          <w:tcPr>
            <w:tcW w:w="4200" w:type="dxa"/>
            <w:vAlign w:val="bottom"/>
            <w:tcBorders>
              <w:top w:val="single" w:sz="8" w:color="C3E6FF"/>
              <w:right w:val="single" w:sz="8" w:color="C3E6FF"/>
            </w:tcBorders>
            <w:shd w:val="clear" w:color="auto" w:fill="0093FF"/>
          </w:tcPr>
          <w:p>
            <w:pPr>
              <w:ind w:left="1160"/>
              <w:spacing w:after="0"/>
              <w:rPr>
                <w:sz w:val="20"/>
                <w:szCs w:val="20"/>
                <w:color w:val="auto"/>
              </w:rPr>
            </w:pPr>
            <w:r>
              <w:rPr>
                <w:rFonts w:ascii="Arial" w:cs="Arial" w:eastAsia="Arial" w:hAnsi="Arial"/>
                <w:sz w:val="18"/>
                <w:szCs w:val="18"/>
                <w:b w:val="1"/>
                <w:bCs w:val="1"/>
                <w:color w:val="FFFFFF"/>
              </w:rPr>
              <w:t>Funding Percentage</w:t>
            </w:r>
          </w:p>
        </w:tc>
      </w:tr>
      <w:tr>
        <w:trPr>
          <w:trHeight w:val="94"/>
        </w:trPr>
        <w:tc>
          <w:tcPr>
            <w:tcW w:w="4780" w:type="dxa"/>
            <w:vAlign w:val="bottom"/>
            <w:tcBorders>
              <w:left w:val="single" w:sz="8" w:color="C3E6FF"/>
            </w:tcBorders>
            <w:shd w:val="clear" w:color="auto" w:fill="0093FF"/>
          </w:tcPr>
          <w:p>
            <w:pPr>
              <w:spacing w:after="0"/>
              <w:rPr>
                <w:sz w:val="8"/>
                <w:szCs w:val="8"/>
                <w:color w:val="auto"/>
              </w:rPr>
            </w:pPr>
          </w:p>
        </w:tc>
        <w:tc>
          <w:tcPr>
            <w:tcW w:w="4200" w:type="dxa"/>
            <w:vAlign w:val="bottom"/>
            <w:tcBorders>
              <w:right w:val="single" w:sz="8" w:color="C3E6FF"/>
            </w:tcBorders>
            <w:shd w:val="clear" w:color="auto" w:fill="0093FF"/>
          </w:tcPr>
          <w:p>
            <w:pPr>
              <w:spacing w:after="0"/>
              <w:rPr>
                <w:sz w:val="8"/>
                <w:szCs w:val="8"/>
                <w:color w:val="auto"/>
              </w:rPr>
            </w:pPr>
          </w:p>
        </w:tc>
      </w:tr>
      <w:tr>
        <w:trPr>
          <w:trHeight w:val="270"/>
        </w:trPr>
        <w:tc>
          <w:tcPr>
            <w:tcW w:w="4780" w:type="dxa"/>
            <w:vAlign w:val="bottom"/>
            <w:tcBorders>
              <w:left w:val="single" w:sz="8" w:color="C3E6FF"/>
            </w:tcBorders>
          </w:tcPr>
          <w:p>
            <w:pPr>
              <w:jc w:val="center"/>
              <w:spacing w:after="0"/>
              <w:rPr>
                <w:sz w:val="20"/>
                <w:szCs w:val="20"/>
                <w:color w:val="auto"/>
              </w:rPr>
            </w:pPr>
            <w:r>
              <w:rPr>
                <w:rFonts w:ascii="Arial" w:cs="Arial" w:eastAsia="Arial" w:hAnsi="Arial"/>
                <w:sz w:val="18"/>
                <w:szCs w:val="18"/>
                <w:b w:val="1"/>
                <w:bCs w:val="1"/>
                <w:color w:val="auto"/>
                <w:w w:val="99"/>
              </w:rPr>
              <w:t>110% or more</w:t>
            </w:r>
          </w:p>
        </w:tc>
        <w:tc>
          <w:tcPr>
            <w:tcW w:w="4200" w:type="dxa"/>
            <w:vAlign w:val="bottom"/>
            <w:tcBorders>
              <w:right w:val="single" w:sz="8" w:color="C3E6FF"/>
            </w:tcBorders>
          </w:tcPr>
          <w:p>
            <w:pPr>
              <w:jc w:val="center"/>
              <w:ind w:right="50"/>
              <w:spacing w:after="0"/>
              <w:rPr>
                <w:sz w:val="20"/>
                <w:szCs w:val="20"/>
                <w:color w:val="auto"/>
              </w:rPr>
            </w:pPr>
            <w:r>
              <w:rPr>
                <w:rFonts w:ascii="Arial" w:cs="Arial" w:eastAsia="Arial" w:hAnsi="Arial"/>
                <w:sz w:val="18"/>
                <w:szCs w:val="18"/>
                <w:color w:val="auto"/>
                <w:w w:val="99"/>
              </w:rPr>
              <w:t>200%</w:t>
            </w:r>
          </w:p>
        </w:tc>
      </w:tr>
      <w:tr>
        <w:trPr>
          <w:trHeight w:val="40"/>
        </w:trPr>
        <w:tc>
          <w:tcPr>
            <w:tcW w:w="4780" w:type="dxa"/>
            <w:vAlign w:val="bottom"/>
            <w:tcBorders>
              <w:left w:val="single" w:sz="8" w:color="C3E6FF"/>
            </w:tcBorders>
          </w:tcPr>
          <w:p>
            <w:pPr>
              <w:spacing w:after="0"/>
              <w:rPr>
                <w:sz w:val="3"/>
                <w:szCs w:val="3"/>
                <w:color w:val="auto"/>
              </w:rPr>
            </w:pPr>
          </w:p>
        </w:tc>
        <w:tc>
          <w:tcPr>
            <w:tcW w:w="4200" w:type="dxa"/>
            <w:vAlign w:val="bottom"/>
            <w:tcBorders>
              <w:right w:val="single" w:sz="8" w:color="C3E6FF"/>
            </w:tcBorders>
          </w:tcPr>
          <w:p>
            <w:pPr>
              <w:spacing w:after="0"/>
              <w:rPr>
                <w:sz w:val="3"/>
                <w:szCs w:val="3"/>
                <w:color w:val="auto"/>
              </w:rPr>
            </w:pPr>
          </w:p>
        </w:tc>
      </w:tr>
      <w:tr>
        <w:trPr>
          <w:trHeight w:val="291"/>
        </w:trPr>
        <w:tc>
          <w:tcPr>
            <w:tcW w:w="4780" w:type="dxa"/>
            <w:vAlign w:val="bottom"/>
            <w:tcBorders>
              <w:left w:val="single" w:sz="8" w:color="C3E6FF"/>
              <w:bottom w:val="single" w:sz="8" w:color="F3F9FF"/>
            </w:tcBorders>
            <w:shd w:val="clear" w:color="auto" w:fill="F3F9FF"/>
          </w:tcPr>
          <w:p>
            <w:pPr>
              <w:jc w:val="center"/>
              <w:spacing w:after="0"/>
              <w:rPr>
                <w:sz w:val="20"/>
                <w:szCs w:val="20"/>
                <w:color w:val="auto"/>
              </w:rPr>
            </w:pPr>
            <w:r>
              <w:rPr>
                <w:rFonts w:ascii="Arial" w:cs="Arial" w:eastAsia="Arial" w:hAnsi="Arial"/>
                <w:sz w:val="18"/>
                <w:szCs w:val="18"/>
                <w:b w:val="1"/>
                <w:bCs w:val="1"/>
                <w:color w:val="auto"/>
              </w:rPr>
              <w:t>98% to 102%</w:t>
            </w:r>
          </w:p>
        </w:tc>
        <w:tc>
          <w:tcPr>
            <w:tcW w:w="4200" w:type="dxa"/>
            <w:vAlign w:val="bottom"/>
            <w:tcBorders>
              <w:bottom w:val="single" w:sz="8" w:color="F3F9FF"/>
              <w:right w:val="single" w:sz="8" w:color="C3E6FF"/>
            </w:tcBorders>
            <w:shd w:val="clear" w:color="auto" w:fill="F3F9FF"/>
          </w:tcPr>
          <w:p>
            <w:pPr>
              <w:jc w:val="center"/>
              <w:ind w:right="50"/>
              <w:spacing w:after="0"/>
              <w:rPr>
                <w:sz w:val="20"/>
                <w:szCs w:val="20"/>
                <w:color w:val="auto"/>
              </w:rPr>
            </w:pPr>
            <w:r>
              <w:rPr>
                <w:rFonts w:ascii="Arial" w:cs="Arial" w:eastAsia="Arial" w:hAnsi="Arial"/>
                <w:sz w:val="18"/>
                <w:szCs w:val="18"/>
                <w:color w:val="auto"/>
                <w:w w:val="99"/>
              </w:rPr>
              <w:t>100%</w:t>
            </w:r>
          </w:p>
        </w:tc>
      </w:tr>
      <w:tr>
        <w:trPr>
          <w:trHeight w:val="270"/>
        </w:trPr>
        <w:tc>
          <w:tcPr>
            <w:tcW w:w="4780" w:type="dxa"/>
            <w:vAlign w:val="bottom"/>
            <w:tcBorders>
              <w:left w:val="single" w:sz="8" w:color="C3E6FF"/>
            </w:tcBorders>
          </w:tcPr>
          <w:p>
            <w:pPr>
              <w:jc w:val="center"/>
              <w:spacing w:after="0"/>
              <w:rPr>
                <w:sz w:val="20"/>
                <w:szCs w:val="20"/>
                <w:color w:val="auto"/>
              </w:rPr>
            </w:pPr>
            <w:r>
              <w:rPr>
                <w:rFonts w:ascii="Arial" w:cs="Arial" w:eastAsia="Arial" w:hAnsi="Arial"/>
                <w:sz w:val="18"/>
                <w:szCs w:val="18"/>
                <w:b w:val="1"/>
                <w:bCs w:val="1"/>
                <w:color w:val="auto"/>
                <w:w w:val="98"/>
              </w:rPr>
              <w:t>90% or less</w:t>
            </w:r>
          </w:p>
        </w:tc>
        <w:tc>
          <w:tcPr>
            <w:tcW w:w="4200" w:type="dxa"/>
            <w:vAlign w:val="bottom"/>
            <w:tcBorders>
              <w:right w:val="single" w:sz="8" w:color="C3E6FF"/>
            </w:tcBorders>
          </w:tcPr>
          <w:p>
            <w:pPr>
              <w:jc w:val="center"/>
              <w:ind w:right="50"/>
              <w:spacing w:after="0"/>
              <w:rPr>
                <w:sz w:val="20"/>
                <w:szCs w:val="20"/>
                <w:color w:val="auto"/>
              </w:rPr>
            </w:pPr>
            <w:r>
              <w:rPr>
                <w:rFonts w:ascii="Arial" w:cs="Arial" w:eastAsia="Arial" w:hAnsi="Arial"/>
                <w:sz w:val="18"/>
                <w:szCs w:val="18"/>
                <w:color w:val="auto"/>
                <w:w w:val="99"/>
              </w:rPr>
              <w:t>0%</w:t>
            </w:r>
          </w:p>
        </w:tc>
      </w:tr>
      <w:tr>
        <w:trPr>
          <w:trHeight w:val="48"/>
        </w:trPr>
        <w:tc>
          <w:tcPr>
            <w:tcW w:w="4780" w:type="dxa"/>
            <w:vAlign w:val="bottom"/>
            <w:tcBorders>
              <w:left w:val="single" w:sz="8" w:color="C3E6FF"/>
              <w:bottom w:val="single" w:sz="8" w:color="C3E6FF"/>
            </w:tcBorders>
          </w:tcPr>
          <w:p>
            <w:pPr>
              <w:spacing w:after="0"/>
              <w:rPr>
                <w:sz w:val="4"/>
                <w:szCs w:val="4"/>
                <w:color w:val="auto"/>
              </w:rPr>
            </w:pPr>
          </w:p>
        </w:tc>
        <w:tc>
          <w:tcPr>
            <w:tcW w:w="4200" w:type="dxa"/>
            <w:vAlign w:val="bottom"/>
            <w:tcBorders>
              <w:bottom w:val="single" w:sz="8" w:color="C3E6FF"/>
              <w:right w:val="single" w:sz="8" w:color="C3E6FF"/>
            </w:tcBorders>
          </w:tcPr>
          <w:p>
            <w:pPr>
              <w:spacing w:after="0"/>
              <w:rPr>
                <w:sz w:val="4"/>
                <w:szCs w:val="4"/>
                <w:color w:val="auto"/>
              </w:rPr>
            </w:pPr>
          </w:p>
        </w:tc>
      </w:tr>
    </w:tbl>
    <w:p>
      <w:pPr>
        <w:spacing w:after="0" w:line="220" w:lineRule="exact"/>
        <w:rPr>
          <w:sz w:val="20"/>
          <w:szCs w:val="20"/>
          <w:color w:val="auto"/>
        </w:rPr>
      </w:pPr>
    </w:p>
    <w:p>
      <w:pPr>
        <w:ind w:left="648" w:hanging="324"/>
        <w:spacing w:after="0" w:line="238" w:lineRule="auto"/>
        <w:tabs>
          <w:tab w:leader="none" w:pos="648" w:val="left"/>
        </w:tabs>
        <w:numPr>
          <w:ilvl w:val="0"/>
          <w:numId w:val="87"/>
        </w:numPr>
        <w:rPr>
          <w:rFonts w:ascii="Arial" w:cs="Arial" w:eastAsia="Arial" w:hAnsi="Arial"/>
          <w:sz w:val="18"/>
          <w:szCs w:val="18"/>
          <w:color w:val="FF6503"/>
        </w:rPr>
      </w:pPr>
      <w:r>
        <w:rPr>
          <w:rFonts w:ascii="Arial" w:cs="Arial" w:eastAsia="Arial" w:hAnsi="Arial"/>
          <w:sz w:val="18"/>
          <w:szCs w:val="18"/>
          <w:b w:val="1"/>
          <w:bCs w:val="1"/>
          <w:color w:val="auto"/>
        </w:rPr>
        <w:t>Relative TSR-Linked PRSUs</w:t>
      </w:r>
      <w:r>
        <w:rPr>
          <w:rFonts w:ascii="Arial" w:cs="Arial" w:eastAsia="Arial" w:hAnsi="Arial"/>
          <w:sz w:val="18"/>
          <w:szCs w:val="18"/>
          <w:color w:val="auto"/>
        </w:rPr>
        <w:t>: The remaining 50% of the performance-based restricted stock unit awards cliff-vest on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of the third fiscal year in the performance period, based on the achievement of relative total stockholder return performance of the Company against a peer group over the grant’s three-year performance period of January 1, 2019 to December 31, 2021 and continuous employment through December 31, 2021 — we call these awards “Relative TSR-Linked PRSUs.” The Company’s TSR for the TSR performance period will be computed and then compared to the TSR of the companies in the TSR peer group, which is comprised of the public companies traded on either the NYSE or NASDAQ stock markets in our 8-digit Global Industry Classification Standard sub-industry group. This comparator set is more appropriate than the compensation peer group for this purpose as it provides a more robust comparison of our performance to the marketplace by the inclusion of more companies and eliminating size as a selection criteria, which is more relevant for compensation than performance comparison. For the Relative TSR-Linked PRSUs granted in 2019,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191" w:lineRule="exact"/>
        <w:rPr>
          <w:rFonts w:ascii="Arial" w:cs="Arial" w:eastAsia="Arial" w:hAnsi="Arial"/>
          <w:sz w:val="18"/>
          <w:szCs w:val="18"/>
          <w:color w:val="FF6503"/>
        </w:rPr>
      </w:pPr>
    </w:p>
    <w:p>
      <w:pPr>
        <w:ind w:left="648" w:right="200"/>
        <w:spacing w:after="0" w:line="246" w:lineRule="auto"/>
        <w:rPr>
          <w:rFonts w:ascii="Arial" w:cs="Arial" w:eastAsia="Arial" w:hAnsi="Arial"/>
          <w:sz w:val="18"/>
          <w:szCs w:val="18"/>
          <w:color w:val="FF6503"/>
        </w:rPr>
      </w:pPr>
      <w:r>
        <w:rPr>
          <w:rFonts w:ascii="Arial" w:cs="Arial" w:eastAsia="Arial" w:hAnsi="Arial"/>
          <w:sz w:val="18"/>
          <w:szCs w:val="18"/>
          <w:color w:val="auto"/>
        </w:rPr>
        <w:t>The percentage of Relative TSR-Linked PRSUs earned will be determined based on straight-line interpolation to the extent the Company’s TSR falls in between the 20th and 80th percentiles, as per the chart below:</w:t>
      </w:r>
    </w:p>
    <w:p>
      <w:pPr>
        <w:spacing w:after="0" w:line="164" w:lineRule="exact"/>
        <w:rPr>
          <w:sz w:val="20"/>
          <w:szCs w:val="20"/>
          <w:color w:val="auto"/>
        </w:rPr>
      </w:pPr>
    </w:p>
    <w:tbl>
      <w:tblPr>
        <w:tblLayout w:type="fixed"/>
        <w:tblInd w:w="658" w:type="dxa"/>
        <w:tblCellMar>
          <w:top w:w="0" w:type="dxa"/>
          <w:left w:w="0" w:type="dxa"/>
          <w:bottom w:w="0" w:type="dxa"/>
          <w:right w:w="0" w:type="dxa"/>
        </w:tblCellMar>
      </w:tblPr>
      <w:tr>
        <w:trPr>
          <w:trHeight w:val="315"/>
        </w:trPr>
        <w:tc>
          <w:tcPr>
            <w:tcW w:w="4400" w:type="dxa"/>
            <w:vAlign w:val="bottom"/>
            <w:tcBorders>
              <w:top w:val="single" w:sz="8" w:color="C3E6FF"/>
              <w:left w:val="single" w:sz="8" w:color="C3E6FF"/>
            </w:tcBorders>
            <w:shd w:val="clear" w:color="auto" w:fill="0093FF"/>
          </w:tcPr>
          <w:p>
            <w:pPr>
              <w:spacing w:after="0"/>
              <w:rPr>
                <w:sz w:val="24"/>
                <w:szCs w:val="24"/>
                <w:color w:val="auto"/>
              </w:rPr>
            </w:pPr>
          </w:p>
        </w:tc>
        <w:tc>
          <w:tcPr>
            <w:tcW w:w="4580" w:type="dxa"/>
            <w:vAlign w:val="bottom"/>
            <w:tcBorders>
              <w:top w:val="single" w:sz="8" w:color="C3E6FF"/>
              <w:right w:val="single" w:sz="8" w:color="C3E6FF"/>
            </w:tcBorders>
            <w:shd w:val="clear" w:color="auto" w:fill="0093FF"/>
          </w:tcPr>
          <w:p>
            <w:pPr>
              <w:jc w:val="center"/>
              <w:ind w:left="150"/>
              <w:spacing w:after="0"/>
              <w:rPr>
                <w:sz w:val="20"/>
                <w:szCs w:val="20"/>
                <w:color w:val="auto"/>
              </w:rPr>
            </w:pPr>
            <w:r>
              <w:rPr>
                <w:rFonts w:ascii="Arial" w:cs="Arial" w:eastAsia="Arial" w:hAnsi="Arial"/>
                <w:sz w:val="18"/>
                <w:szCs w:val="18"/>
                <w:b w:val="1"/>
                <w:bCs w:val="1"/>
                <w:color w:val="FFFFFF"/>
                <w:w w:val="99"/>
              </w:rPr>
              <w:t>Percentage of Relative TSR-Linked</w:t>
            </w:r>
          </w:p>
        </w:tc>
      </w:tr>
      <w:tr>
        <w:trPr>
          <w:trHeight w:val="239"/>
        </w:trPr>
        <w:tc>
          <w:tcPr>
            <w:tcW w:w="4400" w:type="dxa"/>
            <w:vAlign w:val="bottom"/>
            <w:tcBorders>
              <w:left w:val="single" w:sz="8" w:color="C3E6FF"/>
            </w:tcBorders>
            <w:shd w:val="clear" w:color="auto" w:fill="0093FF"/>
          </w:tcPr>
          <w:p>
            <w:pPr>
              <w:jc w:val="center"/>
              <w:ind w:left="210"/>
              <w:spacing w:after="0"/>
              <w:rPr>
                <w:sz w:val="20"/>
                <w:szCs w:val="20"/>
                <w:color w:val="auto"/>
              </w:rPr>
            </w:pPr>
            <w:r>
              <w:rPr>
                <w:rFonts w:ascii="Arial" w:cs="Arial" w:eastAsia="Arial" w:hAnsi="Arial"/>
                <w:sz w:val="18"/>
                <w:szCs w:val="18"/>
                <w:b w:val="1"/>
                <w:bCs w:val="1"/>
                <w:color w:val="FFFFFF"/>
                <w:w w:val="99"/>
              </w:rPr>
              <w:t>TSR Peer Group Percentile</w:t>
            </w:r>
          </w:p>
        </w:tc>
        <w:tc>
          <w:tcPr>
            <w:tcW w:w="4580" w:type="dxa"/>
            <w:vAlign w:val="bottom"/>
            <w:tcBorders>
              <w:right w:val="single" w:sz="8" w:color="C3E6FF"/>
            </w:tcBorders>
            <w:shd w:val="clear" w:color="auto" w:fill="0093FF"/>
          </w:tcPr>
          <w:p>
            <w:pPr>
              <w:jc w:val="center"/>
              <w:ind w:left="150"/>
              <w:spacing w:after="0"/>
              <w:rPr>
                <w:sz w:val="20"/>
                <w:szCs w:val="20"/>
                <w:color w:val="auto"/>
              </w:rPr>
            </w:pPr>
            <w:r>
              <w:rPr>
                <w:rFonts w:ascii="Arial" w:cs="Arial" w:eastAsia="Arial" w:hAnsi="Arial"/>
                <w:sz w:val="18"/>
                <w:szCs w:val="18"/>
                <w:b w:val="1"/>
                <w:bCs w:val="1"/>
                <w:color w:val="FFFFFF"/>
                <w:w w:val="99"/>
              </w:rPr>
              <w:t>PRSUs Earned</w:t>
            </w:r>
          </w:p>
        </w:tc>
      </w:tr>
      <w:tr>
        <w:trPr>
          <w:trHeight w:val="95"/>
        </w:trPr>
        <w:tc>
          <w:tcPr>
            <w:tcW w:w="4400" w:type="dxa"/>
            <w:vAlign w:val="bottom"/>
            <w:tcBorders>
              <w:left w:val="single" w:sz="8" w:color="C3E6FF"/>
            </w:tcBorders>
            <w:shd w:val="clear" w:color="auto" w:fill="0093FF"/>
          </w:tcPr>
          <w:p>
            <w:pPr>
              <w:spacing w:after="0"/>
              <w:rPr>
                <w:sz w:val="8"/>
                <w:szCs w:val="8"/>
                <w:color w:val="auto"/>
              </w:rPr>
            </w:pPr>
          </w:p>
        </w:tc>
        <w:tc>
          <w:tcPr>
            <w:tcW w:w="4580" w:type="dxa"/>
            <w:vAlign w:val="bottom"/>
            <w:tcBorders>
              <w:right w:val="single" w:sz="8" w:color="C3E6FF"/>
            </w:tcBorders>
            <w:shd w:val="clear" w:color="auto" w:fill="0093FF"/>
          </w:tcPr>
          <w:p>
            <w:pPr>
              <w:spacing w:after="0"/>
              <w:rPr>
                <w:sz w:val="8"/>
                <w:szCs w:val="8"/>
                <w:color w:val="auto"/>
              </w:rPr>
            </w:pPr>
          </w:p>
        </w:tc>
      </w:tr>
      <w:tr>
        <w:trPr>
          <w:trHeight w:val="324"/>
        </w:trPr>
        <w:tc>
          <w:tcPr>
            <w:tcW w:w="4400" w:type="dxa"/>
            <w:vAlign w:val="bottom"/>
            <w:tcBorders>
              <w:left w:val="single" w:sz="8" w:color="C3E6FF"/>
            </w:tcBorders>
          </w:tcPr>
          <w:p>
            <w:pPr>
              <w:jc w:val="center"/>
              <w:ind w:left="210"/>
              <w:spacing w:after="0"/>
              <w:rPr>
                <w:sz w:val="20"/>
                <w:szCs w:val="20"/>
                <w:color w:val="auto"/>
              </w:rPr>
            </w:pPr>
            <w:r>
              <w:rPr>
                <w:rFonts w:ascii="Arial" w:cs="Arial" w:eastAsia="Arial" w:hAnsi="Arial"/>
                <w:sz w:val="18"/>
                <w:szCs w:val="18"/>
                <w:b w:val="1"/>
                <w:bCs w:val="1"/>
                <w:color w:val="auto"/>
                <w:w w:val="98"/>
              </w:rPr>
              <w:t>80.0 or more</w:t>
            </w:r>
          </w:p>
        </w:tc>
        <w:tc>
          <w:tcPr>
            <w:tcW w:w="4580" w:type="dxa"/>
            <w:vAlign w:val="bottom"/>
            <w:tcBorders>
              <w:right w:val="single" w:sz="8" w:color="C3E6FF"/>
            </w:tcBorders>
          </w:tcPr>
          <w:p>
            <w:pPr>
              <w:jc w:val="center"/>
              <w:ind w:left="150"/>
              <w:spacing w:after="0"/>
              <w:rPr>
                <w:sz w:val="20"/>
                <w:szCs w:val="20"/>
                <w:color w:val="auto"/>
              </w:rPr>
            </w:pPr>
            <w:r>
              <w:rPr>
                <w:rFonts w:ascii="Arial" w:cs="Arial" w:eastAsia="Arial" w:hAnsi="Arial"/>
                <w:sz w:val="18"/>
                <w:szCs w:val="18"/>
                <w:color w:val="auto"/>
                <w:w w:val="99"/>
              </w:rPr>
              <w:t>200%</w:t>
            </w:r>
          </w:p>
        </w:tc>
      </w:tr>
      <w:tr>
        <w:trPr>
          <w:trHeight w:val="94"/>
        </w:trPr>
        <w:tc>
          <w:tcPr>
            <w:tcW w:w="4400" w:type="dxa"/>
            <w:vAlign w:val="bottom"/>
            <w:tcBorders>
              <w:left w:val="single" w:sz="8" w:color="C3E6FF"/>
            </w:tcBorders>
          </w:tcPr>
          <w:p>
            <w:pPr>
              <w:spacing w:after="0"/>
              <w:rPr>
                <w:sz w:val="8"/>
                <w:szCs w:val="8"/>
                <w:color w:val="auto"/>
              </w:rPr>
            </w:pPr>
          </w:p>
        </w:tc>
        <w:tc>
          <w:tcPr>
            <w:tcW w:w="4580" w:type="dxa"/>
            <w:vAlign w:val="bottom"/>
            <w:tcBorders>
              <w:right w:val="single" w:sz="8" w:color="C3E6FF"/>
            </w:tcBorders>
          </w:tcPr>
          <w:p>
            <w:pPr>
              <w:spacing w:after="0"/>
              <w:rPr>
                <w:sz w:val="8"/>
                <w:szCs w:val="8"/>
                <w:color w:val="auto"/>
              </w:rPr>
            </w:pPr>
          </w:p>
        </w:tc>
      </w:tr>
      <w:tr>
        <w:trPr>
          <w:trHeight w:val="324"/>
        </w:trPr>
        <w:tc>
          <w:tcPr>
            <w:tcW w:w="4400" w:type="dxa"/>
            <w:vAlign w:val="bottom"/>
            <w:tcBorders>
              <w:left w:val="single" w:sz="8" w:color="C3E6FF"/>
            </w:tcBorders>
            <w:shd w:val="clear" w:color="auto" w:fill="F3F9FF"/>
          </w:tcPr>
          <w:p>
            <w:pPr>
              <w:jc w:val="center"/>
              <w:ind w:left="210"/>
              <w:spacing w:after="0"/>
              <w:rPr>
                <w:sz w:val="20"/>
                <w:szCs w:val="20"/>
                <w:color w:val="auto"/>
              </w:rPr>
            </w:pPr>
            <w:r>
              <w:rPr>
                <w:rFonts w:ascii="Arial" w:cs="Arial" w:eastAsia="Arial" w:hAnsi="Arial"/>
                <w:sz w:val="18"/>
                <w:szCs w:val="18"/>
                <w:b w:val="1"/>
                <w:bCs w:val="1"/>
                <w:color w:val="auto"/>
                <w:w w:val="96"/>
              </w:rPr>
              <w:t>65.0</w:t>
            </w:r>
          </w:p>
        </w:tc>
        <w:tc>
          <w:tcPr>
            <w:tcW w:w="4580" w:type="dxa"/>
            <w:vAlign w:val="bottom"/>
            <w:tcBorders>
              <w:right w:val="single" w:sz="8" w:color="C3E6FF"/>
            </w:tcBorders>
            <w:shd w:val="clear" w:color="auto" w:fill="F3F9FF"/>
          </w:tcPr>
          <w:p>
            <w:pPr>
              <w:jc w:val="center"/>
              <w:ind w:left="150"/>
              <w:spacing w:after="0"/>
              <w:rPr>
                <w:sz w:val="20"/>
                <w:szCs w:val="20"/>
                <w:color w:val="auto"/>
              </w:rPr>
            </w:pPr>
            <w:r>
              <w:rPr>
                <w:rFonts w:ascii="Arial" w:cs="Arial" w:eastAsia="Arial" w:hAnsi="Arial"/>
                <w:sz w:val="18"/>
                <w:szCs w:val="18"/>
                <w:color w:val="auto"/>
                <w:w w:val="99"/>
              </w:rPr>
              <w:t>150%</w:t>
            </w:r>
          </w:p>
        </w:tc>
      </w:tr>
      <w:tr>
        <w:trPr>
          <w:trHeight w:val="94"/>
        </w:trPr>
        <w:tc>
          <w:tcPr>
            <w:tcW w:w="4400" w:type="dxa"/>
            <w:vAlign w:val="bottom"/>
            <w:tcBorders>
              <w:left w:val="single" w:sz="8" w:color="C3E6FF"/>
            </w:tcBorders>
            <w:shd w:val="clear" w:color="auto" w:fill="F3F9FF"/>
          </w:tcPr>
          <w:p>
            <w:pPr>
              <w:spacing w:after="0"/>
              <w:rPr>
                <w:sz w:val="8"/>
                <w:szCs w:val="8"/>
                <w:color w:val="auto"/>
              </w:rPr>
            </w:pPr>
          </w:p>
        </w:tc>
        <w:tc>
          <w:tcPr>
            <w:tcW w:w="4580" w:type="dxa"/>
            <w:vAlign w:val="bottom"/>
            <w:tcBorders>
              <w:right w:val="single" w:sz="8" w:color="C3E6FF"/>
            </w:tcBorders>
            <w:shd w:val="clear" w:color="auto" w:fill="F3F9FF"/>
          </w:tcPr>
          <w:p>
            <w:pPr>
              <w:spacing w:after="0"/>
              <w:rPr>
                <w:sz w:val="8"/>
                <w:szCs w:val="8"/>
                <w:color w:val="auto"/>
              </w:rPr>
            </w:pPr>
          </w:p>
        </w:tc>
      </w:tr>
      <w:tr>
        <w:trPr>
          <w:trHeight w:val="324"/>
        </w:trPr>
        <w:tc>
          <w:tcPr>
            <w:tcW w:w="4400" w:type="dxa"/>
            <w:vAlign w:val="bottom"/>
            <w:tcBorders>
              <w:left w:val="single" w:sz="8" w:color="C3E6FF"/>
            </w:tcBorders>
          </w:tcPr>
          <w:p>
            <w:pPr>
              <w:jc w:val="center"/>
              <w:ind w:left="210"/>
              <w:spacing w:after="0"/>
              <w:rPr>
                <w:sz w:val="20"/>
                <w:szCs w:val="20"/>
                <w:color w:val="auto"/>
              </w:rPr>
            </w:pPr>
            <w:r>
              <w:rPr>
                <w:rFonts w:ascii="Arial" w:cs="Arial" w:eastAsia="Arial" w:hAnsi="Arial"/>
                <w:sz w:val="18"/>
                <w:szCs w:val="18"/>
                <w:b w:val="1"/>
                <w:bCs w:val="1"/>
                <w:color w:val="auto"/>
                <w:w w:val="96"/>
              </w:rPr>
              <w:t>50.0</w:t>
            </w:r>
          </w:p>
        </w:tc>
        <w:tc>
          <w:tcPr>
            <w:tcW w:w="4580" w:type="dxa"/>
            <w:vAlign w:val="bottom"/>
            <w:tcBorders>
              <w:right w:val="single" w:sz="8" w:color="C3E6FF"/>
            </w:tcBorders>
          </w:tcPr>
          <w:p>
            <w:pPr>
              <w:jc w:val="center"/>
              <w:ind w:left="150"/>
              <w:spacing w:after="0"/>
              <w:rPr>
                <w:sz w:val="20"/>
                <w:szCs w:val="20"/>
                <w:color w:val="auto"/>
              </w:rPr>
            </w:pPr>
            <w:r>
              <w:rPr>
                <w:rFonts w:ascii="Arial" w:cs="Arial" w:eastAsia="Arial" w:hAnsi="Arial"/>
                <w:sz w:val="18"/>
                <w:szCs w:val="18"/>
                <w:color w:val="auto"/>
                <w:w w:val="99"/>
              </w:rPr>
              <w:t>100%</w:t>
            </w:r>
          </w:p>
        </w:tc>
      </w:tr>
      <w:tr>
        <w:trPr>
          <w:trHeight w:val="95"/>
        </w:trPr>
        <w:tc>
          <w:tcPr>
            <w:tcW w:w="4400" w:type="dxa"/>
            <w:vAlign w:val="bottom"/>
            <w:tcBorders>
              <w:left w:val="single" w:sz="8" w:color="C3E6FF"/>
            </w:tcBorders>
          </w:tcPr>
          <w:p>
            <w:pPr>
              <w:spacing w:after="0"/>
              <w:rPr>
                <w:sz w:val="8"/>
                <w:szCs w:val="8"/>
                <w:color w:val="auto"/>
              </w:rPr>
            </w:pPr>
          </w:p>
        </w:tc>
        <w:tc>
          <w:tcPr>
            <w:tcW w:w="4580" w:type="dxa"/>
            <w:vAlign w:val="bottom"/>
            <w:tcBorders>
              <w:right w:val="single" w:sz="8" w:color="C3E6FF"/>
            </w:tcBorders>
          </w:tcPr>
          <w:p>
            <w:pPr>
              <w:spacing w:after="0"/>
              <w:rPr>
                <w:sz w:val="8"/>
                <w:szCs w:val="8"/>
                <w:color w:val="auto"/>
              </w:rPr>
            </w:pPr>
          </w:p>
        </w:tc>
      </w:tr>
      <w:tr>
        <w:trPr>
          <w:trHeight w:val="324"/>
        </w:trPr>
        <w:tc>
          <w:tcPr>
            <w:tcW w:w="4400" w:type="dxa"/>
            <w:vAlign w:val="bottom"/>
            <w:tcBorders>
              <w:left w:val="single" w:sz="8" w:color="C3E6FF"/>
            </w:tcBorders>
            <w:shd w:val="clear" w:color="auto" w:fill="F3F9FF"/>
          </w:tcPr>
          <w:p>
            <w:pPr>
              <w:jc w:val="center"/>
              <w:ind w:left="210"/>
              <w:spacing w:after="0"/>
              <w:rPr>
                <w:sz w:val="20"/>
                <w:szCs w:val="20"/>
                <w:color w:val="auto"/>
              </w:rPr>
            </w:pPr>
            <w:r>
              <w:rPr>
                <w:rFonts w:ascii="Arial" w:cs="Arial" w:eastAsia="Arial" w:hAnsi="Arial"/>
                <w:sz w:val="18"/>
                <w:szCs w:val="18"/>
                <w:b w:val="1"/>
                <w:bCs w:val="1"/>
                <w:color w:val="auto"/>
                <w:w w:val="96"/>
              </w:rPr>
              <w:t>35.0</w:t>
            </w:r>
          </w:p>
        </w:tc>
        <w:tc>
          <w:tcPr>
            <w:tcW w:w="4580" w:type="dxa"/>
            <w:vAlign w:val="bottom"/>
            <w:tcBorders>
              <w:right w:val="single" w:sz="8" w:color="C3E6FF"/>
            </w:tcBorders>
            <w:shd w:val="clear" w:color="auto" w:fill="F3F9FF"/>
          </w:tcPr>
          <w:p>
            <w:pPr>
              <w:jc w:val="center"/>
              <w:ind w:left="170"/>
              <w:spacing w:after="0"/>
              <w:rPr>
                <w:sz w:val="20"/>
                <w:szCs w:val="20"/>
                <w:color w:val="auto"/>
              </w:rPr>
            </w:pPr>
            <w:r>
              <w:rPr>
                <w:rFonts w:ascii="Arial" w:cs="Arial" w:eastAsia="Arial" w:hAnsi="Arial"/>
                <w:sz w:val="18"/>
                <w:szCs w:val="18"/>
                <w:color w:val="auto"/>
                <w:w w:val="99"/>
              </w:rPr>
              <w:t>50%</w:t>
            </w:r>
          </w:p>
        </w:tc>
      </w:tr>
      <w:tr>
        <w:trPr>
          <w:trHeight w:val="94"/>
        </w:trPr>
        <w:tc>
          <w:tcPr>
            <w:tcW w:w="4400" w:type="dxa"/>
            <w:vAlign w:val="bottom"/>
            <w:tcBorders>
              <w:left w:val="single" w:sz="8" w:color="C3E6FF"/>
            </w:tcBorders>
            <w:shd w:val="clear" w:color="auto" w:fill="F3F9FF"/>
          </w:tcPr>
          <w:p>
            <w:pPr>
              <w:spacing w:after="0"/>
              <w:rPr>
                <w:sz w:val="8"/>
                <w:szCs w:val="8"/>
                <w:color w:val="auto"/>
              </w:rPr>
            </w:pPr>
          </w:p>
        </w:tc>
        <w:tc>
          <w:tcPr>
            <w:tcW w:w="4580" w:type="dxa"/>
            <w:vAlign w:val="bottom"/>
            <w:tcBorders>
              <w:right w:val="single" w:sz="8" w:color="C3E6FF"/>
            </w:tcBorders>
            <w:shd w:val="clear" w:color="auto" w:fill="F3F9FF"/>
          </w:tcPr>
          <w:p>
            <w:pPr>
              <w:spacing w:after="0"/>
              <w:rPr>
                <w:sz w:val="8"/>
                <w:szCs w:val="8"/>
                <w:color w:val="auto"/>
              </w:rPr>
            </w:pPr>
          </w:p>
        </w:tc>
      </w:tr>
      <w:tr>
        <w:trPr>
          <w:trHeight w:val="324"/>
        </w:trPr>
        <w:tc>
          <w:tcPr>
            <w:tcW w:w="4400" w:type="dxa"/>
            <w:vAlign w:val="bottom"/>
            <w:tcBorders>
              <w:left w:val="single" w:sz="8" w:color="C3E6FF"/>
            </w:tcBorders>
          </w:tcPr>
          <w:p>
            <w:pPr>
              <w:jc w:val="center"/>
              <w:ind w:left="210"/>
              <w:spacing w:after="0"/>
              <w:rPr>
                <w:sz w:val="20"/>
                <w:szCs w:val="20"/>
                <w:color w:val="auto"/>
              </w:rPr>
            </w:pPr>
            <w:r>
              <w:rPr>
                <w:rFonts w:ascii="Arial" w:cs="Arial" w:eastAsia="Arial" w:hAnsi="Arial"/>
                <w:sz w:val="18"/>
                <w:szCs w:val="18"/>
                <w:b w:val="1"/>
                <w:bCs w:val="1"/>
                <w:color w:val="auto"/>
                <w:w w:val="99"/>
              </w:rPr>
              <w:t>20.0 or less</w:t>
            </w:r>
          </w:p>
        </w:tc>
        <w:tc>
          <w:tcPr>
            <w:tcW w:w="4580" w:type="dxa"/>
            <w:vAlign w:val="bottom"/>
            <w:tcBorders>
              <w:right w:val="single" w:sz="8" w:color="C3E6FF"/>
            </w:tcBorders>
          </w:tcPr>
          <w:p>
            <w:pPr>
              <w:jc w:val="center"/>
              <w:ind w:left="150"/>
              <w:spacing w:after="0"/>
              <w:rPr>
                <w:sz w:val="20"/>
                <w:szCs w:val="20"/>
                <w:color w:val="auto"/>
              </w:rPr>
            </w:pPr>
            <w:r>
              <w:rPr>
                <w:rFonts w:ascii="Arial" w:cs="Arial" w:eastAsia="Arial" w:hAnsi="Arial"/>
                <w:sz w:val="18"/>
                <w:szCs w:val="18"/>
                <w:color w:val="auto"/>
                <w:w w:val="99"/>
              </w:rPr>
              <w:t>0%</w:t>
            </w:r>
          </w:p>
        </w:tc>
      </w:tr>
      <w:tr>
        <w:trPr>
          <w:trHeight w:val="101"/>
        </w:trPr>
        <w:tc>
          <w:tcPr>
            <w:tcW w:w="4400" w:type="dxa"/>
            <w:vAlign w:val="bottom"/>
            <w:tcBorders>
              <w:left w:val="single" w:sz="8" w:color="C3E6FF"/>
              <w:bottom w:val="single" w:sz="8" w:color="C3E6FF"/>
            </w:tcBorders>
          </w:tcPr>
          <w:p>
            <w:pPr>
              <w:spacing w:after="0"/>
              <w:rPr>
                <w:sz w:val="8"/>
                <w:szCs w:val="8"/>
                <w:color w:val="auto"/>
              </w:rPr>
            </w:pPr>
          </w:p>
        </w:tc>
        <w:tc>
          <w:tcPr>
            <w:tcW w:w="4580" w:type="dxa"/>
            <w:vAlign w:val="bottom"/>
            <w:tcBorders>
              <w:bottom w:val="single" w:sz="8" w:color="C3E6FF"/>
              <w:right w:val="single" w:sz="8" w:color="C3E6FF"/>
            </w:tcBorders>
          </w:tcPr>
          <w:p>
            <w:pPr>
              <w:spacing w:after="0"/>
              <w:rPr>
                <w:sz w:val="8"/>
                <w:szCs w:val="8"/>
                <w:color w:val="auto"/>
              </w:rPr>
            </w:pPr>
          </w:p>
        </w:tc>
      </w:tr>
    </w:tbl>
    <w:p>
      <w:pPr>
        <w:spacing w:after="0" w:line="242" w:lineRule="exact"/>
        <w:rPr>
          <w:sz w:val="20"/>
          <w:szCs w:val="20"/>
          <w:color w:val="auto"/>
        </w:rPr>
      </w:pPr>
    </w:p>
    <w:p>
      <w:pPr>
        <w:ind w:left="328" w:right="580" w:hanging="328"/>
        <w:spacing w:after="0" w:line="246" w:lineRule="auto"/>
        <w:tabs>
          <w:tab w:leader="none" w:pos="328" w:val="left"/>
        </w:tabs>
        <w:numPr>
          <w:ilvl w:val="0"/>
          <w:numId w:val="88"/>
        </w:numPr>
        <w:rPr>
          <w:rFonts w:ascii="Arial" w:cs="Arial" w:eastAsia="Arial" w:hAnsi="Arial"/>
          <w:sz w:val="18"/>
          <w:szCs w:val="18"/>
          <w:color w:val="FF6503"/>
        </w:rPr>
      </w:pPr>
      <w:r>
        <w:rPr>
          <w:rFonts w:ascii="Arial" w:cs="Arial" w:eastAsia="Arial" w:hAnsi="Arial"/>
          <w:sz w:val="18"/>
          <w:szCs w:val="18"/>
          <w:color w:val="262626"/>
        </w:rPr>
        <w:t>The Committee believes the PRSUs focus our executives on key drivers of our Company’s business that will ultimately lead to creation of additional stockholder value.</w:t>
      </w:r>
    </w:p>
    <w:p>
      <w:pPr>
        <w:spacing w:after="0" w:line="321" w:lineRule="exact"/>
        <w:rPr>
          <w:sz w:val="20"/>
          <w:szCs w:val="20"/>
          <w:color w:val="auto"/>
        </w:rPr>
      </w:pPr>
    </w:p>
    <w:p>
      <w:pPr>
        <w:ind w:left="9028"/>
        <w:spacing w:after="0"/>
        <w:tabs>
          <w:tab w:leader="none" w:pos="10528"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442595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Payout of Awards Granted in Prior Fiscal Years</w:t>
      </w:r>
    </w:p>
    <w:p>
      <w:pPr>
        <w:spacing w:after="0" w:line="2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262626"/>
        </w:rPr>
        <w:t>This was the third and final performance year for the 2017 performance-based restricted stock units. We achieved 102.61% of the revenue target for the revenue-linked restricted stock units resulting in 126.14% of target funding of those grants. The Company’s TSR performance was at the 51.2 percentile amongst its peer group, resulting in the executives earning 104.07% of the 2017 relative TSR-linked restricted stock units pursuant to the terms of the original grant.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Benefits and Perquisites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62626"/>
        </w:rPr>
        <w:t>We offer employee benefits coverage in order to:</w:t>
      </w:r>
    </w:p>
    <w:p>
      <w:pPr>
        <w:spacing w:after="0" w:line="198"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FF6503"/>
        </w:rPr>
      </w:pPr>
      <w:r>
        <w:rPr>
          <w:rFonts w:ascii="Arial" w:cs="Arial" w:eastAsia="Arial" w:hAnsi="Arial"/>
          <w:sz w:val="18"/>
          <w:szCs w:val="18"/>
          <w:color w:val="262626"/>
        </w:rPr>
        <w:t>provide our global workforce with a reasonable level of financial support in the event of illness or injury; and</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89"/>
        </w:numPr>
        <w:rPr>
          <w:rFonts w:ascii="Arial" w:cs="Arial" w:eastAsia="Arial" w:hAnsi="Arial"/>
          <w:sz w:val="18"/>
          <w:szCs w:val="18"/>
          <w:color w:val="FF6503"/>
        </w:rPr>
      </w:pPr>
      <w:r>
        <w:rPr>
          <w:rFonts w:ascii="Arial" w:cs="Arial" w:eastAsia="Arial" w:hAnsi="Arial"/>
          <w:sz w:val="18"/>
          <w:szCs w:val="18"/>
          <w:color w:val="262626"/>
        </w:rPr>
        <w:t>provide market-competitive benefits that enhance productivity and job satisfaction through programs that focus on work/life balance.</w:t>
      </w:r>
    </w:p>
    <w:p>
      <w:pPr>
        <w:spacing w:after="0" w:line="19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262626"/>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Messrs. Bagai and Bhalla, are eligible to participate in the Company’s pension benefit, health and welfare and fringe benefit plans otherwise available to executive employees in India.</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We generally do not provide significant perquisites or personal benefits to executive officers other than our Vice Chairman and CEO and our executive officers in India. Our Vice Chairman and CEO is provided a limited number of perquisites which we believe are reasonable and consistent with market trends, which are intended to be part of a competitive overall compensation program. A discussion of the benefits provided to our Vice Chairman and CEO is provided under “Employment Agreements” beginning on page 65.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Risk and Compensation Policies</w:t>
      </w:r>
    </w:p>
    <w:p>
      <w:pPr>
        <w:spacing w:after="0" w:line="2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262626"/>
        </w:rPr>
        <w:t>Our Compensation Committee has taken into account its discussions with management and FW Cook regarding our compensation practices and has concluded that any risks arising from our compensation policies and practices are not reasonably likely to have a material adverse effect on the Company. This conclusion was based on the features of our compensation programs, practices and policies set forth under “Executive Compensation Program, Practices and Policies” on page 46.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Severance and Change-in-Control Benefits</w:t>
      </w:r>
    </w:p>
    <w:p>
      <w:pPr>
        <w:spacing w:after="0" w:line="22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262626"/>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2019 Year-End” beginning on page 71.</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262626"/>
        </w:rPr>
        <w:t>We have provided change-in-control severance protection for some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w:t>
      </w:r>
    </w:p>
    <w:p>
      <w:pPr>
        <w:spacing w:after="0" w:line="32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509270</wp:posOffset>
            </wp:positionV>
            <wp:extent cx="600075" cy="411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9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262626"/>
        </w:rPr>
        <w:t>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83"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262626"/>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2020 Compensation</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For fiscal year 2020, we enhanced our executive stock ownership policy by adding an additional ownership threshold requirement that our CEO and executive committee members must satisfy with respect to our common stock and vested common stock equivalents. We generally continued the annual bonus program and our long-term equity incentives, subject, of course, to new performance goals. For 2020, our Company-Wide Performance Metrics under our annual bonus program was revised such that 40% is based on revenue; 30% on adjusted operating profit margin (AOPM); and 30% on Adjusted EPS. In addition, the split between the Company, Business Unit and Individual components has changed for Messrs. Bhalla and Meckey. Lastly, our Compensation Committee made certain market-based adjustments in compensation to be more competitive and, as a result, the performance-based portion of Mr. Kapoor’s long-term incentive compensation mix became larger than his service-based component (previously the split was 50-50). In light of current global and economic conditions, the Compensation Committee will continue to monitor our 2020 executive compensation program in the second half of the year.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Deductibility Cap on Executive Compensation</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The Tax Cuts and Jobs Act of 2017 significantly altered our ability to deduct for federal income tax purposes compensation paid to certain of our executives. Prior to its passage, Section 162(m) of the Code limited our ability to deduct compensation paid to our named executive officers (other than our chief financial officer) in excess of $1 million per year, unless the compensation was “performance-based”, as described in the regulations under Code Section 162(m). In general, the Tax Cuts and Jobs Act of 2017 eliminated the exception from Code Section 162(m)’s deduction limits for performance-based compensation, clarified that chief financial officers are covered by the deduction limitation, and made certain other changes, including providing for transition relief for written binding contracts in effect on November 2, 2017.</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262626"/>
        </w:rPr>
        <w:t>As in the past, our Compensation Committee expects to continue to take into consideration the tax deductibility of compensation, but reserves the right to authorize payments that may not be deductible if it believes that the payments are appropriate and consistent with our compensation philosophy.</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Despite the changes made to Code Section 162(m) outlined above, our Compensation Committee does not anticipate a shift away from variable or performance-based compensation payable to our named executive officers. Similarly, we do not expect to apply less rigor in the process by which we establish performance goals or evaluate performance against pre-established goals with respect to compensation paid to our named executive officers.</w:t>
      </w:r>
    </w:p>
    <w:p>
      <w:pPr>
        <w:spacing w:after="0" w:line="32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7" w:name="page68"/>
    <w:bookmarkEnd w:id="67"/>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Compensation Committee Report</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2019, and our proxy statement relating to the Annual Meeting.</w:t>
      </w:r>
    </w:p>
    <w:p>
      <w:pPr>
        <w:spacing w:after="0" w:line="19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COMPENSATION COMMITTEE</w:t>
      </w:r>
    </w:p>
    <w:p>
      <w:pPr>
        <w:spacing w:after="0" w:line="194"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Ms. Anne Minto (Chair)</w:t>
      </w:r>
    </w:p>
    <w:p>
      <w:pPr>
        <w:ind w:left="7880"/>
        <w:spacing w:after="0" w:line="234" w:lineRule="auto"/>
        <w:rPr>
          <w:sz w:val="20"/>
          <w:szCs w:val="20"/>
          <w:color w:val="auto"/>
        </w:rPr>
      </w:pPr>
      <w:r>
        <w:rPr>
          <w:rFonts w:ascii="Arial" w:cs="Arial" w:eastAsia="Arial" w:hAnsi="Arial"/>
          <w:sz w:val="18"/>
          <w:szCs w:val="18"/>
          <w:color w:val="auto"/>
        </w:rPr>
        <w:t>Ms. Deborah Kerr</w:t>
      </w:r>
    </w:p>
    <w:p>
      <w:pPr>
        <w:ind w:left="7880"/>
        <w:spacing w:after="0" w:line="235" w:lineRule="auto"/>
        <w:rPr>
          <w:sz w:val="20"/>
          <w:szCs w:val="20"/>
          <w:color w:val="auto"/>
        </w:rPr>
      </w:pPr>
      <w:r>
        <w:rPr>
          <w:rFonts w:ascii="Arial" w:cs="Arial" w:eastAsia="Arial" w:hAnsi="Arial"/>
          <w:sz w:val="18"/>
          <w:szCs w:val="18"/>
          <w:color w:val="auto"/>
        </w:rPr>
        <w:t>Mr. Som Mittal</w:t>
      </w:r>
    </w:p>
    <w:p>
      <w:pPr>
        <w:ind w:left="7880"/>
        <w:spacing w:after="0" w:line="235" w:lineRule="auto"/>
        <w:rPr>
          <w:sz w:val="20"/>
          <w:szCs w:val="20"/>
          <w:color w:val="auto"/>
        </w:rPr>
      </w:pPr>
      <w:r>
        <w:rPr>
          <w:rFonts w:ascii="Arial" w:cs="Arial" w:eastAsia="Arial" w:hAnsi="Arial"/>
          <w:sz w:val="18"/>
          <w:szCs w:val="18"/>
          <w:color w:val="auto"/>
        </w:rPr>
        <w:t>Mr. Clyde W. Ostler</w:t>
      </w:r>
    </w:p>
    <w:p>
      <w:pPr>
        <w:ind w:left="7880"/>
        <w:spacing w:after="0" w:line="235" w:lineRule="auto"/>
        <w:rPr>
          <w:sz w:val="20"/>
          <w:szCs w:val="20"/>
          <w:color w:val="auto"/>
        </w:rPr>
      </w:pPr>
      <w:r>
        <w:rPr>
          <w:rFonts w:ascii="Arial" w:cs="Arial" w:eastAsia="Arial" w:hAnsi="Arial"/>
          <w:sz w:val="18"/>
          <w:szCs w:val="18"/>
          <w:color w:val="auto"/>
        </w:rPr>
        <w:t>Mr. Garen K. Staglin</w:t>
      </w:r>
    </w:p>
    <w:p>
      <w:pPr>
        <w:ind w:left="7880"/>
        <w:spacing w:after="0"/>
        <w:rPr>
          <w:sz w:val="20"/>
          <w:szCs w:val="20"/>
          <w:color w:val="auto"/>
        </w:rPr>
      </w:pPr>
      <w:r>
        <w:rPr>
          <w:rFonts w:ascii="Arial" w:cs="Arial" w:eastAsia="Arial" w:hAnsi="Arial"/>
          <w:sz w:val="18"/>
          <w:szCs w:val="18"/>
          <w:color w:val="auto"/>
        </w:rPr>
        <w:t>Ms. Jaynie M. Studenmund</w:t>
      </w:r>
    </w:p>
    <w:p>
      <w:pPr>
        <w:spacing w:after="0" w:line="33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8" w:name="page69"/>
    <w:bookmarkEnd w:id="68"/>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Summary Compensation Table for Fiscal Year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62626"/>
        </w:rPr>
        <w:t>The following table sets forth information for compensation earned in fiscal years 2017, 2018 and 2019 by our named executive officers: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80" w:type="dxa"/>
            <w:vAlign w:val="bottom"/>
            <w:tcBorders>
              <w:left w:val="single" w:sz="8" w:color="0093FF"/>
            </w:tcBorders>
            <w:shd w:val="clear" w:color="auto" w:fill="0093FF"/>
          </w:tcPr>
          <w:p>
            <w:pPr>
              <w:spacing w:after="0"/>
              <w:rPr>
                <w:sz w:val="23"/>
                <w:szCs w:val="23"/>
                <w:color w:val="auto"/>
              </w:rPr>
            </w:pPr>
          </w:p>
        </w:tc>
        <w:tc>
          <w:tcPr>
            <w:tcW w:w="840" w:type="dxa"/>
            <w:vAlign w:val="bottom"/>
            <w:shd w:val="clear" w:color="auto" w:fill="0093FF"/>
          </w:tcPr>
          <w:p>
            <w:pPr>
              <w:spacing w:after="0"/>
              <w:rPr>
                <w:sz w:val="23"/>
                <w:szCs w:val="23"/>
                <w:color w:val="auto"/>
              </w:rPr>
            </w:pPr>
          </w:p>
        </w:tc>
        <w:tc>
          <w:tcPr>
            <w:tcW w:w="1000" w:type="dxa"/>
            <w:vAlign w:val="bottom"/>
            <w:shd w:val="clear" w:color="auto" w:fill="0093FF"/>
          </w:tcPr>
          <w:p>
            <w:pPr>
              <w:spacing w:after="0"/>
              <w:rPr>
                <w:sz w:val="23"/>
                <w:szCs w:val="23"/>
                <w:color w:val="auto"/>
              </w:rPr>
            </w:pPr>
          </w:p>
        </w:tc>
        <w:tc>
          <w:tcPr>
            <w:tcW w:w="360" w:type="dxa"/>
            <w:vAlign w:val="bottom"/>
            <w:shd w:val="clear" w:color="auto" w:fill="0093FF"/>
          </w:tcPr>
          <w:p>
            <w:pPr>
              <w:spacing w:after="0"/>
              <w:rPr>
                <w:sz w:val="23"/>
                <w:szCs w:val="23"/>
                <w:color w:val="auto"/>
              </w:rPr>
            </w:pPr>
          </w:p>
        </w:tc>
        <w:tc>
          <w:tcPr>
            <w:tcW w:w="1080" w:type="dxa"/>
            <w:vAlign w:val="bottom"/>
            <w:shd w:val="clear" w:color="auto" w:fill="0093FF"/>
          </w:tcPr>
          <w:p>
            <w:pPr>
              <w:spacing w:after="0"/>
              <w:rPr>
                <w:sz w:val="23"/>
                <w:szCs w:val="23"/>
                <w:color w:val="auto"/>
              </w:rPr>
            </w:pPr>
          </w:p>
        </w:tc>
        <w:tc>
          <w:tcPr>
            <w:tcW w:w="920" w:type="dxa"/>
            <w:vAlign w:val="bottom"/>
            <w:shd w:val="clear" w:color="auto" w:fill="0093FF"/>
          </w:tcPr>
          <w:p>
            <w:pPr>
              <w:spacing w:after="0"/>
              <w:rPr>
                <w:sz w:val="23"/>
                <w:szCs w:val="23"/>
                <w:color w:val="auto"/>
              </w:rPr>
            </w:pPr>
          </w:p>
        </w:tc>
        <w:tc>
          <w:tcPr>
            <w:tcW w:w="1120" w:type="dxa"/>
            <w:vAlign w:val="bottom"/>
            <w:shd w:val="clear" w:color="auto" w:fill="0093FF"/>
          </w:tcPr>
          <w:p>
            <w:pPr>
              <w:spacing w:after="0"/>
              <w:rPr>
                <w:sz w:val="23"/>
                <w:szCs w:val="23"/>
                <w:color w:val="auto"/>
              </w:rPr>
            </w:pPr>
          </w:p>
        </w:tc>
        <w:tc>
          <w:tcPr>
            <w:tcW w:w="1160" w:type="dxa"/>
            <w:vAlign w:val="bottom"/>
            <w:shd w:val="clear" w:color="auto" w:fill="0093FF"/>
          </w:tcPr>
          <w:p>
            <w:pPr>
              <w:jc w:val="center"/>
              <w:ind w:right="29"/>
              <w:spacing w:after="0"/>
              <w:rPr>
                <w:sz w:val="20"/>
                <w:szCs w:val="20"/>
                <w:color w:val="auto"/>
              </w:rPr>
            </w:pPr>
            <w:r>
              <w:rPr>
                <w:rFonts w:ascii="Arial" w:cs="Arial" w:eastAsia="Arial" w:hAnsi="Arial"/>
                <w:sz w:val="14"/>
                <w:szCs w:val="14"/>
                <w:b w:val="1"/>
                <w:bCs w:val="1"/>
                <w:color w:val="FFFFFF"/>
              </w:rPr>
              <w:t>Change in</w:t>
            </w:r>
          </w:p>
        </w:tc>
        <w:tc>
          <w:tcPr>
            <w:tcW w:w="1100" w:type="dxa"/>
            <w:vAlign w:val="bottom"/>
            <w:shd w:val="clear" w:color="auto" w:fill="0093FF"/>
          </w:tcPr>
          <w:p>
            <w:pPr>
              <w:spacing w:after="0"/>
              <w:rPr>
                <w:sz w:val="23"/>
                <w:szCs w:val="23"/>
                <w:color w:val="auto"/>
              </w:rPr>
            </w:pPr>
          </w:p>
        </w:tc>
        <w:tc>
          <w:tcPr>
            <w:tcW w:w="360" w:type="dxa"/>
            <w:vAlign w:val="bottom"/>
            <w:shd w:val="clear" w:color="auto" w:fill="0093FF"/>
          </w:tcPr>
          <w:p>
            <w:pPr>
              <w:spacing w:after="0"/>
              <w:rPr>
                <w:sz w:val="23"/>
                <w:szCs w:val="23"/>
                <w:color w:val="auto"/>
              </w:rPr>
            </w:pPr>
          </w:p>
        </w:tc>
        <w:tc>
          <w:tcPr>
            <w:tcW w:w="940" w:type="dxa"/>
            <w:vAlign w:val="bottom"/>
            <w:tcBorders>
              <w:right w:val="single" w:sz="8" w:color="0093FF"/>
            </w:tcBorders>
            <w:shd w:val="clear" w:color="auto" w:fill="0093FF"/>
          </w:tcPr>
          <w:p>
            <w:pPr>
              <w:spacing w:after="0"/>
              <w:rPr>
                <w:sz w:val="23"/>
                <w:szCs w:val="23"/>
                <w:color w:val="auto"/>
              </w:rPr>
            </w:pPr>
          </w:p>
        </w:tc>
      </w:tr>
      <w:tr>
        <w:trPr>
          <w:trHeight w:val="162"/>
        </w:trPr>
        <w:tc>
          <w:tcPr>
            <w:tcW w:w="2380" w:type="dxa"/>
            <w:vAlign w:val="bottom"/>
            <w:tcBorders>
              <w:left w:val="single" w:sz="8" w:color="0093FF"/>
            </w:tcBorders>
            <w:shd w:val="clear" w:color="auto" w:fill="0093FF"/>
          </w:tcPr>
          <w:p>
            <w:pPr>
              <w:spacing w:after="0"/>
              <w:rPr>
                <w:sz w:val="14"/>
                <w:szCs w:val="14"/>
                <w:color w:val="auto"/>
              </w:rPr>
            </w:pPr>
          </w:p>
        </w:tc>
        <w:tc>
          <w:tcPr>
            <w:tcW w:w="840" w:type="dxa"/>
            <w:vAlign w:val="bottom"/>
            <w:shd w:val="clear" w:color="auto" w:fill="0093FF"/>
          </w:tcPr>
          <w:p>
            <w:pPr>
              <w:spacing w:after="0"/>
              <w:rPr>
                <w:sz w:val="14"/>
                <w:szCs w:val="14"/>
                <w:color w:val="auto"/>
              </w:rPr>
            </w:pPr>
          </w:p>
        </w:tc>
        <w:tc>
          <w:tcPr>
            <w:tcW w:w="10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160" w:type="dxa"/>
            <w:vAlign w:val="bottom"/>
            <w:shd w:val="clear" w:color="auto" w:fill="0093FF"/>
          </w:tcPr>
          <w:p>
            <w:pPr>
              <w:jc w:val="center"/>
              <w:ind w:right="49"/>
              <w:spacing w:after="0"/>
              <w:rPr>
                <w:sz w:val="20"/>
                <w:szCs w:val="20"/>
                <w:color w:val="auto"/>
              </w:rPr>
            </w:pPr>
            <w:r>
              <w:rPr>
                <w:rFonts w:ascii="Arial" w:cs="Arial" w:eastAsia="Arial" w:hAnsi="Arial"/>
                <w:sz w:val="14"/>
                <w:szCs w:val="14"/>
                <w:b w:val="1"/>
                <w:bCs w:val="1"/>
                <w:color w:val="FFFFFF"/>
              </w:rPr>
              <w:t>Pension</w:t>
            </w:r>
          </w:p>
        </w:tc>
        <w:tc>
          <w:tcPr>
            <w:tcW w:w="11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940" w:type="dxa"/>
            <w:vAlign w:val="bottom"/>
            <w:tcBorders>
              <w:right w:val="single" w:sz="8" w:color="0093FF"/>
            </w:tcBorders>
            <w:shd w:val="clear" w:color="auto" w:fill="0093FF"/>
          </w:tcPr>
          <w:p>
            <w:pPr>
              <w:spacing w:after="0"/>
              <w:rPr>
                <w:sz w:val="14"/>
                <w:szCs w:val="14"/>
                <w:color w:val="auto"/>
              </w:rPr>
            </w:pPr>
          </w:p>
        </w:tc>
      </w:tr>
      <w:tr>
        <w:trPr>
          <w:trHeight w:val="162"/>
        </w:trPr>
        <w:tc>
          <w:tcPr>
            <w:tcW w:w="2380" w:type="dxa"/>
            <w:vAlign w:val="bottom"/>
            <w:tcBorders>
              <w:left w:val="single" w:sz="8" w:color="0093FF"/>
            </w:tcBorders>
            <w:shd w:val="clear" w:color="auto" w:fill="0093FF"/>
          </w:tcPr>
          <w:p>
            <w:pPr>
              <w:spacing w:after="0"/>
              <w:rPr>
                <w:sz w:val="14"/>
                <w:szCs w:val="14"/>
                <w:color w:val="auto"/>
              </w:rPr>
            </w:pPr>
          </w:p>
        </w:tc>
        <w:tc>
          <w:tcPr>
            <w:tcW w:w="840" w:type="dxa"/>
            <w:vAlign w:val="bottom"/>
            <w:shd w:val="clear" w:color="auto" w:fill="0093FF"/>
          </w:tcPr>
          <w:p>
            <w:pPr>
              <w:spacing w:after="0"/>
              <w:rPr>
                <w:sz w:val="14"/>
                <w:szCs w:val="14"/>
                <w:color w:val="auto"/>
              </w:rPr>
            </w:pPr>
          </w:p>
        </w:tc>
        <w:tc>
          <w:tcPr>
            <w:tcW w:w="10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160" w:type="dxa"/>
            <w:vAlign w:val="bottom"/>
            <w:shd w:val="clear" w:color="auto" w:fill="0093FF"/>
          </w:tcPr>
          <w:p>
            <w:pPr>
              <w:jc w:val="center"/>
              <w:ind w:right="49"/>
              <w:spacing w:after="0"/>
              <w:rPr>
                <w:sz w:val="20"/>
                <w:szCs w:val="20"/>
                <w:color w:val="auto"/>
              </w:rPr>
            </w:pPr>
            <w:r>
              <w:rPr>
                <w:rFonts w:ascii="Arial" w:cs="Arial" w:eastAsia="Arial" w:hAnsi="Arial"/>
                <w:sz w:val="14"/>
                <w:szCs w:val="14"/>
                <w:b w:val="1"/>
                <w:bCs w:val="1"/>
                <w:color w:val="FFFFFF"/>
              </w:rPr>
              <w:t>Value and</w:t>
            </w:r>
          </w:p>
        </w:tc>
        <w:tc>
          <w:tcPr>
            <w:tcW w:w="11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940" w:type="dxa"/>
            <w:vAlign w:val="bottom"/>
            <w:tcBorders>
              <w:right w:val="single" w:sz="8" w:color="0093FF"/>
            </w:tcBorders>
            <w:shd w:val="clear" w:color="auto" w:fill="0093FF"/>
          </w:tcPr>
          <w:p>
            <w:pPr>
              <w:spacing w:after="0"/>
              <w:rPr>
                <w:sz w:val="14"/>
                <w:szCs w:val="14"/>
                <w:color w:val="auto"/>
              </w:rPr>
            </w:pPr>
          </w:p>
        </w:tc>
      </w:tr>
      <w:tr>
        <w:trPr>
          <w:trHeight w:val="162"/>
        </w:trPr>
        <w:tc>
          <w:tcPr>
            <w:tcW w:w="2380" w:type="dxa"/>
            <w:vAlign w:val="bottom"/>
            <w:tcBorders>
              <w:left w:val="single" w:sz="8" w:color="0093FF"/>
            </w:tcBorders>
            <w:shd w:val="clear" w:color="auto" w:fill="0093FF"/>
          </w:tcPr>
          <w:p>
            <w:pPr>
              <w:spacing w:after="0"/>
              <w:rPr>
                <w:sz w:val="14"/>
                <w:szCs w:val="14"/>
                <w:color w:val="auto"/>
              </w:rPr>
            </w:pPr>
          </w:p>
        </w:tc>
        <w:tc>
          <w:tcPr>
            <w:tcW w:w="840" w:type="dxa"/>
            <w:vAlign w:val="bottom"/>
            <w:shd w:val="clear" w:color="auto" w:fill="0093FF"/>
          </w:tcPr>
          <w:p>
            <w:pPr>
              <w:spacing w:after="0"/>
              <w:rPr>
                <w:sz w:val="14"/>
                <w:szCs w:val="14"/>
                <w:color w:val="auto"/>
              </w:rPr>
            </w:pPr>
          </w:p>
        </w:tc>
        <w:tc>
          <w:tcPr>
            <w:tcW w:w="10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120" w:type="dxa"/>
            <w:vAlign w:val="bottom"/>
            <w:shd w:val="clear" w:color="auto" w:fill="0093FF"/>
          </w:tcPr>
          <w:p>
            <w:pPr>
              <w:jc w:val="center"/>
              <w:ind w:right="49"/>
              <w:spacing w:after="0"/>
              <w:rPr>
                <w:sz w:val="20"/>
                <w:szCs w:val="20"/>
                <w:color w:val="auto"/>
              </w:rPr>
            </w:pPr>
            <w:r>
              <w:rPr>
                <w:rFonts w:ascii="Arial" w:cs="Arial" w:eastAsia="Arial" w:hAnsi="Arial"/>
                <w:sz w:val="14"/>
                <w:szCs w:val="14"/>
                <w:b w:val="1"/>
                <w:bCs w:val="1"/>
                <w:color w:val="FFFFFF"/>
              </w:rPr>
              <w:t>Non-Equity</w:t>
            </w:r>
          </w:p>
        </w:tc>
        <w:tc>
          <w:tcPr>
            <w:tcW w:w="1160" w:type="dxa"/>
            <w:vAlign w:val="bottom"/>
            <w:shd w:val="clear" w:color="auto" w:fill="0093FF"/>
          </w:tcPr>
          <w:p>
            <w:pPr>
              <w:jc w:val="center"/>
              <w:ind w:right="49"/>
              <w:spacing w:after="0"/>
              <w:rPr>
                <w:sz w:val="20"/>
                <w:szCs w:val="20"/>
                <w:color w:val="auto"/>
              </w:rPr>
            </w:pPr>
            <w:r>
              <w:rPr>
                <w:rFonts w:ascii="Arial" w:cs="Arial" w:eastAsia="Arial" w:hAnsi="Arial"/>
                <w:sz w:val="14"/>
                <w:szCs w:val="14"/>
                <w:b w:val="1"/>
                <w:bCs w:val="1"/>
                <w:color w:val="FFFFFF"/>
              </w:rPr>
              <w:t>Nonqualified</w:t>
            </w:r>
          </w:p>
        </w:tc>
        <w:tc>
          <w:tcPr>
            <w:tcW w:w="11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940" w:type="dxa"/>
            <w:vAlign w:val="bottom"/>
            <w:tcBorders>
              <w:right w:val="single" w:sz="8" w:color="0093FF"/>
            </w:tcBorders>
            <w:shd w:val="clear" w:color="auto" w:fill="0093FF"/>
          </w:tcPr>
          <w:p>
            <w:pPr>
              <w:spacing w:after="0"/>
              <w:rPr>
                <w:sz w:val="14"/>
                <w:szCs w:val="14"/>
                <w:color w:val="auto"/>
              </w:rPr>
            </w:pPr>
          </w:p>
        </w:tc>
      </w:tr>
      <w:tr>
        <w:trPr>
          <w:trHeight w:val="162"/>
        </w:trPr>
        <w:tc>
          <w:tcPr>
            <w:tcW w:w="2380" w:type="dxa"/>
            <w:vAlign w:val="bottom"/>
            <w:tcBorders>
              <w:left w:val="single" w:sz="8" w:color="0093FF"/>
            </w:tcBorders>
            <w:shd w:val="clear" w:color="auto" w:fill="0093FF"/>
          </w:tcPr>
          <w:p>
            <w:pPr>
              <w:spacing w:after="0"/>
              <w:rPr>
                <w:sz w:val="14"/>
                <w:szCs w:val="14"/>
                <w:color w:val="auto"/>
              </w:rPr>
            </w:pPr>
          </w:p>
        </w:tc>
        <w:tc>
          <w:tcPr>
            <w:tcW w:w="840" w:type="dxa"/>
            <w:vAlign w:val="bottom"/>
            <w:shd w:val="clear" w:color="auto" w:fill="0093FF"/>
          </w:tcPr>
          <w:p>
            <w:pPr>
              <w:spacing w:after="0"/>
              <w:rPr>
                <w:sz w:val="14"/>
                <w:szCs w:val="14"/>
                <w:color w:val="auto"/>
              </w:rPr>
            </w:pPr>
          </w:p>
        </w:tc>
        <w:tc>
          <w:tcPr>
            <w:tcW w:w="10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12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Incentive</w:t>
            </w:r>
          </w:p>
        </w:tc>
        <w:tc>
          <w:tcPr>
            <w:tcW w:w="1160" w:type="dxa"/>
            <w:vAlign w:val="bottom"/>
            <w:shd w:val="clear" w:color="auto" w:fill="0093FF"/>
          </w:tcPr>
          <w:p>
            <w:pPr>
              <w:jc w:val="center"/>
              <w:ind w:right="49"/>
              <w:spacing w:after="0"/>
              <w:rPr>
                <w:sz w:val="20"/>
                <w:szCs w:val="20"/>
                <w:color w:val="auto"/>
              </w:rPr>
            </w:pPr>
            <w:r>
              <w:rPr>
                <w:rFonts w:ascii="Arial" w:cs="Arial" w:eastAsia="Arial" w:hAnsi="Arial"/>
                <w:sz w:val="14"/>
                <w:szCs w:val="14"/>
                <w:b w:val="1"/>
                <w:bCs w:val="1"/>
                <w:color w:val="FFFFFF"/>
              </w:rPr>
              <w:t>Deferred</w:t>
            </w:r>
          </w:p>
        </w:tc>
        <w:tc>
          <w:tcPr>
            <w:tcW w:w="11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940" w:type="dxa"/>
            <w:vAlign w:val="bottom"/>
            <w:tcBorders>
              <w:right w:val="single" w:sz="8" w:color="0093FF"/>
            </w:tcBorders>
            <w:shd w:val="clear" w:color="auto" w:fill="0093FF"/>
          </w:tcPr>
          <w:p>
            <w:pPr>
              <w:spacing w:after="0"/>
              <w:rPr>
                <w:sz w:val="14"/>
                <w:szCs w:val="14"/>
                <w:color w:val="auto"/>
              </w:rPr>
            </w:pPr>
          </w:p>
        </w:tc>
      </w:tr>
      <w:tr>
        <w:trPr>
          <w:trHeight w:val="175"/>
        </w:trPr>
        <w:tc>
          <w:tcPr>
            <w:tcW w:w="2380" w:type="dxa"/>
            <w:vAlign w:val="bottom"/>
            <w:tcBorders>
              <w:left w:val="single" w:sz="8" w:color="0093FF"/>
            </w:tcBorders>
            <w:shd w:val="clear" w:color="auto" w:fill="0093FF"/>
          </w:tcPr>
          <w:p>
            <w:pPr>
              <w:spacing w:after="0"/>
              <w:rPr>
                <w:sz w:val="15"/>
                <w:szCs w:val="15"/>
                <w:color w:val="auto"/>
              </w:rPr>
            </w:pPr>
          </w:p>
        </w:tc>
        <w:tc>
          <w:tcPr>
            <w:tcW w:w="840" w:type="dxa"/>
            <w:vAlign w:val="bottom"/>
            <w:shd w:val="clear" w:color="auto" w:fill="0093FF"/>
          </w:tcPr>
          <w:p>
            <w:pPr>
              <w:spacing w:after="0"/>
              <w:rPr>
                <w:sz w:val="15"/>
                <w:szCs w:val="15"/>
                <w:color w:val="auto"/>
              </w:rPr>
            </w:pPr>
          </w:p>
        </w:tc>
        <w:tc>
          <w:tcPr>
            <w:tcW w:w="1000" w:type="dxa"/>
            <w:vAlign w:val="bottom"/>
            <w:shd w:val="clear" w:color="auto" w:fill="0093FF"/>
          </w:tcPr>
          <w:p>
            <w:pPr>
              <w:spacing w:after="0"/>
              <w:rPr>
                <w:sz w:val="15"/>
                <w:szCs w:val="15"/>
                <w:color w:val="auto"/>
              </w:rPr>
            </w:pPr>
          </w:p>
        </w:tc>
        <w:tc>
          <w:tcPr>
            <w:tcW w:w="360" w:type="dxa"/>
            <w:vAlign w:val="bottom"/>
            <w:shd w:val="clear" w:color="auto" w:fill="0093FF"/>
          </w:tcPr>
          <w:p>
            <w:pPr>
              <w:spacing w:after="0"/>
              <w:rPr>
                <w:sz w:val="15"/>
                <w:szCs w:val="15"/>
                <w:color w:val="auto"/>
              </w:rPr>
            </w:pPr>
          </w:p>
        </w:tc>
        <w:tc>
          <w:tcPr>
            <w:tcW w:w="1080" w:type="dxa"/>
            <w:vAlign w:val="bottom"/>
            <w:shd w:val="clear" w:color="auto" w:fill="0093FF"/>
          </w:tcPr>
          <w:p>
            <w:pPr>
              <w:spacing w:after="0"/>
              <w:rPr>
                <w:sz w:val="15"/>
                <w:szCs w:val="15"/>
                <w:color w:val="auto"/>
              </w:rPr>
            </w:pPr>
          </w:p>
        </w:tc>
        <w:tc>
          <w:tcPr>
            <w:tcW w:w="920" w:type="dxa"/>
            <w:vAlign w:val="bottom"/>
            <w:shd w:val="clear" w:color="auto" w:fill="0093FF"/>
          </w:tcPr>
          <w:p>
            <w:pPr>
              <w:jc w:val="center"/>
              <w:ind w:right="89"/>
              <w:spacing w:after="0"/>
              <w:rPr>
                <w:sz w:val="20"/>
                <w:szCs w:val="20"/>
                <w:color w:val="auto"/>
              </w:rPr>
            </w:pPr>
            <w:r>
              <w:rPr>
                <w:rFonts w:ascii="Arial" w:cs="Arial" w:eastAsia="Arial" w:hAnsi="Arial"/>
                <w:sz w:val="14"/>
                <w:szCs w:val="14"/>
                <w:b w:val="1"/>
                <w:bCs w:val="1"/>
                <w:color w:val="FFFFFF"/>
              </w:rPr>
              <w:t>Stock</w:t>
            </w:r>
          </w:p>
        </w:tc>
        <w:tc>
          <w:tcPr>
            <w:tcW w:w="112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Plan</w:t>
            </w:r>
          </w:p>
        </w:tc>
        <w:tc>
          <w:tcPr>
            <w:tcW w:w="1160" w:type="dxa"/>
            <w:vAlign w:val="bottom"/>
            <w:shd w:val="clear" w:color="auto" w:fill="0093FF"/>
          </w:tcPr>
          <w:p>
            <w:pPr>
              <w:jc w:val="center"/>
              <w:ind w:right="49"/>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All Other</w:t>
            </w:r>
          </w:p>
        </w:tc>
        <w:tc>
          <w:tcPr>
            <w:tcW w:w="360" w:type="dxa"/>
            <w:vAlign w:val="bottom"/>
            <w:shd w:val="clear" w:color="auto" w:fill="0093FF"/>
          </w:tcPr>
          <w:p>
            <w:pPr>
              <w:spacing w:after="0"/>
              <w:rPr>
                <w:sz w:val="15"/>
                <w:szCs w:val="15"/>
                <w:color w:val="auto"/>
              </w:rPr>
            </w:pPr>
          </w:p>
        </w:tc>
        <w:tc>
          <w:tcPr>
            <w:tcW w:w="940" w:type="dxa"/>
            <w:vAlign w:val="bottom"/>
            <w:tcBorders>
              <w:right w:val="single" w:sz="8" w:color="0093FF"/>
            </w:tcBorders>
            <w:shd w:val="clear" w:color="auto" w:fill="0093FF"/>
          </w:tcPr>
          <w:p>
            <w:pPr>
              <w:spacing w:after="0"/>
              <w:rPr>
                <w:sz w:val="15"/>
                <w:szCs w:val="15"/>
                <w:color w:val="auto"/>
              </w:rPr>
            </w:pPr>
          </w:p>
        </w:tc>
      </w:tr>
      <w:tr>
        <w:trPr>
          <w:trHeight w:val="162"/>
        </w:trPr>
        <w:tc>
          <w:tcPr>
            <w:tcW w:w="2380" w:type="dxa"/>
            <w:vAlign w:val="bottom"/>
            <w:tcBorders>
              <w:left w:val="single" w:sz="8" w:color="0093FF"/>
            </w:tcBorders>
            <w:shd w:val="clear" w:color="auto" w:fill="0093FF"/>
          </w:tcPr>
          <w:p>
            <w:pPr>
              <w:ind w:left="780"/>
              <w:spacing w:after="0"/>
              <w:rPr>
                <w:sz w:val="20"/>
                <w:szCs w:val="20"/>
                <w:color w:val="auto"/>
              </w:rPr>
            </w:pPr>
            <w:r>
              <w:rPr>
                <w:rFonts w:ascii="Arial" w:cs="Arial" w:eastAsia="Arial" w:hAnsi="Arial"/>
                <w:sz w:val="14"/>
                <w:szCs w:val="14"/>
                <w:b w:val="1"/>
                <w:bCs w:val="1"/>
                <w:color w:val="FFFFFF"/>
              </w:rPr>
              <w:t>Name and</w:t>
            </w:r>
          </w:p>
        </w:tc>
        <w:tc>
          <w:tcPr>
            <w:tcW w:w="840" w:type="dxa"/>
            <w:vAlign w:val="bottom"/>
            <w:shd w:val="clear" w:color="auto" w:fill="0093FF"/>
          </w:tcPr>
          <w:p>
            <w:pPr>
              <w:spacing w:after="0"/>
              <w:rPr>
                <w:sz w:val="14"/>
                <w:szCs w:val="14"/>
                <w:color w:val="auto"/>
              </w:rPr>
            </w:pPr>
          </w:p>
        </w:tc>
        <w:tc>
          <w:tcPr>
            <w:tcW w:w="1000" w:type="dxa"/>
            <w:vAlign w:val="bottom"/>
            <w:shd w:val="clear" w:color="auto" w:fill="0093FF"/>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360" w:type="dxa"/>
            <w:vAlign w:val="bottom"/>
            <w:shd w:val="clear" w:color="auto" w:fill="0093FF"/>
          </w:tcPr>
          <w:p>
            <w:pPr>
              <w:spacing w:after="0"/>
              <w:rPr>
                <w:sz w:val="14"/>
                <w:szCs w:val="14"/>
                <w:color w:val="auto"/>
              </w:rPr>
            </w:pPr>
          </w:p>
        </w:tc>
        <w:tc>
          <w:tcPr>
            <w:tcW w:w="1080" w:type="dxa"/>
            <w:vAlign w:val="bottom"/>
            <w:shd w:val="clear" w:color="auto" w:fill="0093FF"/>
          </w:tcPr>
          <w:p>
            <w:pPr>
              <w:ind w:left="180"/>
              <w:spacing w:after="0"/>
              <w:rPr>
                <w:sz w:val="20"/>
                <w:szCs w:val="20"/>
                <w:color w:val="auto"/>
              </w:rPr>
            </w:pPr>
            <w:r>
              <w:rPr>
                <w:rFonts w:ascii="Arial" w:cs="Arial" w:eastAsia="Arial" w:hAnsi="Arial"/>
                <w:sz w:val="14"/>
                <w:szCs w:val="14"/>
                <w:b w:val="1"/>
                <w:bCs w:val="1"/>
                <w:color w:val="FFFFFF"/>
              </w:rPr>
              <w:t>Bonus</w:t>
            </w:r>
          </w:p>
        </w:tc>
        <w:tc>
          <w:tcPr>
            <w:tcW w:w="920" w:type="dxa"/>
            <w:vAlign w:val="bottom"/>
            <w:shd w:val="clear" w:color="auto" w:fill="0093FF"/>
          </w:tcPr>
          <w:p>
            <w:pPr>
              <w:jc w:val="center"/>
              <w:ind w:right="89"/>
              <w:spacing w:after="0"/>
              <w:rPr>
                <w:sz w:val="20"/>
                <w:szCs w:val="20"/>
                <w:color w:val="auto"/>
              </w:rPr>
            </w:pPr>
            <w:r>
              <w:rPr>
                <w:rFonts w:ascii="Arial" w:cs="Arial" w:eastAsia="Arial" w:hAnsi="Arial"/>
                <w:sz w:val="14"/>
                <w:szCs w:val="14"/>
                <w:b w:val="1"/>
                <w:bCs w:val="1"/>
                <w:color w:val="FFFFFF"/>
              </w:rPr>
              <w:t>Awards</w:t>
            </w:r>
          </w:p>
        </w:tc>
        <w:tc>
          <w:tcPr>
            <w:tcW w:w="1120" w:type="dxa"/>
            <w:vAlign w:val="bottom"/>
            <w:shd w:val="clear" w:color="auto" w:fill="0093FF"/>
          </w:tcPr>
          <w:p>
            <w:pPr>
              <w:jc w:val="center"/>
              <w:ind w:right="9"/>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0093FF"/>
          </w:tcPr>
          <w:p>
            <w:pPr>
              <w:jc w:val="center"/>
              <w:ind w:right="29"/>
              <w:spacing w:after="0"/>
              <w:rPr>
                <w:sz w:val="20"/>
                <w:szCs w:val="20"/>
                <w:color w:val="auto"/>
              </w:rPr>
            </w:pPr>
            <w:r>
              <w:rPr>
                <w:rFonts w:ascii="Arial" w:cs="Arial" w:eastAsia="Arial" w:hAnsi="Arial"/>
                <w:sz w:val="14"/>
                <w:szCs w:val="14"/>
                <w:b w:val="1"/>
                <w:bCs w:val="1"/>
                <w:color w:val="FFFFFF"/>
              </w:rPr>
              <w:t>Earnings</w:t>
            </w:r>
          </w:p>
        </w:tc>
        <w:tc>
          <w:tcPr>
            <w:tcW w:w="1100" w:type="dxa"/>
            <w:vAlign w:val="bottom"/>
            <w:shd w:val="clear" w:color="auto" w:fill="0093FF"/>
          </w:tcPr>
          <w:p>
            <w:pPr>
              <w:jc w:val="center"/>
              <w:ind w:left="28"/>
              <w:spacing w:after="0"/>
              <w:rPr>
                <w:sz w:val="20"/>
                <w:szCs w:val="20"/>
                <w:color w:val="auto"/>
              </w:rPr>
            </w:pPr>
            <w:r>
              <w:rPr>
                <w:rFonts w:ascii="Arial" w:cs="Arial" w:eastAsia="Arial" w:hAnsi="Arial"/>
                <w:sz w:val="14"/>
                <w:szCs w:val="14"/>
                <w:b w:val="1"/>
                <w:bCs w:val="1"/>
                <w:color w:val="FFFFFF"/>
              </w:rPr>
              <w:t>Compensation</w:t>
            </w:r>
          </w:p>
        </w:tc>
        <w:tc>
          <w:tcPr>
            <w:tcW w:w="360" w:type="dxa"/>
            <w:vAlign w:val="bottom"/>
            <w:shd w:val="clear" w:color="auto" w:fill="0093FF"/>
          </w:tcPr>
          <w:p>
            <w:pPr>
              <w:spacing w:after="0"/>
              <w:rPr>
                <w:sz w:val="14"/>
                <w:szCs w:val="14"/>
                <w:color w:val="auto"/>
              </w:rPr>
            </w:pPr>
          </w:p>
        </w:tc>
        <w:tc>
          <w:tcPr>
            <w:tcW w:w="940" w:type="dxa"/>
            <w:vAlign w:val="bottom"/>
            <w:tcBorders>
              <w:right w:val="single" w:sz="8" w:color="0093FF"/>
            </w:tcBorders>
            <w:shd w:val="clear" w:color="auto" w:fill="0093FF"/>
          </w:tcPr>
          <w:p>
            <w:pPr>
              <w:jc w:val="right"/>
              <w:ind w:right="348"/>
              <w:spacing w:after="0"/>
              <w:rPr>
                <w:sz w:val="20"/>
                <w:szCs w:val="20"/>
                <w:color w:val="auto"/>
              </w:rPr>
            </w:pPr>
            <w:r>
              <w:rPr>
                <w:rFonts w:ascii="Arial" w:cs="Arial" w:eastAsia="Arial" w:hAnsi="Arial"/>
                <w:sz w:val="14"/>
                <w:szCs w:val="14"/>
                <w:b w:val="1"/>
                <w:bCs w:val="1"/>
                <w:color w:val="FFFFFF"/>
              </w:rPr>
              <w:t>Total</w:t>
            </w:r>
          </w:p>
        </w:tc>
      </w:tr>
      <w:tr>
        <w:trPr>
          <w:trHeight w:val="297"/>
        </w:trPr>
        <w:tc>
          <w:tcPr>
            <w:tcW w:w="2380" w:type="dxa"/>
            <w:vAlign w:val="bottom"/>
            <w:tcBorders>
              <w:left w:val="single" w:sz="8" w:color="0093FF"/>
              <w:bottom w:val="single" w:sz="8" w:color="C3E6FF"/>
            </w:tcBorders>
            <w:shd w:val="clear" w:color="auto" w:fill="0093FF"/>
          </w:tcPr>
          <w:p>
            <w:pPr>
              <w:ind w:left="520"/>
              <w:spacing w:after="0"/>
              <w:rPr>
                <w:sz w:val="20"/>
                <w:szCs w:val="20"/>
                <w:color w:val="auto"/>
              </w:rPr>
            </w:pPr>
            <w:r>
              <w:rPr>
                <w:rFonts w:ascii="Arial" w:cs="Arial" w:eastAsia="Arial" w:hAnsi="Arial"/>
                <w:sz w:val="14"/>
                <w:szCs w:val="14"/>
                <w:b w:val="1"/>
                <w:bCs w:val="1"/>
                <w:color w:val="FFFFFF"/>
              </w:rPr>
              <w:t>Principal Position</w:t>
            </w:r>
          </w:p>
        </w:tc>
        <w:tc>
          <w:tcPr>
            <w:tcW w:w="840" w:type="dxa"/>
            <w:vAlign w:val="bottom"/>
            <w:tcBorders>
              <w:bottom w:val="single" w:sz="8" w:color="C3E6FF"/>
            </w:tcBorders>
            <w:shd w:val="clear" w:color="auto" w:fill="0093FF"/>
          </w:tcPr>
          <w:p>
            <w:pPr>
              <w:ind w:left="180"/>
              <w:spacing w:after="0"/>
              <w:rPr>
                <w:sz w:val="20"/>
                <w:szCs w:val="20"/>
                <w:color w:val="auto"/>
              </w:rPr>
            </w:pPr>
            <w:r>
              <w:rPr>
                <w:rFonts w:ascii="Arial" w:cs="Arial" w:eastAsia="Arial" w:hAnsi="Arial"/>
                <w:sz w:val="14"/>
                <w:szCs w:val="14"/>
                <w:b w:val="1"/>
                <w:bCs w:val="1"/>
                <w:color w:val="FFFFFF"/>
              </w:rPr>
              <w:t>Year</w:t>
            </w:r>
          </w:p>
        </w:tc>
        <w:tc>
          <w:tcPr>
            <w:tcW w:w="1000" w:type="dxa"/>
            <w:vAlign w:val="bottom"/>
            <w:tcBorders>
              <w:bottom w:val="single" w:sz="8" w:color="C3E6FF"/>
            </w:tcBorders>
            <w:shd w:val="clear" w:color="auto" w:fill="0093FF"/>
          </w:tcPr>
          <w:p>
            <w:pPr>
              <w:jc w:val="right"/>
              <w:ind w:right="268"/>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C3E6FF"/>
            </w:tcBorders>
            <w:shd w:val="clear" w:color="auto" w:fill="0093FF"/>
          </w:tcPr>
          <w:p>
            <w:pPr>
              <w:spacing w:after="0"/>
              <w:rPr>
                <w:sz w:val="24"/>
                <w:szCs w:val="24"/>
                <w:color w:val="auto"/>
              </w:rPr>
            </w:pPr>
          </w:p>
        </w:tc>
        <w:tc>
          <w:tcPr>
            <w:tcW w:w="1080" w:type="dxa"/>
            <w:vAlign w:val="bottom"/>
            <w:tcBorders>
              <w:bottom w:val="single" w:sz="8" w:color="C3E6FF"/>
            </w:tcBorders>
            <w:shd w:val="clear" w:color="auto" w:fill="0093FF"/>
          </w:tcPr>
          <w:p>
            <w:pPr>
              <w:ind w:left="30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C3E6FF"/>
            </w:tcBorders>
            <w:shd w:val="clear" w:color="auto" w:fill="0093FF"/>
          </w:tcPr>
          <w:p>
            <w:pPr>
              <w:jc w:val="center"/>
              <w:ind w:right="89"/>
              <w:spacing w:after="0" w:line="29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(4)</w:t>
            </w:r>
          </w:p>
        </w:tc>
        <w:tc>
          <w:tcPr>
            <w:tcW w:w="1120" w:type="dxa"/>
            <w:vAlign w:val="bottom"/>
            <w:tcBorders>
              <w:bottom w:val="single" w:sz="8" w:color="C3E6FF"/>
            </w:tcBorders>
            <w:shd w:val="clear" w:color="auto" w:fill="0093FF"/>
          </w:tcPr>
          <w:p>
            <w:pPr>
              <w:jc w:val="center"/>
              <w:ind w:right="9"/>
              <w:spacing w:after="0" w:line="29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(5)</w:t>
            </w:r>
          </w:p>
        </w:tc>
        <w:tc>
          <w:tcPr>
            <w:tcW w:w="1160" w:type="dxa"/>
            <w:vAlign w:val="bottom"/>
            <w:tcBorders>
              <w:bottom w:val="single" w:sz="8" w:color="C3E6FF"/>
            </w:tcBorders>
            <w:shd w:val="clear" w:color="auto" w:fill="0093FF"/>
          </w:tcPr>
          <w:p>
            <w:pPr>
              <w:jc w:val="center"/>
              <w:ind w:right="49"/>
              <w:spacing w:after="0" w:line="29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(6)</w:t>
            </w:r>
          </w:p>
        </w:tc>
        <w:tc>
          <w:tcPr>
            <w:tcW w:w="1100" w:type="dxa"/>
            <w:vAlign w:val="bottom"/>
            <w:tcBorders>
              <w:bottom w:val="single" w:sz="8" w:color="C3E6FF"/>
            </w:tcBorders>
            <w:shd w:val="clear" w:color="auto" w:fill="0093FF"/>
          </w:tcPr>
          <w:p>
            <w:pPr>
              <w:jc w:val="center"/>
              <w:ind w:left="8"/>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C3E6FF"/>
            </w:tcBorders>
            <w:shd w:val="clear" w:color="auto" w:fill="0093FF"/>
          </w:tcPr>
          <w:p>
            <w:pPr>
              <w:spacing w:after="0"/>
              <w:rPr>
                <w:sz w:val="24"/>
                <w:szCs w:val="24"/>
                <w:color w:val="auto"/>
              </w:rPr>
            </w:pPr>
          </w:p>
        </w:tc>
        <w:tc>
          <w:tcPr>
            <w:tcW w:w="940" w:type="dxa"/>
            <w:vAlign w:val="bottom"/>
            <w:tcBorders>
              <w:bottom w:val="single" w:sz="8" w:color="C3E6FF"/>
              <w:right w:val="single" w:sz="8" w:color="0093FF"/>
            </w:tcBorders>
            <w:shd w:val="clear" w:color="auto" w:fill="0093FF"/>
          </w:tcPr>
          <w:p>
            <w:pPr>
              <w:jc w:val="right"/>
              <w:ind w:right="428"/>
              <w:spacing w:after="0"/>
              <w:rPr>
                <w:sz w:val="20"/>
                <w:szCs w:val="20"/>
                <w:color w:val="auto"/>
              </w:rPr>
            </w:pPr>
            <w:r>
              <w:rPr>
                <w:rFonts w:ascii="Arial" w:cs="Arial" w:eastAsia="Arial" w:hAnsi="Arial"/>
                <w:sz w:val="14"/>
                <w:szCs w:val="14"/>
                <w:b w:val="1"/>
                <w:bCs w:val="1"/>
                <w:color w:val="FFFFFF"/>
              </w:rPr>
              <w:t>($)</w:t>
            </w:r>
          </w:p>
        </w:tc>
      </w:tr>
      <w:tr>
        <w:trPr>
          <w:trHeight w:val="214"/>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b w:val="1"/>
                <w:bCs w:val="1"/>
                <w:color w:val="auto"/>
              </w:rPr>
              <w:t>Rohit Kapoor</w:t>
            </w:r>
          </w:p>
        </w:tc>
        <w:tc>
          <w:tcPr>
            <w:tcW w:w="840" w:type="dxa"/>
            <w:vAlign w:val="bottom"/>
          </w:tcPr>
          <w:p>
            <w:pPr>
              <w:ind w:left="180"/>
              <w:spacing w:after="0"/>
              <w:rPr>
                <w:sz w:val="20"/>
                <w:szCs w:val="20"/>
                <w:color w:val="auto"/>
              </w:rPr>
            </w:pPr>
            <w:r>
              <w:rPr>
                <w:rFonts w:ascii="Arial" w:cs="Arial" w:eastAsia="Arial" w:hAnsi="Arial"/>
                <w:sz w:val="14"/>
                <w:szCs w:val="14"/>
                <w:color w:val="auto"/>
              </w:rPr>
              <w:t>2019</w:t>
            </w:r>
          </w:p>
        </w:tc>
        <w:tc>
          <w:tcPr>
            <w:tcW w:w="1000" w:type="dxa"/>
            <w:vAlign w:val="bottom"/>
          </w:tcPr>
          <w:p>
            <w:pPr>
              <w:jc w:val="right"/>
              <w:spacing w:after="0"/>
              <w:rPr>
                <w:sz w:val="20"/>
                <w:szCs w:val="20"/>
                <w:color w:val="auto"/>
              </w:rPr>
            </w:pPr>
            <w:r>
              <w:rPr>
                <w:rFonts w:ascii="Arial" w:cs="Arial" w:eastAsia="Arial" w:hAnsi="Arial"/>
                <w:sz w:val="14"/>
                <w:szCs w:val="14"/>
                <w:color w:val="auto"/>
              </w:rPr>
              <w:t>720,000</w:t>
            </w:r>
          </w:p>
        </w:tc>
        <w:tc>
          <w:tcPr>
            <w:tcW w:w="36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4,121,410</w:t>
            </w:r>
          </w:p>
        </w:tc>
        <w:tc>
          <w:tcPr>
            <w:tcW w:w="1120" w:type="dxa"/>
            <w:vAlign w:val="bottom"/>
          </w:tcPr>
          <w:p>
            <w:pPr>
              <w:jc w:val="right"/>
              <w:spacing w:after="0"/>
              <w:rPr>
                <w:sz w:val="20"/>
                <w:szCs w:val="20"/>
                <w:color w:val="auto"/>
              </w:rPr>
            </w:pPr>
            <w:r>
              <w:rPr>
                <w:rFonts w:ascii="Arial" w:cs="Arial" w:eastAsia="Arial" w:hAnsi="Arial"/>
                <w:sz w:val="14"/>
                <w:szCs w:val="14"/>
                <w:color w:val="auto"/>
              </w:rPr>
              <w:t>1,304,453</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49,354</w:t>
            </w:r>
          </w:p>
        </w:tc>
        <w:tc>
          <w:tcPr>
            <w:tcW w:w="360" w:type="dxa"/>
            <w:vAlign w:val="bottom"/>
          </w:tcPr>
          <w:p>
            <w:pPr>
              <w:jc w:val="right"/>
              <w:ind w:right="140"/>
              <w:spacing w:after="0"/>
              <w:rPr>
                <w:sz w:val="20"/>
                <w:szCs w:val="20"/>
                <w:color w:val="auto"/>
              </w:rPr>
            </w:pPr>
            <w:r>
              <w:rPr>
                <w:rFonts w:ascii="Arial" w:cs="Arial" w:eastAsia="Arial" w:hAnsi="Arial"/>
                <w:sz w:val="12"/>
                <w:szCs w:val="12"/>
                <w:color w:val="auto"/>
                <w:w w:val="95"/>
              </w:rPr>
              <w:t>(7)</w:t>
            </w: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6,195,217</w:t>
            </w:r>
          </w:p>
        </w:tc>
      </w:tr>
      <w:tr>
        <w:trPr>
          <w:trHeight w:val="162"/>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color w:val="auto"/>
              </w:rPr>
              <w:t>Vice Chairman &amp; CEO</w:t>
            </w:r>
          </w:p>
        </w:tc>
        <w:tc>
          <w:tcPr>
            <w:tcW w:w="840" w:type="dxa"/>
            <w:vAlign w:val="bottom"/>
          </w:tcPr>
          <w:p>
            <w:pPr>
              <w:ind w:left="180"/>
              <w:spacing w:after="0"/>
              <w:rPr>
                <w:sz w:val="20"/>
                <w:szCs w:val="20"/>
                <w:color w:val="auto"/>
              </w:rPr>
            </w:pPr>
            <w:r>
              <w:rPr>
                <w:rFonts w:ascii="Arial" w:cs="Arial" w:eastAsia="Arial" w:hAnsi="Arial"/>
                <w:sz w:val="14"/>
                <w:szCs w:val="14"/>
                <w:color w:val="auto"/>
              </w:rPr>
              <w:t>2018</w:t>
            </w:r>
          </w:p>
        </w:tc>
        <w:tc>
          <w:tcPr>
            <w:tcW w:w="1000" w:type="dxa"/>
            <w:vAlign w:val="bottom"/>
          </w:tcPr>
          <w:p>
            <w:pPr>
              <w:jc w:val="right"/>
              <w:spacing w:after="0"/>
              <w:rPr>
                <w:sz w:val="20"/>
                <w:szCs w:val="20"/>
                <w:color w:val="auto"/>
              </w:rPr>
            </w:pPr>
            <w:r>
              <w:rPr>
                <w:rFonts w:ascii="Arial" w:cs="Arial" w:eastAsia="Arial" w:hAnsi="Arial"/>
                <w:sz w:val="14"/>
                <w:szCs w:val="14"/>
                <w:color w:val="auto"/>
              </w:rPr>
              <w:t>720,000</w:t>
            </w:r>
          </w:p>
        </w:tc>
        <w:tc>
          <w:tcPr>
            <w:tcW w:w="36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3,791,277</w:t>
            </w:r>
          </w:p>
        </w:tc>
        <w:tc>
          <w:tcPr>
            <w:tcW w:w="1120" w:type="dxa"/>
            <w:vAlign w:val="bottom"/>
          </w:tcPr>
          <w:p>
            <w:pPr>
              <w:jc w:val="right"/>
              <w:spacing w:after="0"/>
              <w:rPr>
                <w:sz w:val="20"/>
                <w:szCs w:val="20"/>
                <w:color w:val="auto"/>
              </w:rPr>
            </w:pPr>
            <w:r>
              <w:rPr>
                <w:rFonts w:ascii="Arial" w:cs="Arial" w:eastAsia="Arial" w:hAnsi="Arial"/>
                <w:sz w:val="14"/>
                <w:szCs w:val="14"/>
                <w:color w:val="auto"/>
              </w:rPr>
              <w:t>532,748</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61,484</w:t>
            </w:r>
          </w:p>
        </w:tc>
        <w:tc>
          <w:tcPr>
            <w:tcW w:w="360" w:type="dxa"/>
            <w:vAlign w:val="bottom"/>
          </w:tcPr>
          <w:p>
            <w:pPr>
              <w:spacing w:after="0"/>
              <w:rPr>
                <w:sz w:val="14"/>
                <w:szCs w:val="14"/>
                <w:color w:val="auto"/>
              </w:rPr>
            </w:pP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5,105,509</w:t>
            </w:r>
          </w:p>
        </w:tc>
      </w:tr>
      <w:tr>
        <w:trPr>
          <w:trHeight w:val="172"/>
        </w:trPr>
        <w:tc>
          <w:tcPr>
            <w:tcW w:w="2380" w:type="dxa"/>
            <w:vAlign w:val="bottom"/>
            <w:tcBorders>
              <w:left w:val="single" w:sz="8" w:color="C3E6FF"/>
            </w:tcBorders>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auto"/>
              </w:rPr>
              <w:t>2017</w:t>
            </w:r>
          </w:p>
        </w:tc>
        <w:tc>
          <w:tcPr>
            <w:tcW w:w="1000" w:type="dxa"/>
            <w:vAlign w:val="bottom"/>
          </w:tcPr>
          <w:p>
            <w:pPr>
              <w:jc w:val="right"/>
              <w:spacing w:after="0"/>
              <w:rPr>
                <w:sz w:val="20"/>
                <w:szCs w:val="20"/>
                <w:color w:val="auto"/>
              </w:rPr>
            </w:pPr>
            <w:r>
              <w:rPr>
                <w:rFonts w:ascii="Arial" w:cs="Arial" w:eastAsia="Arial" w:hAnsi="Arial"/>
                <w:sz w:val="14"/>
                <w:szCs w:val="14"/>
                <w:color w:val="auto"/>
              </w:rPr>
              <w:t>620,000</w:t>
            </w:r>
          </w:p>
        </w:tc>
        <w:tc>
          <w:tcPr>
            <w:tcW w:w="36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3,145,687</w:t>
            </w:r>
          </w:p>
        </w:tc>
        <w:tc>
          <w:tcPr>
            <w:tcW w:w="1120" w:type="dxa"/>
            <w:vAlign w:val="bottom"/>
          </w:tcPr>
          <w:p>
            <w:pPr>
              <w:jc w:val="right"/>
              <w:spacing w:after="0"/>
              <w:rPr>
                <w:sz w:val="20"/>
                <w:szCs w:val="20"/>
                <w:color w:val="auto"/>
              </w:rPr>
            </w:pPr>
            <w:r>
              <w:rPr>
                <w:rFonts w:ascii="Arial" w:cs="Arial" w:eastAsia="Arial" w:hAnsi="Arial"/>
                <w:sz w:val="14"/>
                <w:szCs w:val="14"/>
                <w:color w:val="auto"/>
              </w:rPr>
              <w:t>591,028</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41,413</w:t>
            </w:r>
          </w:p>
        </w:tc>
        <w:tc>
          <w:tcPr>
            <w:tcW w:w="360" w:type="dxa"/>
            <w:vAlign w:val="bottom"/>
          </w:tcPr>
          <w:p>
            <w:pPr>
              <w:spacing w:after="0"/>
              <w:rPr>
                <w:sz w:val="14"/>
                <w:szCs w:val="14"/>
                <w:color w:val="auto"/>
              </w:rPr>
            </w:pP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4,398,128</w:t>
            </w:r>
          </w:p>
        </w:tc>
      </w:tr>
      <w:tr>
        <w:trPr>
          <w:trHeight w:val="39"/>
        </w:trPr>
        <w:tc>
          <w:tcPr>
            <w:tcW w:w="2380" w:type="dxa"/>
            <w:vAlign w:val="bottom"/>
            <w:tcBorders>
              <w:left w:val="single" w:sz="8" w:color="C3E6FF"/>
              <w:bottom w:val="single" w:sz="8" w:color="C3E6FF"/>
            </w:tcBorders>
          </w:tcPr>
          <w:p>
            <w:pPr>
              <w:spacing w:after="0"/>
              <w:rPr>
                <w:sz w:val="3"/>
                <w:szCs w:val="3"/>
                <w:color w:val="auto"/>
              </w:rPr>
            </w:pPr>
          </w:p>
        </w:tc>
        <w:tc>
          <w:tcPr>
            <w:tcW w:w="840" w:type="dxa"/>
            <w:vAlign w:val="bottom"/>
            <w:tcBorders>
              <w:bottom w:val="single" w:sz="8" w:color="C3E6FF"/>
            </w:tcBorders>
          </w:tcPr>
          <w:p>
            <w:pPr>
              <w:spacing w:after="0"/>
              <w:rPr>
                <w:sz w:val="3"/>
                <w:szCs w:val="3"/>
                <w:color w:val="auto"/>
              </w:rPr>
            </w:pPr>
          </w:p>
        </w:tc>
        <w:tc>
          <w:tcPr>
            <w:tcW w:w="1000" w:type="dxa"/>
            <w:vAlign w:val="bottom"/>
            <w:tcBorders>
              <w:bottom w:val="single" w:sz="8" w:color="C3E6FF"/>
            </w:tcBorders>
          </w:tcPr>
          <w:p>
            <w:pPr>
              <w:spacing w:after="0"/>
              <w:rPr>
                <w:sz w:val="3"/>
                <w:szCs w:val="3"/>
                <w:color w:val="auto"/>
              </w:rPr>
            </w:pPr>
          </w:p>
        </w:tc>
        <w:tc>
          <w:tcPr>
            <w:tcW w:w="360" w:type="dxa"/>
            <w:vAlign w:val="bottom"/>
            <w:tcBorders>
              <w:bottom w:val="single" w:sz="8" w:color="C3E6FF"/>
            </w:tcBorders>
          </w:tcPr>
          <w:p>
            <w:pPr>
              <w:spacing w:after="0"/>
              <w:rPr>
                <w:sz w:val="3"/>
                <w:szCs w:val="3"/>
                <w:color w:val="auto"/>
              </w:rPr>
            </w:pPr>
          </w:p>
        </w:tc>
        <w:tc>
          <w:tcPr>
            <w:tcW w:w="1080" w:type="dxa"/>
            <w:vAlign w:val="bottom"/>
            <w:tcBorders>
              <w:bottom w:val="single" w:sz="8" w:color="C3E6FF"/>
            </w:tcBorders>
          </w:tcPr>
          <w:p>
            <w:pPr>
              <w:spacing w:after="0"/>
              <w:rPr>
                <w:sz w:val="3"/>
                <w:szCs w:val="3"/>
                <w:color w:val="auto"/>
              </w:rPr>
            </w:pPr>
          </w:p>
        </w:tc>
        <w:tc>
          <w:tcPr>
            <w:tcW w:w="920" w:type="dxa"/>
            <w:vAlign w:val="bottom"/>
            <w:tcBorders>
              <w:bottom w:val="single" w:sz="8" w:color="C3E6FF"/>
            </w:tcBorders>
          </w:tcPr>
          <w:p>
            <w:pPr>
              <w:spacing w:after="0"/>
              <w:rPr>
                <w:sz w:val="3"/>
                <w:szCs w:val="3"/>
                <w:color w:val="auto"/>
              </w:rPr>
            </w:pPr>
          </w:p>
        </w:tc>
        <w:tc>
          <w:tcPr>
            <w:tcW w:w="1120" w:type="dxa"/>
            <w:vAlign w:val="bottom"/>
            <w:tcBorders>
              <w:bottom w:val="single" w:sz="8" w:color="C3E6FF"/>
            </w:tcBorders>
          </w:tcPr>
          <w:p>
            <w:pPr>
              <w:spacing w:after="0"/>
              <w:rPr>
                <w:sz w:val="3"/>
                <w:szCs w:val="3"/>
                <w:color w:val="auto"/>
              </w:rPr>
            </w:pPr>
          </w:p>
        </w:tc>
        <w:tc>
          <w:tcPr>
            <w:tcW w:w="1160" w:type="dxa"/>
            <w:vAlign w:val="bottom"/>
            <w:tcBorders>
              <w:bottom w:val="single" w:sz="8" w:color="C3E6FF"/>
            </w:tcBorders>
          </w:tcPr>
          <w:p>
            <w:pPr>
              <w:spacing w:after="0"/>
              <w:rPr>
                <w:sz w:val="3"/>
                <w:szCs w:val="3"/>
                <w:color w:val="auto"/>
              </w:rPr>
            </w:pPr>
          </w:p>
        </w:tc>
        <w:tc>
          <w:tcPr>
            <w:tcW w:w="1100" w:type="dxa"/>
            <w:vAlign w:val="bottom"/>
            <w:tcBorders>
              <w:bottom w:val="single" w:sz="8" w:color="C3E6FF"/>
            </w:tcBorders>
          </w:tcPr>
          <w:p>
            <w:pPr>
              <w:spacing w:after="0"/>
              <w:rPr>
                <w:sz w:val="3"/>
                <w:szCs w:val="3"/>
                <w:color w:val="auto"/>
              </w:rPr>
            </w:pPr>
          </w:p>
        </w:tc>
        <w:tc>
          <w:tcPr>
            <w:tcW w:w="360" w:type="dxa"/>
            <w:vAlign w:val="bottom"/>
            <w:tcBorders>
              <w:bottom w:val="single" w:sz="8" w:color="C3E6FF"/>
            </w:tcBorders>
          </w:tcPr>
          <w:p>
            <w:pPr>
              <w:spacing w:after="0"/>
              <w:rPr>
                <w:sz w:val="3"/>
                <w:szCs w:val="3"/>
                <w:color w:val="auto"/>
              </w:rPr>
            </w:pPr>
          </w:p>
        </w:tc>
        <w:tc>
          <w:tcPr>
            <w:tcW w:w="940" w:type="dxa"/>
            <w:vAlign w:val="bottom"/>
            <w:tcBorders>
              <w:bottom w:val="single" w:sz="8" w:color="C3E6FF"/>
              <w:right w:val="single" w:sz="8" w:color="C3E6FF"/>
            </w:tcBorders>
          </w:tcPr>
          <w:p>
            <w:pPr>
              <w:spacing w:after="0"/>
              <w:rPr>
                <w:sz w:val="3"/>
                <w:szCs w:val="3"/>
                <w:color w:val="auto"/>
              </w:rPr>
            </w:pPr>
          </w:p>
        </w:tc>
      </w:tr>
      <w:tr>
        <w:trPr>
          <w:trHeight w:val="214"/>
        </w:trPr>
        <w:tc>
          <w:tcPr>
            <w:tcW w:w="238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4"/>
                <w:szCs w:val="14"/>
                <w:b w:val="1"/>
                <w:bCs w:val="1"/>
                <w:color w:val="auto"/>
              </w:rPr>
              <w:t>Vishal Chhibbar</w:t>
            </w:r>
          </w:p>
        </w:tc>
        <w:tc>
          <w:tcPr>
            <w:tcW w:w="840" w:type="dxa"/>
            <w:vAlign w:val="bottom"/>
            <w:shd w:val="clear" w:color="auto" w:fill="F3F9FF"/>
          </w:tcPr>
          <w:p>
            <w:pPr>
              <w:ind w:left="180"/>
              <w:spacing w:after="0"/>
              <w:rPr>
                <w:sz w:val="20"/>
                <w:szCs w:val="20"/>
                <w:color w:val="auto"/>
              </w:rPr>
            </w:pPr>
            <w:r>
              <w:rPr>
                <w:rFonts w:ascii="Arial" w:cs="Arial" w:eastAsia="Arial" w:hAnsi="Arial"/>
                <w:sz w:val="14"/>
                <w:szCs w:val="14"/>
                <w:color w:val="auto"/>
              </w:rPr>
              <w:t>2019</w:t>
            </w:r>
          </w:p>
        </w:tc>
        <w:tc>
          <w:tcPr>
            <w:tcW w:w="10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427,808</w:t>
            </w:r>
          </w:p>
        </w:tc>
        <w:tc>
          <w:tcPr>
            <w:tcW w:w="360" w:type="dxa"/>
            <w:vAlign w:val="bottom"/>
            <w:shd w:val="clear" w:color="auto" w:fill="F3F9FF"/>
          </w:tcPr>
          <w:p>
            <w:pPr>
              <w:spacing w:after="0"/>
              <w:rPr>
                <w:sz w:val="18"/>
                <w:szCs w:val="18"/>
                <w:color w:val="auto"/>
              </w:rPr>
            </w:pPr>
          </w:p>
        </w:tc>
        <w:tc>
          <w:tcPr>
            <w:tcW w:w="1080" w:type="dxa"/>
            <w:vAlign w:val="bottom"/>
            <w:shd w:val="clear" w:color="auto" w:fill="F3F9FF"/>
          </w:tcPr>
          <w:p>
            <w:pPr>
              <w:ind w:left="820"/>
              <w:spacing w:after="0"/>
              <w:rPr>
                <w:sz w:val="20"/>
                <w:szCs w:val="20"/>
                <w:color w:val="auto"/>
              </w:rPr>
            </w:pPr>
            <w:r>
              <w:rPr>
                <w:rFonts w:ascii="Arial" w:cs="Arial" w:eastAsia="Arial" w:hAnsi="Arial"/>
                <w:sz w:val="14"/>
                <w:szCs w:val="14"/>
                <w:color w:val="auto"/>
              </w:rPr>
              <w:t>—</w:t>
            </w:r>
          </w:p>
        </w:tc>
        <w:tc>
          <w:tcPr>
            <w:tcW w:w="9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1,010,024</w:t>
            </w:r>
          </w:p>
        </w:tc>
        <w:tc>
          <w:tcPr>
            <w:tcW w:w="11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3F9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11,289</w:t>
            </w:r>
          </w:p>
        </w:tc>
        <w:tc>
          <w:tcPr>
            <w:tcW w:w="360" w:type="dxa"/>
            <w:vAlign w:val="bottom"/>
            <w:shd w:val="clear" w:color="auto" w:fill="F3F9FF"/>
          </w:tcPr>
          <w:p>
            <w:pPr>
              <w:jc w:val="right"/>
              <w:ind w:right="140"/>
              <w:spacing w:after="0"/>
              <w:rPr>
                <w:sz w:val="20"/>
                <w:szCs w:val="20"/>
                <w:color w:val="auto"/>
              </w:rPr>
            </w:pPr>
            <w:r>
              <w:rPr>
                <w:rFonts w:ascii="Arial" w:cs="Arial" w:eastAsia="Arial" w:hAnsi="Arial"/>
                <w:sz w:val="12"/>
                <w:szCs w:val="12"/>
                <w:color w:val="auto"/>
                <w:w w:val="95"/>
              </w:rPr>
              <w:t>(8)</w:t>
            </w:r>
          </w:p>
        </w:tc>
        <w:tc>
          <w:tcPr>
            <w:tcW w:w="940" w:type="dxa"/>
            <w:vAlign w:val="bottom"/>
            <w:tcBorders>
              <w:right w:val="single" w:sz="8" w:color="C3E6FF"/>
            </w:tcBorders>
            <w:shd w:val="clear" w:color="auto" w:fill="F3F9FF"/>
          </w:tcPr>
          <w:p>
            <w:pPr>
              <w:jc w:val="right"/>
              <w:ind w:right="28"/>
              <w:spacing w:after="0"/>
              <w:rPr>
                <w:sz w:val="20"/>
                <w:szCs w:val="20"/>
                <w:color w:val="auto"/>
              </w:rPr>
            </w:pPr>
            <w:r>
              <w:rPr>
                <w:rFonts w:ascii="Arial" w:cs="Arial" w:eastAsia="Arial" w:hAnsi="Arial"/>
                <w:sz w:val="14"/>
                <w:szCs w:val="14"/>
                <w:color w:val="auto"/>
              </w:rPr>
              <w:t>1,449,121</w:t>
            </w:r>
          </w:p>
        </w:tc>
      </w:tr>
      <w:tr>
        <w:trPr>
          <w:trHeight w:val="162"/>
        </w:trPr>
        <w:tc>
          <w:tcPr>
            <w:tcW w:w="238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4"/>
                <w:szCs w:val="14"/>
                <w:color w:val="auto"/>
              </w:rPr>
              <w:t>Former Executive Vice President</w:t>
            </w:r>
          </w:p>
        </w:tc>
        <w:tc>
          <w:tcPr>
            <w:tcW w:w="840" w:type="dxa"/>
            <w:vAlign w:val="bottom"/>
            <w:shd w:val="clear" w:color="auto" w:fill="F3F9FF"/>
          </w:tcPr>
          <w:p>
            <w:pPr>
              <w:ind w:left="180"/>
              <w:spacing w:after="0"/>
              <w:rPr>
                <w:sz w:val="20"/>
                <w:szCs w:val="20"/>
                <w:color w:val="auto"/>
              </w:rPr>
            </w:pPr>
            <w:r>
              <w:rPr>
                <w:rFonts w:ascii="Arial" w:cs="Arial" w:eastAsia="Arial" w:hAnsi="Arial"/>
                <w:sz w:val="14"/>
                <w:szCs w:val="14"/>
                <w:color w:val="auto"/>
              </w:rPr>
              <w:t>2018</w:t>
            </w:r>
          </w:p>
        </w:tc>
        <w:tc>
          <w:tcPr>
            <w:tcW w:w="10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437,671</w:t>
            </w:r>
          </w:p>
        </w:tc>
        <w:tc>
          <w:tcPr>
            <w:tcW w:w="360" w:type="dxa"/>
            <w:vAlign w:val="bottom"/>
            <w:shd w:val="clear" w:color="auto" w:fill="F3F9FF"/>
          </w:tcPr>
          <w:p>
            <w:pPr>
              <w:spacing w:after="0"/>
              <w:rPr>
                <w:sz w:val="14"/>
                <w:szCs w:val="14"/>
                <w:color w:val="auto"/>
              </w:rPr>
            </w:pPr>
          </w:p>
        </w:tc>
        <w:tc>
          <w:tcPr>
            <w:tcW w:w="1080" w:type="dxa"/>
            <w:vAlign w:val="bottom"/>
            <w:shd w:val="clear" w:color="auto" w:fill="F3F9FF"/>
          </w:tcPr>
          <w:p>
            <w:pPr>
              <w:ind w:left="820"/>
              <w:spacing w:after="0"/>
              <w:rPr>
                <w:sz w:val="20"/>
                <w:szCs w:val="20"/>
                <w:color w:val="auto"/>
              </w:rPr>
            </w:pPr>
            <w:r>
              <w:rPr>
                <w:rFonts w:ascii="Arial" w:cs="Arial" w:eastAsia="Arial" w:hAnsi="Arial"/>
                <w:sz w:val="14"/>
                <w:szCs w:val="14"/>
                <w:color w:val="auto"/>
              </w:rPr>
              <w:t>—</w:t>
            </w:r>
          </w:p>
        </w:tc>
        <w:tc>
          <w:tcPr>
            <w:tcW w:w="9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928,709</w:t>
            </w:r>
          </w:p>
        </w:tc>
        <w:tc>
          <w:tcPr>
            <w:tcW w:w="11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173,210</w:t>
            </w:r>
          </w:p>
        </w:tc>
        <w:tc>
          <w:tcPr>
            <w:tcW w:w="1160" w:type="dxa"/>
            <w:vAlign w:val="bottom"/>
            <w:shd w:val="clear" w:color="auto" w:fill="F3F9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11,465</w:t>
            </w:r>
          </w:p>
        </w:tc>
        <w:tc>
          <w:tcPr>
            <w:tcW w:w="360" w:type="dxa"/>
            <w:vAlign w:val="bottom"/>
            <w:shd w:val="clear" w:color="auto" w:fill="F3F9FF"/>
          </w:tcPr>
          <w:p>
            <w:pPr>
              <w:spacing w:after="0"/>
              <w:rPr>
                <w:sz w:val="14"/>
                <w:szCs w:val="14"/>
                <w:color w:val="auto"/>
              </w:rPr>
            </w:pPr>
          </w:p>
        </w:tc>
        <w:tc>
          <w:tcPr>
            <w:tcW w:w="940" w:type="dxa"/>
            <w:vAlign w:val="bottom"/>
            <w:tcBorders>
              <w:right w:val="single" w:sz="8" w:color="C3E6FF"/>
            </w:tcBorders>
            <w:shd w:val="clear" w:color="auto" w:fill="F3F9FF"/>
          </w:tcPr>
          <w:p>
            <w:pPr>
              <w:jc w:val="right"/>
              <w:ind w:right="28"/>
              <w:spacing w:after="0"/>
              <w:rPr>
                <w:sz w:val="20"/>
                <w:szCs w:val="20"/>
                <w:color w:val="auto"/>
              </w:rPr>
            </w:pPr>
            <w:r>
              <w:rPr>
                <w:rFonts w:ascii="Arial" w:cs="Arial" w:eastAsia="Arial" w:hAnsi="Arial"/>
                <w:sz w:val="14"/>
                <w:szCs w:val="14"/>
                <w:color w:val="auto"/>
              </w:rPr>
              <w:t>1,551,056</w:t>
            </w:r>
          </w:p>
        </w:tc>
      </w:tr>
      <w:tr>
        <w:trPr>
          <w:trHeight w:val="216"/>
        </w:trPr>
        <w:tc>
          <w:tcPr>
            <w:tcW w:w="2380" w:type="dxa"/>
            <w:vAlign w:val="bottom"/>
            <w:tcBorders>
              <w:left w:val="single" w:sz="8" w:color="C3E6FF"/>
              <w:bottom w:val="single" w:sz="8" w:color="F3F9FF"/>
            </w:tcBorders>
            <w:shd w:val="clear" w:color="auto" w:fill="F3F9FF"/>
          </w:tcPr>
          <w:p>
            <w:pPr>
              <w:ind w:left="120"/>
              <w:spacing w:after="0"/>
              <w:rPr>
                <w:sz w:val="20"/>
                <w:szCs w:val="20"/>
                <w:color w:val="auto"/>
              </w:rPr>
            </w:pPr>
            <w:r>
              <w:rPr>
                <w:rFonts w:ascii="Arial" w:cs="Arial" w:eastAsia="Arial" w:hAnsi="Arial"/>
                <w:sz w:val="14"/>
                <w:szCs w:val="14"/>
                <w:color w:val="auto"/>
              </w:rPr>
              <w:t>and CFO</w:t>
            </w:r>
          </w:p>
        </w:tc>
        <w:tc>
          <w:tcPr>
            <w:tcW w:w="840" w:type="dxa"/>
            <w:vAlign w:val="bottom"/>
            <w:tcBorders>
              <w:bottom w:val="single" w:sz="8" w:color="F3F9FF"/>
            </w:tcBorders>
            <w:shd w:val="clear" w:color="auto" w:fill="F3F9FF"/>
          </w:tcPr>
          <w:p>
            <w:pPr>
              <w:ind w:left="180"/>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400,000</w:t>
            </w:r>
          </w:p>
        </w:tc>
        <w:tc>
          <w:tcPr>
            <w:tcW w:w="360" w:type="dxa"/>
            <w:vAlign w:val="bottom"/>
            <w:tcBorders>
              <w:bottom w:val="single" w:sz="8" w:color="F3F9FF"/>
            </w:tcBorders>
            <w:shd w:val="clear" w:color="auto" w:fill="F3F9FF"/>
          </w:tcPr>
          <w:p>
            <w:pPr>
              <w:spacing w:after="0"/>
              <w:rPr>
                <w:sz w:val="18"/>
                <w:szCs w:val="18"/>
                <w:color w:val="auto"/>
              </w:rPr>
            </w:pPr>
          </w:p>
        </w:tc>
        <w:tc>
          <w:tcPr>
            <w:tcW w:w="1080" w:type="dxa"/>
            <w:vAlign w:val="bottom"/>
            <w:tcBorders>
              <w:bottom w:val="single" w:sz="8" w:color="F3F9FF"/>
            </w:tcBorders>
            <w:shd w:val="clear" w:color="auto" w:fill="F3F9FF"/>
          </w:tcPr>
          <w:p>
            <w:pPr>
              <w:spacing w:after="0"/>
              <w:rPr>
                <w:sz w:val="18"/>
                <w:szCs w:val="18"/>
                <w:color w:val="auto"/>
              </w:rPr>
            </w:pPr>
          </w:p>
        </w:tc>
        <w:tc>
          <w:tcPr>
            <w:tcW w:w="92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717,639</w:t>
            </w:r>
          </w:p>
        </w:tc>
        <w:tc>
          <w:tcPr>
            <w:tcW w:w="112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252,608</w:t>
            </w:r>
          </w:p>
        </w:tc>
        <w:tc>
          <w:tcPr>
            <w:tcW w:w="1160" w:type="dxa"/>
            <w:vAlign w:val="bottom"/>
            <w:tcBorders>
              <w:bottom w:val="single" w:sz="8" w:color="F3F9FF"/>
            </w:tcBorders>
            <w:shd w:val="clear" w:color="auto" w:fill="F3F9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8,990</w:t>
            </w:r>
          </w:p>
        </w:tc>
        <w:tc>
          <w:tcPr>
            <w:tcW w:w="360" w:type="dxa"/>
            <w:vAlign w:val="bottom"/>
            <w:tcBorders>
              <w:bottom w:val="single" w:sz="8" w:color="F3F9FF"/>
            </w:tcBorders>
            <w:shd w:val="clear" w:color="auto" w:fill="F3F9FF"/>
          </w:tcPr>
          <w:p>
            <w:pPr>
              <w:spacing w:after="0"/>
              <w:rPr>
                <w:sz w:val="18"/>
                <w:szCs w:val="18"/>
                <w:color w:val="auto"/>
              </w:rPr>
            </w:pPr>
          </w:p>
        </w:tc>
        <w:tc>
          <w:tcPr>
            <w:tcW w:w="940" w:type="dxa"/>
            <w:vAlign w:val="bottom"/>
            <w:tcBorders>
              <w:bottom w:val="single" w:sz="8" w:color="F3F9FF"/>
              <w:right w:val="single" w:sz="8" w:color="C3E6FF"/>
            </w:tcBorders>
            <w:shd w:val="clear" w:color="auto" w:fill="F3F9FF"/>
          </w:tcPr>
          <w:p>
            <w:pPr>
              <w:jc w:val="right"/>
              <w:ind w:right="28"/>
              <w:spacing w:after="0"/>
              <w:rPr>
                <w:sz w:val="20"/>
                <w:szCs w:val="20"/>
                <w:color w:val="auto"/>
              </w:rPr>
            </w:pPr>
            <w:r>
              <w:rPr>
                <w:rFonts w:ascii="Arial" w:cs="Arial" w:eastAsia="Arial" w:hAnsi="Arial"/>
                <w:sz w:val="14"/>
                <w:szCs w:val="14"/>
                <w:color w:val="auto"/>
              </w:rPr>
              <w:t>1,379,237</w:t>
            </w:r>
          </w:p>
        </w:tc>
      </w:tr>
      <w:tr>
        <w:trPr>
          <w:trHeight w:val="214"/>
        </w:trPr>
        <w:tc>
          <w:tcPr>
            <w:tcW w:w="2380" w:type="dxa"/>
            <w:vAlign w:val="bottom"/>
            <w:tcBorders>
              <w:top w:val="single" w:sz="8" w:color="C3E6FF"/>
              <w:left w:val="single" w:sz="8" w:color="C3E6FF"/>
            </w:tcBorders>
          </w:tcPr>
          <w:p>
            <w:pPr>
              <w:ind w:left="120"/>
              <w:spacing w:after="0"/>
              <w:rPr>
                <w:sz w:val="20"/>
                <w:szCs w:val="20"/>
                <w:color w:val="auto"/>
              </w:rPr>
            </w:pPr>
            <w:r>
              <w:rPr>
                <w:rFonts w:ascii="Arial" w:cs="Arial" w:eastAsia="Arial" w:hAnsi="Arial"/>
                <w:sz w:val="14"/>
                <w:szCs w:val="14"/>
                <w:b w:val="1"/>
                <w:bCs w:val="1"/>
                <w:color w:val="auto"/>
              </w:rPr>
              <w:t>Pavan Bagai</w:t>
            </w:r>
          </w:p>
        </w:tc>
        <w:tc>
          <w:tcPr>
            <w:tcW w:w="840" w:type="dxa"/>
            <w:vAlign w:val="bottom"/>
            <w:tcBorders>
              <w:top w:val="single" w:sz="8" w:color="C3E6FF"/>
            </w:tcBorders>
          </w:tcPr>
          <w:p>
            <w:pPr>
              <w:ind w:left="180"/>
              <w:spacing w:after="0"/>
              <w:rPr>
                <w:sz w:val="20"/>
                <w:szCs w:val="20"/>
                <w:color w:val="auto"/>
              </w:rPr>
            </w:pPr>
            <w:r>
              <w:rPr>
                <w:rFonts w:ascii="Arial" w:cs="Arial" w:eastAsia="Arial" w:hAnsi="Arial"/>
                <w:sz w:val="14"/>
                <w:szCs w:val="14"/>
                <w:color w:val="auto"/>
              </w:rPr>
              <w:t>2019</w:t>
            </w:r>
          </w:p>
        </w:tc>
        <w:tc>
          <w:tcPr>
            <w:tcW w:w="100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311,554</w:t>
            </w:r>
          </w:p>
        </w:tc>
        <w:tc>
          <w:tcPr>
            <w:tcW w:w="360" w:type="dxa"/>
            <w:vAlign w:val="bottom"/>
            <w:tcBorders>
              <w:top w:val="single" w:sz="8" w:color="C3E6FF"/>
            </w:tcBorders>
          </w:tcPr>
          <w:p>
            <w:pPr>
              <w:jc w:val="right"/>
              <w:ind w:right="120"/>
              <w:spacing w:after="0"/>
              <w:rPr>
                <w:sz w:val="20"/>
                <w:szCs w:val="20"/>
                <w:color w:val="auto"/>
              </w:rPr>
            </w:pPr>
            <w:r>
              <w:rPr>
                <w:rFonts w:ascii="Arial" w:cs="Arial" w:eastAsia="Arial" w:hAnsi="Arial"/>
                <w:sz w:val="12"/>
                <w:szCs w:val="12"/>
                <w:color w:val="auto"/>
              </w:rPr>
              <w:t>(2)</w:t>
            </w:r>
          </w:p>
        </w:tc>
        <w:tc>
          <w:tcPr>
            <w:tcW w:w="1080" w:type="dxa"/>
            <w:vAlign w:val="bottom"/>
            <w:tcBorders>
              <w:top w:val="single" w:sz="8" w:color="C3E6FF"/>
            </w:tcBorders>
          </w:tcPr>
          <w:p>
            <w:pPr>
              <w:ind w:left="8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1,557,454</w:t>
            </w:r>
          </w:p>
        </w:tc>
        <w:tc>
          <w:tcPr>
            <w:tcW w:w="112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323,814</w:t>
            </w:r>
          </w:p>
        </w:tc>
        <w:tc>
          <w:tcPr>
            <w:tcW w:w="1160" w:type="dxa"/>
            <w:vAlign w:val="bottom"/>
            <w:tcBorders>
              <w:top w:val="single" w:sz="8" w:color="C3E6FF"/>
            </w:tcBorders>
          </w:tcPr>
          <w:p>
            <w:pPr>
              <w:jc w:val="right"/>
              <w:ind w:right="9"/>
              <w:spacing w:after="0"/>
              <w:rPr>
                <w:sz w:val="20"/>
                <w:szCs w:val="20"/>
                <w:color w:val="auto"/>
              </w:rPr>
            </w:pPr>
            <w:r>
              <w:rPr>
                <w:rFonts w:ascii="Arial" w:cs="Arial" w:eastAsia="Arial" w:hAnsi="Arial"/>
                <w:sz w:val="14"/>
                <w:szCs w:val="14"/>
                <w:color w:val="auto"/>
              </w:rPr>
              <w:t>6,129</w:t>
            </w:r>
          </w:p>
        </w:tc>
        <w:tc>
          <w:tcPr>
            <w:tcW w:w="110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47,893</w:t>
            </w:r>
          </w:p>
        </w:tc>
        <w:tc>
          <w:tcPr>
            <w:tcW w:w="360" w:type="dxa"/>
            <w:vAlign w:val="bottom"/>
            <w:tcBorders>
              <w:top w:val="single" w:sz="8" w:color="C3E6FF"/>
            </w:tcBorders>
          </w:tcPr>
          <w:p>
            <w:pPr>
              <w:jc w:val="right"/>
              <w:ind w:right="140"/>
              <w:spacing w:after="0"/>
              <w:rPr>
                <w:sz w:val="20"/>
                <w:szCs w:val="20"/>
                <w:color w:val="auto"/>
              </w:rPr>
            </w:pPr>
            <w:r>
              <w:rPr>
                <w:rFonts w:ascii="Arial" w:cs="Arial" w:eastAsia="Arial" w:hAnsi="Arial"/>
                <w:sz w:val="12"/>
                <w:szCs w:val="12"/>
                <w:color w:val="auto"/>
                <w:w w:val="95"/>
              </w:rPr>
              <w:t>(9)</w:t>
            </w:r>
          </w:p>
        </w:tc>
        <w:tc>
          <w:tcPr>
            <w:tcW w:w="940" w:type="dxa"/>
            <w:vAlign w:val="bottom"/>
            <w:tcBorders>
              <w:top w:val="single" w:sz="8" w:color="C3E6FF"/>
              <w:right w:val="single" w:sz="8" w:color="C3E6FF"/>
            </w:tcBorders>
          </w:tcPr>
          <w:p>
            <w:pPr>
              <w:jc w:val="right"/>
              <w:ind w:right="28"/>
              <w:spacing w:after="0"/>
              <w:rPr>
                <w:sz w:val="20"/>
                <w:szCs w:val="20"/>
                <w:color w:val="auto"/>
              </w:rPr>
            </w:pPr>
            <w:r>
              <w:rPr>
                <w:rFonts w:ascii="Arial" w:cs="Arial" w:eastAsia="Arial" w:hAnsi="Arial"/>
                <w:sz w:val="14"/>
                <w:szCs w:val="14"/>
                <w:color w:val="auto"/>
              </w:rPr>
              <w:t>2,246,845</w:t>
            </w:r>
          </w:p>
        </w:tc>
      </w:tr>
      <w:tr>
        <w:trPr>
          <w:trHeight w:val="157"/>
        </w:trPr>
        <w:tc>
          <w:tcPr>
            <w:tcW w:w="2380" w:type="dxa"/>
            <w:vAlign w:val="bottom"/>
            <w:tcBorders>
              <w:left w:val="single" w:sz="8" w:color="C3E6FF"/>
            </w:tcBorders>
          </w:tcPr>
          <w:p>
            <w:pPr>
              <w:ind w:left="120"/>
              <w:spacing w:after="0" w:line="157" w:lineRule="exact"/>
              <w:rPr>
                <w:sz w:val="20"/>
                <w:szCs w:val="20"/>
                <w:color w:val="auto"/>
              </w:rPr>
            </w:pPr>
            <w:r>
              <w:rPr>
                <w:rFonts w:ascii="Arial" w:cs="Arial" w:eastAsia="Arial" w:hAnsi="Arial"/>
                <w:sz w:val="14"/>
                <w:szCs w:val="14"/>
                <w:color w:val="auto"/>
              </w:rPr>
              <w:t>President &amp; Chief Operating</w:t>
            </w:r>
          </w:p>
        </w:tc>
        <w:tc>
          <w:tcPr>
            <w:tcW w:w="840" w:type="dxa"/>
            <w:vAlign w:val="bottom"/>
          </w:tcPr>
          <w:p>
            <w:pPr>
              <w:ind w:left="180"/>
              <w:spacing w:after="0" w:line="157" w:lineRule="exact"/>
              <w:rPr>
                <w:sz w:val="20"/>
                <w:szCs w:val="20"/>
                <w:color w:val="auto"/>
              </w:rPr>
            </w:pPr>
            <w:r>
              <w:rPr>
                <w:rFonts w:ascii="Arial" w:cs="Arial" w:eastAsia="Arial" w:hAnsi="Arial"/>
                <w:sz w:val="14"/>
                <w:szCs w:val="14"/>
                <w:color w:val="auto"/>
              </w:rPr>
              <w:t>2018</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301,448</w:t>
            </w:r>
          </w:p>
        </w:tc>
        <w:tc>
          <w:tcPr>
            <w:tcW w:w="360" w:type="dxa"/>
            <w:vAlign w:val="bottom"/>
          </w:tcPr>
          <w:p>
            <w:pPr>
              <w:spacing w:after="0"/>
              <w:rPr>
                <w:sz w:val="13"/>
                <w:szCs w:val="13"/>
                <w:color w:val="auto"/>
              </w:rPr>
            </w:pPr>
          </w:p>
        </w:tc>
        <w:tc>
          <w:tcPr>
            <w:tcW w:w="1080" w:type="dxa"/>
            <w:vAlign w:val="bottom"/>
          </w:tcPr>
          <w:p>
            <w:pPr>
              <w:ind w:left="82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1,339,363</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133,946</w:t>
            </w:r>
          </w:p>
        </w:tc>
        <w:tc>
          <w:tcPr>
            <w:tcW w:w="1160" w:type="dxa"/>
            <w:vAlign w:val="bottom"/>
          </w:tcPr>
          <w:p>
            <w:pPr>
              <w:jc w:val="right"/>
              <w:ind w:right="9"/>
              <w:spacing w:after="0" w:line="157" w:lineRule="exact"/>
              <w:rPr>
                <w:sz w:val="20"/>
                <w:szCs w:val="20"/>
                <w:color w:val="auto"/>
              </w:rPr>
            </w:pPr>
            <w:r>
              <w:rPr>
                <w:rFonts w:ascii="Arial" w:cs="Arial" w:eastAsia="Arial" w:hAnsi="Arial"/>
                <w:sz w:val="14"/>
                <w:szCs w:val="14"/>
                <w:color w:val="auto"/>
              </w:rPr>
              <w:t>17,124</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57,284</w:t>
            </w:r>
          </w:p>
        </w:tc>
        <w:tc>
          <w:tcPr>
            <w:tcW w:w="360" w:type="dxa"/>
            <w:vAlign w:val="bottom"/>
          </w:tcPr>
          <w:p>
            <w:pPr>
              <w:spacing w:after="0"/>
              <w:rPr>
                <w:sz w:val="13"/>
                <w:szCs w:val="13"/>
                <w:color w:val="auto"/>
              </w:rPr>
            </w:pPr>
          </w:p>
        </w:tc>
        <w:tc>
          <w:tcPr>
            <w:tcW w:w="940" w:type="dxa"/>
            <w:vAlign w:val="bottom"/>
            <w:tcBorders>
              <w:right w:val="single" w:sz="8" w:color="C3E6FF"/>
            </w:tcBorders>
          </w:tcPr>
          <w:p>
            <w:pPr>
              <w:jc w:val="right"/>
              <w:ind w:right="28"/>
              <w:spacing w:after="0" w:line="157" w:lineRule="exact"/>
              <w:rPr>
                <w:sz w:val="20"/>
                <w:szCs w:val="20"/>
                <w:color w:val="auto"/>
              </w:rPr>
            </w:pPr>
            <w:r>
              <w:rPr>
                <w:rFonts w:ascii="Arial" w:cs="Arial" w:eastAsia="Arial" w:hAnsi="Arial"/>
                <w:sz w:val="14"/>
                <w:szCs w:val="14"/>
                <w:color w:val="auto"/>
              </w:rPr>
              <w:t>1,849,164</w:t>
            </w:r>
          </w:p>
        </w:tc>
      </w:tr>
      <w:tr>
        <w:trPr>
          <w:trHeight w:val="243"/>
        </w:trPr>
        <w:tc>
          <w:tcPr>
            <w:tcW w:w="2380" w:type="dxa"/>
            <w:vAlign w:val="bottom"/>
            <w:tcBorders>
              <w:left w:val="single" w:sz="8" w:color="C3E6FF"/>
              <w:bottom w:val="single" w:sz="8" w:color="C3E6FF"/>
            </w:tcBorders>
          </w:tcPr>
          <w:p>
            <w:pPr>
              <w:ind w:left="120"/>
              <w:spacing w:after="0" w:line="243" w:lineRule="exact"/>
              <w:rPr>
                <w:sz w:val="20"/>
                <w:szCs w:val="20"/>
                <w:color w:val="auto"/>
              </w:rPr>
            </w:pPr>
            <w:r>
              <w:rPr>
                <w:rFonts w:ascii="Arial" w:cs="Arial" w:eastAsia="Arial" w:hAnsi="Arial"/>
                <w:sz w:val="14"/>
                <w:szCs w:val="14"/>
                <w:color w:val="auto"/>
              </w:rPr>
              <w:t>Officer and Interim CFO</w:t>
            </w:r>
            <w:r>
              <w:rPr>
                <w:rFonts w:ascii="Arial" w:cs="Arial" w:eastAsia="Arial" w:hAnsi="Arial"/>
                <w:sz w:val="23"/>
                <w:szCs w:val="23"/>
                <w:color w:val="auto"/>
                <w:vertAlign w:val="superscript"/>
              </w:rPr>
              <w:t>(1)</w:t>
            </w:r>
          </w:p>
        </w:tc>
        <w:tc>
          <w:tcPr>
            <w:tcW w:w="840" w:type="dxa"/>
            <w:vAlign w:val="bottom"/>
            <w:tcBorders>
              <w:bottom w:val="single" w:sz="8" w:color="C3E6FF"/>
            </w:tcBorders>
          </w:tcPr>
          <w:p>
            <w:pPr>
              <w:ind w:left="180"/>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296,139</w:t>
            </w:r>
          </w:p>
        </w:tc>
        <w:tc>
          <w:tcPr>
            <w:tcW w:w="360" w:type="dxa"/>
            <w:vAlign w:val="bottom"/>
            <w:tcBorders>
              <w:bottom w:val="single" w:sz="8" w:color="C3E6FF"/>
            </w:tcBorders>
          </w:tcPr>
          <w:p>
            <w:pPr>
              <w:spacing w:after="0"/>
              <w:rPr>
                <w:sz w:val="21"/>
                <w:szCs w:val="21"/>
                <w:color w:val="auto"/>
              </w:rPr>
            </w:pPr>
          </w:p>
        </w:tc>
        <w:tc>
          <w:tcPr>
            <w:tcW w:w="1080" w:type="dxa"/>
            <w:vAlign w:val="bottom"/>
            <w:tcBorders>
              <w:bottom w:val="single" w:sz="8" w:color="C3E6FF"/>
            </w:tcBorders>
          </w:tcPr>
          <w:p>
            <w:pPr>
              <w:ind w:left="8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1,134,418</w:t>
            </w:r>
          </w:p>
        </w:tc>
        <w:tc>
          <w:tcPr>
            <w:tcW w:w="112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265,561</w:t>
            </w:r>
          </w:p>
        </w:tc>
        <w:tc>
          <w:tcPr>
            <w:tcW w:w="1160" w:type="dxa"/>
            <w:vAlign w:val="bottom"/>
            <w:tcBorders>
              <w:bottom w:val="single" w:sz="8" w:color="C3E6FF"/>
            </w:tcBorders>
          </w:tcPr>
          <w:p>
            <w:pPr>
              <w:jc w:val="right"/>
              <w:ind w:right="9"/>
              <w:spacing w:after="0"/>
              <w:rPr>
                <w:sz w:val="20"/>
                <w:szCs w:val="20"/>
                <w:color w:val="auto"/>
              </w:rPr>
            </w:pPr>
            <w:r>
              <w:rPr>
                <w:rFonts w:ascii="Arial" w:cs="Arial" w:eastAsia="Arial" w:hAnsi="Arial"/>
                <w:sz w:val="14"/>
                <w:szCs w:val="14"/>
                <w:color w:val="auto"/>
              </w:rPr>
              <w:t>6,059</w:t>
            </w:r>
          </w:p>
        </w:tc>
        <w:tc>
          <w:tcPr>
            <w:tcW w:w="110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66,207</w:t>
            </w:r>
          </w:p>
        </w:tc>
        <w:tc>
          <w:tcPr>
            <w:tcW w:w="360" w:type="dxa"/>
            <w:vAlign w:val="bottom"/>
            <w:tcBorders>
              <w:bottom w:val="single" w:sz="8" w:color="C3E6FF"/>
            </w:tcBorders>
          </w:tcPr>
          <w:p>
            <w:pPr>
              <w:spacing w:after="0"/>
              <w:rPr>
                <w:sz w:val="21"/>
                <w:szCs w:val="21"/>
                <w:color w:val="auto"/>
              </w:rPr>
            </w:pPr>
          </w:p>
        </w:tc>
        <w:tc>
          <w:tcPr>
            <w:tcW w:w="940" w:type="dxa"/>
            <w:vAlign w:val="bottom"/>
            <w:tcBorders>
              <w:bottom w:val="single" w:sz="8" w:color="C3E6FF"/>
              <w:right w:val="single" w:sz="8" w:color="C3E6FF"/>
            </w:tcBorders>
          </w:tcPr>
          <w:p>
            <w:pPr>
              <w:jc w:val="right"/>
              <w:ind w:right="28"/>
              <w:spacing w:after="0"/>
              <w:rPr>
                <w:sz w:val="20"/>
                <w:szCs w:val="20"/>
                <w:color w:val="auto"/>
              </w:rPr>
            </w:pPr>
            <w:r>
              <w:rPr>
                <w:rFonts w:ascii="Arial" w:cs="Arial" w:eastAsia="Arial" w:hAnsi="Arial"/>
                <w:sz w:val="14"/>
                <w:szCs w:val="14"/>
                <w:color w:val="auto"/>
              </w:rPr>
              <w:t>1,768,384</w:t>
            </w:r>
          </w:p>
        </w:tc>
      </w:tr>
      <w:tr>
        <w:trPr>
          <w:trHeight w:val="214"/>
        </w:trPr>
        <w:tc>
          <w:tcPr>
            <w:tcW w:w="238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4"/>
                <w:szCs w:val="14"/>
                <w:b w:val="1"/>
                <w:bCs w:val="1"/>
                <w:color w:val="auto"/>
              </w:rPr>
              <w:t>Nalin Miglani</w:t>
            </w:r>
          </w:p>
        </w:tc>
        <w:tc>
          <w:tcPr>
            <w:tcW w:w="840" w:type="dxa"/>
            <w:vAlign w:val="bottom"/>
            <w:shd w:val="clear" w:color="auto" w:fill="F3F9FF"/>
          </w:tcPr>
          <w:p>
            <w:pPr>
              <w:ind w:left="180"/>
              <w:spacing w:after="0"/>
              <w:rPr>
                <w:sz w:val="20"/>
                <w:szCs w:val="20"/>
                <w:color w:val="auto"/>
              </w:rPr>
            </w:pPr>
            <w:r>
              <w:rPr>
                <w:rFonts w:ascii="Arial" w:cs="Arial" w:eastAsia="Arial" w:hAnsi="Arial"/>
                <w:sz w:val="14"/>
                <w:szCs w:val="14"/>
                <w:color w:val="auto"/>
              </w:rPr>
              <w:t>2019</w:t>
            </w:r>
          </w:p>
        </w:tc>
        <w:tc>
          <w:tcPr>
            <w:tcW w:w="10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450,000</w:t>
            </w:r>
          </w:p>
        </w:tc>
        <w:tc>
          <w:tcPr>
            <w:tcW w:w="360" w:type="dxa"/>
            <w:vAlign w:val="bottom"/>
            <w:shd w:val="clear" w:color="auto" w:fill="F3F9FF"/>
          </w:tcPr>
          <w:p>
            <w:pPr>
              <w:spacing w:after="0"/>
              <w:rPr>
                <w:sz w:val="18"/>
                <w:szCs w:val="18"/>
                <w:color w:val="auto"/>
              </w:rPr>
            </w:pPr>
          </w:p>
        </w:tc>
        <w:tc>
          <w:tcPr>
            <w:tcW w:w="1080" w:type="dxa"/>
            <w:vAlign w:val="bottom"/>
            <w:shd w:val="clear" w:color="auto" w:fill="F3F9FF"/>
          </w:tcPr>
          <w:p>
            <w:pPr>
              <w:ind w:left="820"/>
              <w:spacing w:after="0"/>
              <w:rPr>
                <w:sz w:val="20"/>
                <w:szCs w:val="20"/>
                <w:color w:val="auto"/>
              </w:rPr>
            </w:pPr>
            <w:r>
              <w:rPr>
                <w:rFonts w:ascii="Arial" w:cs="Arial" w:eastAsia="Arial" w:hAnsi="Arial"/>
                <w:sz w:val="14"/>
                <w:szCs w:val="14"/>
                <w:color w:val="auto"/>
              </w:rPr>
              <w:t>—</w:t>
            </w:r>
          </w:p>
        </w:tc>
        <w:tc>
          <w:tcPr>
            <w:tcW w:w="9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880,294</w:t>
            </w:r>
          </w:p>
        </w:tc>
        <w:tc>
          <w:tcPr>
            <w:tcW w:w="11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411,735</w:t>
            </w:r>
          </w:p>
        </w:tc>
        <w:tc>
          <w:tcPr>
            <w:tcW w:w="1160" w:type="dxa"/>
            <w:vAlign w:val="bottom"/>
            <w:shd w:val="clear" w:color="auto" w:fill="F3F9FF"/>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F3F9FF"/>
          </w:tcPr>
          <w:p>
            <w:pPr>
              <w:jc w:val="right"/>
              <w:ind w:right="140"/>
              <w:spacing w:after="0" w:line="214" w:lineRule="exact"/>
              <w:rPr>
                <w:sz w:val="20"/>
                <w:szCs w:val="20"/>
                <w:color w:val="auto"/>
              </w:rPr>
            </w:pPr>
            <w:r>
              <w:rPr>
                <w:rFonts w:ascii="Arial" w:cs="Arial" w:eastAsia="Arial" w:hAnsi="Arial"/>
                <w:sz w:val="14"/>
                <w:szCs w:val="14"/>
                <w:color w:val="auto"/>
              </w:rPr>
              <w:t>9,444</w:t>
            </w:r>
            <w:r>
              <w:rPr>
                <w:rFonts w:ascii="Arial" w:cs="Arial" w:eastAsia="Arial" w:hAnsi="Arial"/>
                <w:sz w:val="23"/>
                <w:szCs w:val="23"/>
                <w:color w:val="auto"/>
                <w:vertAlign w:val="subscript"/>
              </w:rPr>
              <w:t>(10)</w:t>
            </w:r>
          </w:p>
        </w:tc>
        <w:tc>
          <w:tcPr>
            <w:tcW w:w="940" w:type="dxa"/>
            <w:vAlign w:val="bottom"/>
            <w:tcBorders>
              <w:right w:val="single" w:sz="8" w:color="C3E6FF"/>
            </w:tcBorders>
            <w:shd w:val="clear" w:color="auto" w:fill="F3F9FF"/>
          </w:tcPr>
          <w:p>
            <w:pPr>
              <w:jc w:val="right"/>
              <w:ind w:right="28"/>
              <w:spacing w:after="0"/>
              <w:rPr>
                <w:sz w:val="20"/>
                <w:szCs w:val="20"/>
                <w:color w:val="auto"/>
              </w:rPr>
            </w:pPr>
            <w:r>
              <w:rPr>
                <w:rFonts w:ascii="Arial" w:cs="Arial" w:eastAsia="Arial" w:hAnsi="Arial"/>
                <w:sz w:val="14"/>
                <w:szCs w:val="14"/>
                <w:color w:val="auto"/>
              </w:rPr>
              <w:t>1,751,473</w:t>
            </w:r>
          </w:p>
        </w:tc>
      </w:tr>
      <w:tr>
        <w:trPr>
          <w:trHeight w:val="162"/>
        </w:trPr>
        <w:tc>
          <w:tcPr>
            <w:tcW w:w="238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4"/>
                <w:szCs w:val="14"/>
                <w:color w:val="auto"/>
              </w:rPr>
              <w:t>Executive Vice President and</w:t>
            </w:r>
          </w:p>
        </w:tc>
        <w:tc>
          <w:tcPr>
            <w:tcW w:w="840" w:type="dxa"/>
            <w:vAlign w:val="bottom"/>
            <w:shd w:val="clear" w:color="auto" w:fill="F3F9FF"/>
          </w:tcPr>
          <w:p>
            <w:pPr>
              <w:ind w:left="180"/>
              <w:spacing w:after="0"/>
              <w:rPr>
                <w:sz w:val="20"/>
                <w:szCs w:val="20"/>
                <w:color w:val="auto"/>
              </w:rPr>
            </w:pPr>
            <w:r>
              <w:rPr>
                <w:rFonts w:ascii="Arial" w:cs="Arial" w:eastAsia="Arial" w:hAnsi="Arial"/>
                <w:sz w:val="14"/>
                <w:szCs w:val="14"/>
                <w:color w:val="auto"/>
              </w:rPr>
              <w:t>2018</w:t>
            </w:r>
          </w:p>
        </w:tc>
        <w:tc>
          <w:tcPr>
            <w:tcW w:w="10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440,137</w:t>
            </w:r>
          </w:p>
        </w:tc>
        <w:tc>
          <w:tcPr>
            <w:tcW w:w="360" w:type="dxa"/>
            <w:vAlign w:val="bottom"/>
            <w:shd w:val="clear" w:color="auto" w:fill="F3F9FF"/>
          </w:tcPr>
          <w:p>
            <w:pPr>
              <w:spacing w:after="0"/>
              <w:rPr>
                <w:sz w:val="14"/>
                <w:szCs w:val="14"/>
                <w:color w:val="auto"/>
              </w:rPr>
            </w:pPr>
          </w:p>
        </w:tc>
        <w:tc>
          <w:tcPr>
            <w:tcW w:w="1080" w:type="dxa"/>
            <w:vAlign w:val="bottom"/>
            <w:shd w:val="clear" w:color="auto" w:fill="F3F9FF"/>
          </w:tcPr>
          <w:p>
            <w:pPr>
              <w:ind w:left="820"/>
              <w:spacing w:after="0"/>
              <w:rPr>
                <w:sz w:val="20"/>
                <w:szCs w:val="20"/>
                <w:color w:val="auto"/>
              </w:rPr>
            </w:pPr>
            <w:r>
              <w:rPr>
                <w:rFonts w:ascii="Arial" w:cs="Arial" w:eastAsia="Arial" w:hAnsi="Arial"/>
                <w:sz w:val="14"/>
                <w:szCs w:val="14"/>
                <w:color w:val="auto"/>
              </w:rPr>
              <w:t>—</w:t>
            </w:r>
          </w:p>
        </w:tc>
        <w:tc>
          <w:tcPr>
            <w:tcW w:w="9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809,936</w:t>
            </w:r>
          </w:p>
        </w:tc>
        <w:tc>
          <w:tcPr>
            <w:tcW w:w="11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164,579</w:t>
            </w:r>
          </w:p>
        </w:tc>
        <w:tc>
          <w:tcPr>
            <w:tcW w:w="1160" w:type="dxa"/>
            <w:vAlign w:val="bottom"/>
            <w:shd w:val="clear" w:color="auto" w:fill="F3F9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shd w:val="clear" w:color="auto" w:fill="F3F9FF"/>
          </w:tcPr>
          <w:p>
            <w:pPr>
              <w:jc w:val="right"/>
              <w:spacing w:after="0"/>
              <w:rPr>
                <w:sz w:val="20"/>
                <w:szCs w:val="20"/>
                <w:color w:val="auto"/>
              </w:rPr>
            </w:pPr>
            <w:r>
              <w:rPr>
                <w:rFonts w:ascii="Arial" w:cs="Arial" w:eastAsia="Arial" w:hAnsi="Arial"/>
                <w:sz w:val="14"/>
                <w:szCs w:val="14"/>
                <w:color w:val="auto"/>
              </w:rPr>
              <w:t>8,640</w:t>
            </w:r>
          </w:p>
        </w:tc>
        <w:tc>
          <w:tcPr>
            <w:tcW w:w="360" w:type="dxa"/>
            <w:vAlign w:val="bottom"/>
            <w:shd w:val="clear" w:color="auto" w:fill="F3F9FF"/>
          </w:tcPr>
          <w:p>
            <w:pPr>
              <w:spacing w:after="0"/>
              <w:rPr>
                <w:sz w:val="14"/>
                <w:szCs w:val="14"/>
                <w:color w:val="auto"/>
              </w:rPr>
            </w:pPr>
          </w:p>
        </w:tc>
        <w:tc>
          <w:tcPr>
            <w:tcW w:w="940" w:type="dxa"/>
            <w:vAlign w:val="bottom"/>
            <w:tcBorders>
              <w:right w:val="single" w:sz="8" w:color="C3E6FF"/>
            </w:tcBorders>
            <w:shd w:val="clear" w:color="auto" w:fill="F3F9FF"/>
          </w:tcPr>
          <w:p>
            <w:pPr>
              <w:jc w:val="right"/>
              <w:ind w:right="28"/>
              <w:spacing w:after="0"/>
              <w:rPr>
                <w:sz w:val="20"/>
                <w:szCs w:val="20"/>
                <w:color w:val="auto"/>
              </w:rPr>
            </w:pPr>
            <w:r>
              <w:rPr>
                <w:rFonts w:ascii="Arial" w:cs="Arial" w:eastAsia="Arial" w:hAnsi="Arial"/>
                <w:sz w:val="14"/>
                <w:szCs w:val="14"/>
                <w:color w:val="auto"/>
              </w:rPr>
              <w:t>1,423,292</w:t>
            </w:r>
          </w:p>
        </w:tc>
      </w:tr>
      <w:tr>
        <w:trPr>
          <w:trHeight w:val="216"/>
        </w:trPr>
        <w:tc>
          <w:tcPr>
            <w:tcW w:w="2380" w:type="dxa"/>
            <w:vAlign w:val="bottom"/>
            <w:tcBorders>
              <w:left w:val="single" w:sz="8" w:color="C3E6FF"/>
              <w:bottom w:val="single" w:sz="8" w:color="F3F9FF"/>
            </w:tcBorders>
            <w:shd w:val="clear" w:color="auto" w:fill="F3F9FF"/>
          </w:tcPr>
          <w:p>
            <w:pPr>
              <w:ind w:left="120"/>
              <w:spacing w:after="0"/>
              <w:rPr>
                <w:sz w:val="20"/>
                <w:szCs w:val="20"/>
                <w:color w:val="auto"/>
              </w:rPr>
            </w:pPr>
            <w:r>
              <w:rPr>
                <w:rFonts w:ascii="Arial" w:cs="Arial" w:eastAsia="Arial" w:hAnsi="Arial"/>
                <w:sz w:val="14"/>
                <w:szCs w:val="14"/>
                <w:color w:val="auto"/>
              </w:rPr>
              <w:t>Chief Human Resources Officer</w:t>
            </w:r>
          </w:p>
        </w:tc>
        <w:tc>
          <w:tcPr>
            <w:tcW w:w="840" w:type="dxa"/>
            <w:vAlign w:val="bottom"/>
            <w:tcBorders>
              <w:bottom w:val="single" w:sz="8" w:color="F3F9FF"/>
            </w:tcBorders>
            <w:shd w:val="clear" w:color="auto" w:fill="F3F9FF"/>
          </w:tcPr>
          <w:p>
            <w:pPr>
              <w:ind w:left="180"/>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410,000</w:t>
            </w:r>
          </w:p>
        </w:tc>
        <w:tc>
          <w:tcPr>
            <w:tcW w:w="360" w:type="dxa"/>
            <w:vAlign w:val="bottom"/>
            <w:tcBorders>
              <w:bottom w:val="single" w:sz="8" w:color="F3F9FF"/>
            </w:tcBorders>
            <w:shd w:val="clear" w:color="auto" w:fill="F3F9FF"/>
          </w:tcPr>
          <w:p>
            <w:pPr>
              <w:spacing w:after="0"/>
              <w:rPr>
                <w:sz w:val="18"/>
                <w:szCs w:val="18"/>
                <w:color w:val="auto"/>
              </w:rPr>
            </w:pPr>
          </w:p>
        </w:tc>
        <w:tc>
          <w:tcPr>
            <w:tcW w:w="1080" w:type="dxa"/>
            <w:vAlign w:val="bottom"/>
            <w:tcBorders>
              <w:bottom w:val="single" w:sz="8" w:color="F3F9FF"/>
            </w:tcBorders>
            <w:shd w:val="clear" w:color="auto" w:fill="F3F9FF"/>
          </w:tcPr>
          <w:p>
            <w:pPr>
              <w:ind w:left="8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705,312</w:t>
            </w:r>
          </w:p>
        </w:tc>
        <w:tc>
          <w:tcPr>
            <w:tcW w:w="112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249,083</w:t>
            </w:r>
          </w:p>
        </w:tc>
        <w:tc>
          <w:tcPr>
            <w:tcW w:w="1160" w:type="dxa"/>
            <w:vAlign w:val="bottom"/>
            <w:tcBorders>
              <w:bottom w:val="single" w:sz="8" w:color="F3F9FF"/>
            </w:tcBorders>
            <w:shd w:val="clear" w:color="auto" w:fill="F3F9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3F9FF"/>
            </w:tcBorders>
            <w:shd w:val="clear" w:color="auto" w:fill="F3F9FF"/>
          </w:tcPr>
          <w:p>
            <w:pPr>
              <w:jc w:val="right"/>
              <w:spacing w:after="0"/>
              <w:rPr>
                <w:sz w:val="20"/>
                <w:szCs w:val="20"/>
                <w:color w:val="auto"/>
              </w:rPr>
            </w:pPr>
            <w:r>
              <w:rPr>
                <w:rFonts w:ascii="Arial" w:cs="Arial" w:eastAsia="Arial" w:hAnsi="Arial"/>
                <w:sz w:val="14"/>
                <w:szCs w:val="14"/>
                <w:color w:val="auto"/>
              </w:rPr>
              <w:t>8,490</w:t>
            </w:r>
          </w:p>
        </w:tc>
        <w:tc>
          <w:tcPr>
            <w:tcW w:w="360" w:type="dxa"/>
            <w:vAlign w:val="bottom"/>
            <w:tcBorders>
              <w:bottom w:val="single" w:sz="8" w:color="F3F9FF"/>
            </w:tcBorders>
            <w:shd w:val="clear" w:color="auto" w:fill="F3F9FF"/>
          </w:tcPr>
          <w:p>
            <w:pPr>
              <w:spacing w:after="0"/>
              <w:rPr>
                <w:sz w:val="18"/>
                <w:szCs w:val="18"/>
                <w:color w:val="auto"/>
              </w:rPr>
            </w:pPr>
          </w:p>
        </w:tc>
        <w:tc>
          <w:tcPr>
            <w:tcW w:w="940" w:type="dxa"/>
            <w:vAlign w:val="bottom"/>
            <w:tcBorders>
              <w:bottom w:val="single" w:sz="8" w:color="F3F9FF"/>
              <w:right w:val="single" w:sz="8" w:color="C3E6FF"/>
            </w:tcBorders>
            <w:shd w:val="clear" w:color="auto" w:fill="F3F9FF"/>
          </w:tcPr>
          <w:p>
            <w:pPr>
              <w:jc w:val="right"/>
              <w:ind w:right="28"/>
              <w:spacing w:after="0"/>
              <w:rPr>
                <w:sz w:val="20"/>
                <w:szCs w:val="20"/>
                <w:color w:val="auto"/>
              </w:rPr>
            </w:pPr>
            <w:r>
              <w:rPr>
                <w:rFonts w:ascii="Arial" w:cs="Arial" w:eastAsia="Arial" w:hAnsi="Arial"/>
                <w:sz w:val="14"/>
                <w:szCs w:val="14"/>
                <w:color w:val="auto"/>
              </w:rPr>
              <w:t>1,372,885</w:t>
            </w:r>
          </w:p>
        </w:tc>
      </w:tr>
      <w:tr>
        <w:trPr>
          <w:trHeight w:val="214"/>
        </w:trPr>
        <w:tc>
          <w:tcPr>
            <w:tcW w:w="2380" w:type="dxa"/>
            <w:vAlign w:val="bottom"/>
            <w:tcBorders>
              <w:top w:val="single" w:sz="8" w:color="C3E6FF"/>
              <w:left w:val="single" w:sz="8" w:color="C3E6FF"/>
            </w:tcBorders>
          </w:tcPr>
          <w:p>
            <w:pPr>
              <w:ind w:left="120"/>
              <w:spacing w:after="0"/>
              <w:rPr>
                <w:sz w:val="20"/>
                <w:szCs w:val="20"/>
                <w:color w:val="auto"/>
              </w:rPr>
            </w:pPr>
            <w:r>
              <w:rPr>
                <w:rFonts w:ascii="Arial" w:cs="Arial" w:eastAsia="Arial" w:hAnsi="Arial"/>
                <w:sz w:val="14"/>
                <w:szCs w:val="14"/>
                <w:b w:val="1"/>
                <w:bCs w:val="1"/>
                <w:color w:val="auto"/>
              </w:rPr>
              <w:t>Vikas Bhalla</w:t>
            </w:r>
          </w:p>
        </w:tc>
        <w:tc>
          <w:tcPr>
            <w:tcW w:w="840" w:type="dxa"/>
            <w:vAlign w:val="bottom"/>
            <w:tcBorders>
              <w:top w:val="single" w:sz="8" w:color="C3E6FF"/>
            </w:tcBorders>
          </w:tcPr>
          <w:p>
            <w:pPr>
              <w:ind w:left="180"/>
              <w:spacing w:after="0"/>
              <w:rPr>
                <w:sz w:val="20"/>
                <w:szCs w:val="20"/>
                <w:color w:val="auto"/>
              </w:rPr>
            </w:pPr>
            <w:r>
              <w:rPr>
                <w:rFonts w:ascii="Arial" w:cs="Arial" w:eastAsia="Arial" w:hAnsi="Arial"/>
                <w:sz w:val="14"/>
                <w:szCs w:val="14"/>
                <w:color w:val="auto"/>
              </w:rPr>
              <w:t>2019</w:t>
            </w:r>
          </w:p>
        </w:tc>
        <w:tc>
          <w:tcPr>
            <w:tcW w:w="100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263,809</w:t>
            </w:r>
          </w:p>
        </w:tc>
        <w:tc>
          <w:tcPr>
            <w:tcW w:w="360" w:type="dxa"/>
            <w:vAlign w:val="bottom"/>
            <w:tcBorders>
              <w:top w:val="single" w:sz="8" w:color="C3E6FF"/>
            </w:tcBorders>
          </w:tcPr>
          <w:p>
            <w:pPr>
              <w:jc w:val="right"/>
              <w:ind w:right="120"/>
              <w:spacing w:after="0"/>
              <w:rPr>
                <w:sz w:val="20"/>
                <w:szCs w:val="20"/>
                <w:color w:val="auto"/>
              </w:rPr>
            </w:pPr>
            <w:r>
              <w:rPr>
                <w:rFonts w:ascii="Arial" w:cs="Arial" w:eastAsia="Arial" w:hAnsi="Arial"/>
                <w:sz w:val="12"/>
                <w:szCs w:val="12"/>
                <w:color w:val="auto"/>
              </w:rPr>
              <w:t>(3)</w:t>
            </w:r>
          </w:p>
        </w:tc>
        <w:tc>
          <w:tcPr>
            <w:tcW w:w="1080" w:type="dxa"/>
            <w:vAlign w:val="bottom"/>
            <w:tcBorders>
              <w:top w:val="single" w:sz="8" w:color="C3E6FF"/>
            </w:tcBorders>
          </w:tcPr>
          <w:p>
            <w:pPr>
              <w:ind w:left="8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973,685</w:t>
            </w:r>
          </w:p>
        </w:tc>
        <w:tc>
          <w:tcPr>
            <w:tcW w:w="1120" w:type="dxa"/>
            <w:vAlign w:val="bottom"/>
            <w:tcBorders>
              <w:top w:val="single" w:sz="8" w:color="C3E6FF"/>
            </w:tcBorders>
          </w:tcPr>
          <w:p>
            <w:pPr>
              <w:jc w:val="right"/>
              <w:spacing w:after="0"/>
              <w:rPr>
                <w:sz w:val="20"/>
                <w:szCs w:val="20"/>
                <w:color w:val="auto"/>
              </w:rPr>
            </w:pPr>
            <w:r>
              <w:rPr>
                <w:rFonts w:ascii="Arial" w:cs="Arial" w:eastAsia="Arial" w:hAnsi="Arial"/>
                <w:sz w:val="14"/>
                <w:szCs w:val="14"/>
                <w:color w:val="auto"/>
              </w:rPr>
              <w:t>285,636</w:t>
            </w:r>
          </w:p>
        </w:tc>
        <w:tc>
          <w:tcPr>
            <w:tcW w:w="1160" w:type="dxa"/>
            <w:vAlign w:val="bottom"/>
            <w:tcBorders>
              <w:top w:val="single" w:sz="8" w:color="C3E6FF"/>
            </w:tcBorders>
          </w:tcPr>
          <w:p>
            <w:pPr>
              <w:jc w:val="right"/>
              <w:ind w:right="9"/>
              <w:spacing w:after="0"/>
              <w:rPr>
                <w:sz w:val="20"/>
                <w:szCs w:val="20"/>
                <w:color w:val="auto"/>
              </w:rPr>
            </w:pPr>
            <w:r>
              <w:rPr>
                <w:rFonts w:ascii="Arial" w:cs="Arial" w:eastAsia="Arial" w:hAnsi="Arial"/>
                <w:sz w:val="14"/>
                <w:szCs w:val="14"/>
                <w:color w:val="auto"/>
              </w:rPr>
              <w:t>5,186</w:t>
            </w:r>
          </w:p>
        </w:tc>
        <w:tc>
          <w:tcPr>
            <w:tcW w:w="1460" w:type="dxa"/>
            <w:vAlign w:val="bottom"/>
            <w:tcBorders>
              <w:top w:val="single" w:sz="8" w:color="C3E6FF"/>
            </w:tcBorders>
            <w:gridSpan w:val="2"/>
          </w:tcPr>
          <w:p>
            <w:pPr>
              <w:jc w:val="right"/>
              <w:ind w:right="140"/>
              <w:spacing w:after="0" w:line="214" w:lineRule="exact"/>
              <w:rPr>
                <w:sz w:val="20"/>
                <w:szCs w:val="20"/>
                <w:color w:val="auto"/>
              </w:rPr>
            </w:pPr>
            <w:r>
              <w:rPr>
                <w:rFonts w:ascii="Arial" w:cs="Arial" w:eastAsia="Arial" w:hAnsi="Arial"/>
                <w:sz w:val="14"/>
                <w:szCs w:val="14"/>
                <w:color w:val="auto"/>
              </w:rPr>
              <w:t>40,367</w:t>
            </w:r>
            <w:r>
              <w:rPr>
                <w:rFonts w:ascii="Arial" w:cs="Arial" w:eastAsia="Arial" w:hAnsi="Arial"/>
                <w:sz w:val="23"/>
                <w:szCs w:val="23"/>
                <w:color w:val="auto"/>
                <w:vertAlign w:val="subscript"/>
              </w:rPr>
              <w:t>(11)</w:t>
            </w:r>
          </w:p>
        </w:tc>
        <w:tc>
          <w:tcPr>
            <w:tcW w:w="940" w:type="dxa"/>
            <w:vAlign w:val="bottom"/>
            <w:tcBorders>
              <w:top w:val="single" w:sz="8" w:color="C3E6FF"/>
              <w:right w:val="single" w:sz="8" w:color="C3E6FF"/>
            </w:tcBorders>
          </w:tcPr>
          <w:p>
            <w:pPr>
              <w:jc w:val="right"/>
              <w:ind w:right="28"/>
              <w:spacing w:after="0"/>
              <w:rPr>
                <w:sz w:val="20"/>
                <w:szCs w:val="20"/>
                <w:color w:val="auto"/>
              </w:rPr>
            </w:pPr>
            <w:r>
              <w:rPr>
                <w:rFonts w:ascii="Arial" w:cs="Arial" w:eastAsia="Arial" w:hAnsi="Arial"/>
                <w:sz w:val="14"/>
                <w:szCs w:val="14"/>
                <w:color w:val="auto"/>
              </w:rPr>
              <w:t>1,568,683</w:t>
            </w:r>
          </w:p>
        </w:tc>
      </w:tr>
      <w:tr>
        <w:trPr>
          <w:trHeight w:val="162"/>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color w:val="auto"/>
              </w:rPr>
              <w:t>Executive Vice President and</w:t>
            </w:r>
          </w:p>
        </w:tc>
        <w:tc>
          <w:tcPr>
            <w:tcW w:w="840" w:type="dxa"/>
            <w:vAlign w:val="bottom"/>
          </w:tcPr>
          <w:p>
            <w:pPr>
              <w:ind w:left="180"/>
              <w:spacing w:after="0"/>
              <w:rPr>
                <w:sz w:val="20"/>
                <w:szCs w:val="20"/>
                <w:color w:val="auto"/>
              </w:rPr>
            </w:pPr>
            <w:r>
              <w:rPr>
                <w:rFonts w:ascii="Arial" w:cs="Arial" w:eastAsia="Arial" w:hAnsi="Arial"/>
                <w:sz w:val="14"/>
                <w:szCs w:val="14"/>
                <w:color w:val="auto"/>
              </w:rPr>
              <w:t>2018</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2"/>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color w:val="auto"/>
              </w:rPr>
              <w:t>Business Head, Insurance</w:t>
            </w:r>
          </w:p>
        </w:tc>
        <w:tc>
          <w:tcPr>
            <w:tcW w:w="840" w:type="dxa"/>
            <w:vAlign w:val="bottom"/>
          </w:tcPr>
          <w:p>
            <w:pPr>
              <w:ind w:left="180"/>
              <w:spacing w:after="0"/>
              <w:rPr>
                <w:sz w:val="20"/>
                <w:szCs w:val="20"/>
                <w:color w:val="auto"/>
              </w:rPr>
            </w:pPr>
            <w:r>
              <w:rPr>
                <w:rFonts w:ascii="Arial" w:cs="Arial" w:eastAsia="Arial" w:hAnsi="Arial"/>
                <w:sz w:val="14"/>
                <w:szCs w:val="14"/>
                <w:color w:val="auto"/>
              </w:rPr>
              <w:t>2017</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39"/>
        </w:trPr>
        <w:tc>
          <w:tcPr>
            <w:tcW w:w="2380" w:type="dxa"/>
            <w:vAlign w:val="bottom"/>
            <w:tcBorders>
              <w:left w:val="single" w:sz="8" w:color="C3E6FF"/>
              <w:bottom w:val="single" w:sz="8" w:color="C3E6FF"/>
            </w:tcBorders>
          </w:tcPr>
          <w:p>
            <w:pPr>
              <w:spacing w:after="0"/>
              <w:rPr>
                <w:sz w:val="3"/>
                <w:szCs w:val="3"/>
                <w:color w:val="auto"/>
              </w:rPr>
            </w:pPr>
          </w:p>
        </w:tc>
        <w:tc>
          <w:tcPr>
            <w:tcW w:w="840" w:type="dxa"/>
            <w:vAlign w:val="bottom"/>
            <w:tcBorders>
              <w:bottom w:val="single" w:sz="8" w:color="C3E6FF"/>
            </w:tcBorders>
          </w:tcPr>
          <w:p>
            <w:pPr>
              <w:spacing w:after="0"/>
              <w:rPr>
                <w:sz w:val="3"/>
                <w:szCs w:val="3"/>
                <w:color w:val="auto"/>
              </w:rPr>
            </w:pPr>
          </w:p>
        </w:tc>
        <w:tc>
          <w:tcPr>
            <w:tcW w:w="1000" w:type="dxa"/>
            <w:vAlign w:val="bottom"/>
            <w:tcBorders>
              <w:bottom w:val="single" w:sz="8" w:color="C3E6FF"/>
            </w:tcBorders>
          </w:tcPr>
          <w:p>
            <w:pPr>
              <w:spacing w:after="0"/>
              <w:rPr>
                <w:sz w:val="3"/>
                <w:szCs w:val="3"/>
                <w:color w:val="auto"/>
              </w:rPr>
            </w:pPr>
          </w:p>
        </w:tc>
        <w:tc>
          <w:tcPr>
            <w:tcW w:w="360" w:type="dxa"/>
            <w:vAlign w:val="bottom"/>
            <w:tcBorders>
              <w:bottom w:val="single" w:sz="8" w:color="C3E6FF"/>
            </w:tcBorders>
          </w:tcPr>
          <w:p>
            <w:pPr>
              <w:spacing w:after="0"/>
              <w:rPr>
                <w:sz w:val="3"/>
                <w:szCs w:val="3"/>
                <w:color w:val="auto"/>
              </w:rPr>
            </w:pPr>
          </w:p>
        </w:tc>
        <w:tc>
          <w:tcPr>
            <w:tcW w:w="1080" w:type="dxa"/>
            <w:vAlign w:val="bottom"/>
            <w:tcBorders>
              <w:bottom w:val="single" w:sz="8" w:color="C3E6FF"/>
            </w:tcBorders>
          </w:tcPr>
          <w:p>
            <w:pPr>
              <w:spacing w:after="0"/>
              <w:rPr>
                <w:sz w:val="3"/>
                <w:szCs w:val="3"/>
                <w:color w:val="auto"/>
              </w:rPr>
            </w:pPr>
          </w:p>
        </w:tc>
        <w:tc>
          <w:tcPr>
            <w:tcW w:w="920" w:type="dxa"/>
            <w:vAlign w:val="bottom"/>
            <w:tcBorders>
              <w:bottom w:val="single" w:sz="8" w:color="C3E6FF"/>
            </w:tcBorders>
          </w:tcPr>
          <w:p>
            <w:pPr>
              <w:spacing w:after="0"/>
              <w:rPr>
                <w:sz w:val="3"/>
                <w:szCs w:val="3"/>
                <w:color w:val="auto"/>
              </w:rPr>
            </w:pPr>
          </w:p>
        </w:tc>
        <w:tc>
          <w:tcPr>
            <w:tcW w:w="1120" w:type="dxa"/>
            <w:vAlign w:val="bottom"/>
            <w:tcBorders>
              <w:bottom w:val="single" w:sz="8" w:color="C3E6FF"/>
            </w:tcBorders>
          </w:tcPr>
          <w:p>
            <w:pPr>
              <w:spacing w:after="0"/>
              <w:rPr>
                <w:sz w:val="3"/>
                <w:szCs w:val="3"/>
                <w:color w:val="auto"/>
              </w:rPr>
            </w:pPr>
          </w:p>
        </w:tc>
        <w:tc>
          <w:tcPr>
            <w:tcW w:w="1160" w:type="dxa"/>
            <w:vAlign w:val="bottom"/>
            <w:tcBorders>
              <w:bottom w:val="single" w:sz="8" w:color="C3E6FF"/>
            </w:tcBorders>
          </w:tcPr>
          <w:p>
            <w:pPr>
              <w:spacing w:after="0"/>
              <w:rPr>
                <w:sz w:val="3"/>
                <w:szCs w:val="3"/>
                <w:color w:val="auto"/>
              </w:rPr>
            </w:pPr>
          </w:p>
        </w:tc>
        <w:tc>
          <w:tcPr>
            <w:tcW w:w="1460" w:type="dxa"/>
            <w:vAlign w:val="bottom"/>
            <w:tcBorders>
              <w:bottom w:val="single" w:sz="8" w:color="C3E6FF"/>
            </w:tcBorders>
            <w:gridSpan w:val="2"/>
          </w:tcPr>
          <w:p>
            <w:pPr>
              <w:spacing w:after="0"/>
              <w:rPr>
                <w:sz w:val="3"/>
                <w:szCs w:val="3"/>
                <w:color w:val="auto"/>
              </w:rPr>
            </w:pPr>
          </w:p>
        </w:tc>
        <w:tc>
          <w:tcPr>
            <w:tcW w:w="940" w:type="dxa"/>
            <w:vAlign w:val="bottom"/>
            <w:tcBorders>
              <w:bottom w:val="single" w:sz="8" w:color="C3E6FF"/>
              <w:right w:val="single" w:sz="8" w:color="C3E6FF"/>
            </w:tcBorders>
          </w:tcPr>
          <w:p>
            <w:pPr>
              <w:spacing w:after="0"/>
              <w:rPr>
                <w:sz w:val="3"/>
                <w:szCs w:val="3"/>
                <w:color w:val="auto"/>
              </w:rPr>
            </w:pPr>
          </w:p>
        </w:tc>
      </w:tr>
      <w:tr>
        <w:trPr>
          <w:trHeight w:val="214"/>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b w:val="1"/>
                <w:bCs w:val="1"/>
                <w:color w:val="auto"/>
              </w:rPr>
              <w:t>Samuel Meckey</w:t>
            </w:r>
          </w:p>
        </w:tc>
        <w:tc>
          <w:tcPr>
            <w:tcW w:w="840" w:type="dxa"/>
            <w:vAlign w:val="bottom"/>
          </w:tcPr>
          <w:p>
            <w:pPr>
              <w:ind w:left="180"/>
              <w:spacing w:after="0"/>
              <w:rPr>
                <w:sz w:val="20"/>
                <w:szCs w:val="20"/>
                <w:color w:val="auto"/>
              </w:rPr>
            </w:pPr>
            <w:r>
              <w:rPr>
                <w:rFonts w:ascii="Arial" w:cs="Arial" w:eastAsia="Arial" w:hAnsi="Arial"/>
                <w:sz w:val="14"/>
                <w:szCs w:val="14"/>
                <w:color w:val="auto"/>
              </w:rPr>
              <w:t>2019</w:t>
            </w:r>
          </w:p>
        </w:tc>
        <w:tc>
          <w:tcPr>
            <w:tcW w:w="1000" w:type="dxa"/>
            <w:vAlign w:val="bottom"/>
          </w:tcPr>
          <w:p>
            <w:pPr>
              <w:jc w:val="right"/>
              <w:spacing w:after="0"/>
              <w:rPr>
                <w:sz w:val="20"/>
                <w:szCs w:val="20"/>
                <w:color w:val="auto"/>
              </w:rPr>
            </w:pPr>
            <w:r>
              <w:rPr>
                <w:rFonts w:ascii="Arial" w:cs="Arial" w:eastAsia="Arial" w:hAnsi="Arial"/>
                <w:sz w:val="14"/>
                <w:szCs w:val="14"/>
                <w:color w:val="auto"/>
              </w:rPr>
              <w:t>425,000</w:t>
            </w:r>
          </w:p>
        </w:tc>
        <w:tc>
          <w:tcPr>
            <w:tcW w:w="36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765,547</w:t>
            </w:r>
          </w:p>
        </w:tc>
        <w:tc>
          <w:tcPr>
            <w:tcW w:w="1120" w:type="dxa"/>
            <w:vAlign w:val="bottom"/>
          </w:tcPr>
          <w:p>
            <w:pPr>
              <w:jc w:val="right"/>
              <w:spacing w:after="0"/>
              <w:rPr>
                <w:sz w:val="20"/>
                <w:szCs w:val="20"/>
                <w:color w:val="auto"/>
              </w:rPr>
            </w:pPr>
            <w:r>
              <w:rPr>
                <w:rFonts w:ascii="Arial" w:cs="Arial" w:eastAsia="Arial" w:hAnsi="Arial"/>
                <w:sz w:val="14"/>
                <w:szCs w:val="14"/>
                <w:color w:val="auto"/>
              </w:rPr>
              <w:t>364,320</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40"/>
              <w:spacing w:after="0" w:line="214" w:lineRule="exact"/>
              <w:rPr>
                <w:sz w:val="20"/>
                <w:szCs w:val="20"/>
                <w:color w:val="auto"/>
              </w:rPr>
            </w:pPr>
            <w:r>
              <w:rPr>
                <w:rFonts w:ascii="Arial" w:cs="Arial" w:eastAsia="Arial" w:hAnsi="Arial"/>
                <w:sz w:val="14"/>
                <w:szCs w:val="14"/>
                <w:color w:val="auto"/>
              </w:rPr>
              <w:t>9,444</w:t>
            </w:r>
            <w:r>
              <w:rPr>
                <w:rFonts w:ascii="Arial" w:cs="Arial" w:eastAsia="Arial" w:hAnsi="Arial"/>
                <w:sz w:val="23"/>
                <w:szCs w:val="23"/>
                <w:color w:val="auto"/>
                <w:vertAlign w:val="subscript"/>
              </w:rPr>
              <w:t>(12)</w:t>
            </w: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1,564,311</w:t>
            </w:r>
          </w:p>
        </w:tc>
      </w:tr>
      <w:tr>
        <w:trPr>
          <w:trHeight w:val="162"/>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color w:val="auto"/>
              </w:rPr>
              <w:t>Executive Vice President and</w:t>
            </w:r>
          </w:p>
        </w:tc>
        <w:tc>
          <w:tcPr>
            <w:tcW w:w="840" w:type="dxa"/>
            <w:vAlign w:val="bottom"/>
          </w:tcPr>
          <w:p>
            <w:pPr>
              <w:ind w:left="180"/>
              <w:spacing w:after="0"/>
              <w:rPr>
                <w:sz w:val="20"/>
                <w:szCs w:val="20"/>
                <w:color w:val="auto"/>
              </w:rPr>
            </w:pPr>
            <w:r>
              <w:rPr>
                <w:rFonts w:ascii="Arial" w:cs="Arial" w:eastAsia="Arial" w:hAnsi="Arial"/>
                <w:sz w:val="14"/>
                <w:szCs w:val="14"/>
                <w:color w:val="auto"/>
              </w:rPr>
              <w:t>2018</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2"/>
        </w:trPr>
        <w:tc>
          <w:tcPr>
            <w:tcW w:w="2380" w:type="dxa"/>
            <w:vAlign w:val="bottom"/>
            <w:tcBorders>
              <w:left w:val="single" w:sz="8" w:color="C3E6FF"/>
            </w:tcBorders>
          </w:tcPr>
          <w:p>
            <w:pPr>
              <w:ind w:left="120"/>
              <w:spacing w:after="0"/>
              <w:rPr>
                <w:sz w:val="20"/>
                <w:szCs w:val="20"/>
                <w:color w:val="auto"/>
              </w:rPr>
            </w:pPr>
            <w:r>
              <w:rPr>
                <w:rFonts w:ascii="Arial" w:cs="Arial" w:eastAsia="Arial" w:hAnsi="Arial"/>
                <w:sz w:val="14"/>
                <w:szCs w:val="14"/>
                <w:color w:val="auto"/>
              </w:rPr>
              <w:t>Business Head, Healthcare</w:t>
            </w:r>
          </w:p>
        </w:tc>
        <w:tc>
          <w:tcPr>
            <w:tcW w:w="840" w:type="dxa"/>
            <w:vAlign w:val="bottom"/>
          </w:tcPr>
          <w:p>
            <w:pPr>
              <w:ind w:left="180"/>
              <w:spacing w:after="0"/>
              <w:rPr>
                <w:sz w:val="20"/>
                <w:szCs w:val="20"/>
                <w:color w:val="auto"/>
              </w:rPr>
            </w:pPr>
            <w:r>
              <w:rPr>
                <w:rFonts w:ascii="Arial" w:cs="Arial" w:eastAsia="Arial" w:hAnsi="Arial"/>
                <w:sz w:val="14"/>
                <w:szCs w:val="14"/>
                <w:color w:val="auto"/>
              </w:rPr>
              <w:t>2017</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40" w:type="dxa"/>
            <w:vAlign w:val="bottom"/>
            <w:tcBorders>
              <w:right w:val="single" w:sz="8" w:color="C3E6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39"/>
        </w:trPr>
        <w:tc>
          <w:tcPr>
            <w:tcW w:w="2380" w:type="dxa"/>
            <w:vAlign w:val="bottom"/>
            <w:tcBorders>
              <w:left w:val="single" w:sz="8" w:color="C3E6FF"/>
              <w:bottom w:val="single" w:sz="8" w:color="C3E6FF"/>
            </w:tcBorders>
          </w:tcPr>
          <w:p>
            <w:pPr>
              <w:spacing w:after="0"/>
              <w:rPr>
                <w:sz w:val="3"/>
                <w:szCs w:val="3"/>
                <w:color w:val="auto"/>
              </w:rPr>
            </w:pPr>
          </w:p>
        </w:tc>
        <w:tc>
          <w:tcPr>
            <w:tcW w:w="840" w:type="dxa"/>
            <w:vAlign w:val="bottom"/>
            <w:tcBorders>
              <w:bottom w:val="single" w:sz="8" w:color="C3E6FF"/>
            </w:tcBorders>
          </w:tcPr>
          <w:p>
            <w:pPr>
              <w:spacing w:after="0"/>
              <w:rPr>
                <w:sz w:val="3"/>
                <w:szCs w:val="3"/>
                <w:color w:val="auto"/>
              </w:rPr>
            </w:pPr>
          </w:p>
        </w:tc>
        <w:tc>
          <w:tcPr>
            <w:tcW w:w="1000" w:type="dxa"/>
            <w:vAlign w:val="bottom"/>
            <w:tcBorders>
              <w:bottom w:val="single" w:sz="8" w:color="C3E6FF"/>
            </w:tcBorders>
          </w:tcPr>
          <w:p>
            <w:pPr>
              <w:spacing w:after="0"/>
              <w:rPr>
                <w:sz w:val="3"/>
                <w:szCs w:val="3"/>
                <w:color w:val="auto"/>
              </w:rPr>
            </w:pPr>
          </w:p>
        </w:tc>
        <w:tc>
          <w:tcPr>
            <w:tcW w:w="360" w:type="dxa"/>
            <w:vAlign w:val="bottom"/>
            <w:tcBorders>
              <w:bottom w:val="single" w:sz="8" w:color="C3E6FF"/>
            </w:tcBorders>
          </w:tcPr>
          <w:p>
            <w:pPr>
              <w:spacing w:after="0"/>
              <w:rPr>
                <w:sz w:val="3"/>
                <w:szCs w:val="3"/>
                <w:color w:val="auto"/>
              </w:rPr>
            </w:pPr>
          </w:p>
        </w:tc>
        <w:tc>
          <w:tcPr>
            <w:tcW w:w="1080" w:type="dxa"/>
            <w:vAlign w:val="bottom"/>
            <w:tcBorders>
              <w:bottom w:val="single" w:sz="8" w:color="C3E6FF"/>
            </w:tcBorders>
          </w:tcPr>
          <w:p>
            <w:pPr>
              <w:spacing w:after="0"/>
              <w:rPr>
                <w:sz w:val="3"/>
                <w:szCs w:val="3"/>
                <w:color w:val="auto"/>
              </w:rPr>
            </w:pPr>
          </w:p>
        </w:tc>
        <w:tc>
          <w:tcPr>
            <w:tcW w:w="920" w:type="dxa"/>
            <w:vAlign w:val="bottom"/>
            <w:tcBorders>
              <w:bottom w:val="single" w:sz="8" w:color="C3E6FF"/>
            </w:tcBorders>
          </w:tcPr>
          <w:p>
            <w:pPr>
              <w:spacing w:after="0"/>
              <w:rPr>
                <w:sz w:val="3"/>
                <w:szCs w:val="3"/>
                <w:color w:val="auto"/>
              </w:rPr>
            </w:pPr>
          </w:p>
        </w:tc>
        <w:tc>
          <w:tcPr>
            <w:tcW w:w="1120" w:type="dxa"/>
            <w:vAlign w:val="bottom"/>
            <w:tcBorders>
              <w:bottom w:val="single" w:sz="8" w:color="C3E6FF"/>
            </w:tcBorders>
          </w:tcPr>
          <w:p>
            <w:pPr>
              <w:spacing w:after="0"/>
              <w:rPr>
                <w:sz w:val="3"/>
                <w:szCs w:val="3"/>
                <w:color w:val="auto"/>
              </w:rPr>
            </w:pPr>
          </w:p>
        </w:tc>
        <w:tc>
          <w:tcPr>
            <w:tcW w:w="1160" w:type="dxa"/>
            <w:vAlign w:val="bottom"/>
            <w:tcBorders>
              <w:bottom w:val="single" w:sz="8" w:color="C3E6FF"/>
            </w:tcBorders>
          </w:tcPr>
          <w:p>
            <w:pPr>
              <w:spacing w:after="0"/>
              <w:rPr>
                <w:sz w:val="3"/>
                <w:szCs w:val="3"/>
                <w:color w:val="auto"/>
              </w:rPr>
            </w:pPr>
          </w:p>
        </w:tc>
        <w:tc>
          <w:tcPr>
            <w:tcW w:w="1100" w:type="dxa"/>
            <w:vAlign w:val="bottom"/>
            <w:tcBorders>
              <w:bottom w:val="single" w:sz="8" w:color="C3E6FF"/>
            </w:tcBorders>
          </w:tcPr>
          <w:p>
            <w:pPr>
              <w:spacing w:after="0"/>
              <w:rPr>
                <w:sz w:val="3"/>
                <w:szCs w:val="3"/>
                <w:color w:val="auto"/>
              </w:rPr>
            </w:pPr>
          </w:p>
        </w:tc>
        <w:tc>
          <w:tcPr>
            <w:tcW w:w="360" w:type="dxa"/>
            <w:vAlign w:val="bottom"/>
            <w:tcBorders>
              <w:bottom w:val="single" w:sz="8" w:color="C3E6FF"/>
            </w:tcBorders>
          </w:tcPr>
          <w:p>
            <w:pPr>
              <w:spacing w:after="0"/>
              <w:rPr>
                <w:sz w:val="3"/>
                <w:szCs w:val="3"/>
                <w:color w:val="auto"/>
              </w:rPr>
            </w:pPr>
          </w:p>
        </w:tc>
        <w:tc>
          <w:tcPr>
            <w:tcW w:w="940" w:type="dxa"/>
            <w:vAlign w:val="bottom"/>
            <w:tcBorders>
              <w:bottom w:val="single" w:sz="8" w:color="C3E6FF"/>
              <w:right w:val="single" w:sz="8" w:color="C3E6FF"/>
            </w:tcBorders>
          </w:tcPr>
          <w:p>
            <w:pPr>
              <w:spacing w:after="0"/>
              <w:rPr>
                <w:sz w:val="3"/>
                <w:szCs w:val="3"/>
                <w:color w:val="auto"/>
              </w:rPr>
            </w:pPr>
          </w:p>
        </w:tc>
      </w:tr>
    </w:tbl>
    <w:p>
      <w:pPr>
        <w:spacing w:after="0" w:line="275" w:lineRule="exact"/>
        <w:rPr>
          <w:sz w:val="20"/>
          <w:szCs w:val="20"/>
          <w:color w:val="auto"/>
        </w:rPr>
      </w:pPr>
    </w:p>
    <w:p>
      <w:pPr>
        <w:ind w:left="220" w:hanging="212"/>
        <w:spacing w:after="0"/>
        <w:tabs>
          <w:tab w:leader="none" w:pos="220" w:val="left"/>
        </w:tabs>
        <w:numPr>
          <w:ilvl w:val="0"/>
          <w:numId w:val="90"/>
        </w:numPr>
        <w:rPr>
          <w:rFonts w:ascii="Arial" w:cs="Arial" w:eastAsia="Arial" w:hAnsi="Arial"/>
          <w:sz w:val="14"/>
          <w:szCs w:val="14"/>
          <w:color w:val="262626"/>
        </w:rPr>
      </w:pPr>
      <w:r>
        <w:rPr>
          <w:rFonts w:ascii="Arial" w:cs="Arial" w:eastAsia="Arial" w:hAnsi="Arial"/>
          <w:sz w:val="14"/>
          <w:szCs w:val="14"/>
          <w:color w:val="262626"/>
        </w:rPr>
        <w:t>In addition to his other roles, Mr. Bagai served as our interim Chief Financial Officer in December 2019.</w:t>
      </w:r>
    </w:p>
    <w:p>
      <w:pPr>
        <w:spacing w:after="0" w:line="163" w:lineRule="exact"/>
        <w:rPr>
          <w:rFonts w:ascii="Arial" w:cs="Arial" w:eastAsia="Arial" w:hAnsi="Arial"/>
          <w:sz w:val="14"/>
          <w:szCs w:val="14"/>
          <w:color w:val="262626"/>
        </w:rPr>
      </w:pPr>
    </w:p>
    <w:p>
      <w:pPr>
        <w:jc w:val="both"/>
        <w:ind w:right="140" w:firstLine="8"/>
        <w:spacing w:after="0" w:line="247" w:lineRule="auto"/>
        <w:tabs>
          <w:tab w:leader="none" w:pos="213" w:val="left"/>
        </w:tabs>
        <w:numPr>
          <w:ilvl w:val="0"/>
          <w:numId w:val="90"/>
        </w:numPr>
        <w:rPr>
          <w:rFonts w:ascii="Arial" w:cs="Arial" w:eastAsia="Arial" w:hAnsi="Arial"/>
          <w:sz w:val="14"/>
          <w:szCs w:val="14"/>
          <w:color w:val="262626"/>
        </w:rPr>
      </w:pPr>
      <w:r>
        <w:rPr>
          <w:rFonts w:ascii="Arial" w:cs="Arial" w:eastAsia="Arial" w:hAnsi="Arial"/>
          <w:sz w:val="14"/>
          <w:szCs w:val="14"/>
          <w:color w:val="262626"/>
        </w:rPr>
        <w:t>The amount set forth in the “Salary” column for Mr. Bagai includes $127,487 of base salary, $129,796 of a cash supplementary allowance, $32,934 of housing allowance (which Mr. Bagai elected to receive in cash), $10,620 of travel allowance (which Mr. Bagai elected to receive in cash), $210 of medical allowance (which Mr. Bagai elected to receive in cash), and $10,507 of a car allowance (which Mr. Bagai elected to receive in cash). The values set forth in this column are before any compensation reduction under any Company 401(k) savings or non-qualified plan.</w:t>
      </w:r>
    </w:p>
    <w:p>
      <w:pPr>
        <w:spacing w:after="0" w:line="147" w:lineRule="exact"/>
        <w:rPr>
          <w:rFonts w:ascii="Arial" w:cs="Arial" w:eastAsia="Arial" w:hAnsi="Arial"/>
          <w:sz w:val="14"/>
          <w:szCs w:val="14"/>
          <w:color w:val="262626"/>
        </w:rPr>
      </w:pPr>
    </w:p>
    <w:p>
      <w:pPr>
        <w:ind w:right="120" w:firstLine="8"/>
        <w:spacing w:after="0" w:line="247" w:lineRule="auto"/>
        <w:tabs>
          <w:tab w:leader="none" w:pos="213" w:val="left"/>
        </w:tabs>
        <w:numPr>
          <w:ilvl w:val="0"/>
          <w:numId w:val="90"/>
        </w:numPr>
        <w:rPr>
          <w:rFonts w:ascii="Arial" w:cs="Arial" w:eastAsia="Arial" w:hAnsi="Arial"/>
          <w:sz w:val="14"/>
          <w:szCs w:val="14"/>
          <w:color w:val="262626"/>
        </w:rPr>
      </w:pPr>
      <w:r>
        <w:rPr>
          <w:rFonts w:ascii="Arial" w:cs="Arial" w:eastAsia="Arial" w:hAnsi="Arial"/>
          <w:sz w:val="14"/>
          <w:szCs w:val="14"/>
          <w:color w:val="262626"/>
        </w:rPr>
        <w:t>The amount set forth in the “Salary” column for Mr. Bhalla includes $107,874 of base salary, $92,802 of a cash supplementary allowance, $32,923 of housing allowance (which Mr. Bhalla elected to receive in cash), $8,986 of travel allowance (which Mr. Bhalla elected to receive in cash), $210 of medical allowance (which Mr. Bhalla elected to receive in cash), and $21,014 of a car allowance (which Mr. Bhalla elected to receive in cash). The values set forth in this column are before any compensation reduction under any Company 401(k) savings or non-qualified plan.</w:t>
      </w:r>
    </w:p>
    <w:p>
      <w:pPr>
        <w:spacing w:after="0" w:line="147" w:lineRule="exact"/>
        <w:rPr>
          <w:rFonts w:ascii="Arial" w:cs="Arial" w:eastAsia="Arial" w:hAnsi="Arial"/>
          <w:sz w:val="14"/>
          <w:szCs w:val="14"/>
          <w:color w:val="262626"/>
        </w:rPr>
      </w:pPr>
    </w:p>
    <w:p>
      <w:pPr>
        <w:ind w:right="140" w:firstLine="8"/>
        <w:spacing w:after="0" w:line="245" w:lineRule="auto"/>
        <w:tabs>
          <w:tab w:leader="none" w:pos="208" w:val="left"/>
        </w:tabs>
        <w:numPr>
          <w:ilvl w:val="0"/>
          <w:numId w:val="90"/>
        </w:numPr>
        <w:rPr>
          <w:rFonts w:ascii="Arial" w:cs="Arial" w:eastAsia="Arial" w:hAnsi="Arial"/>
          <w:sz w:val="14"/>
          <w:szCs w:val="14"/>
          <w:color w:val="262626"/>
        </w:rPr>
      </w:pPr>
      <w:r>
        <w:rPr>
          <w:rFonts w:ascii="Arial" w:cs="Arial" w:eastAsia="Arial" w:hAnsi="Arial"/>
          <w:sz w:val="14"/>
          <w:szCs w:val="14"/>
          <w:color w:val="262626"/>
        </w:rPr>
        <w:t>Amounts reflect the total grant date fair value of awards (RSUs and revenue based PRSUs) and Monte Carlo value of awards (TSR based PRSUs) (recognized for financial statement reporting purposes for the fiscal years ended December 31, 2017, 2018 and 2019, in accordance with FASB ASC Topic 718 (disregarding any forfeiture assumptions). Assumptions used in the calculation of these amounts are included (i) for 2019, in footnotes 2 and 23 to the audited financial statements for the fiscal year ended December 31, 2019, included in the 2019 Form 10-K; (ii) for 2018, in footnotes 2 and 24 to the audited financial statements for the fiscal year ended December 31, 2018, included in our Annual Report on Form 10-K</w:t>
      </w:r>
    </w:p>
    <w:p>
      <w:pPr>
        <w:spacing w:after="0" w:line="282"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9"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262626"/>
        </w:rPr>
        <w:t>filed with the Securities and Exchange Commission on February 28, 2019; and (iii) for 2017, in footnotes 2 and 21 to the audited financial statements for the fiscal year ended December 31, 2017, included in our Annual Report on Form 10-K filed with the Securities and Exchange Commission on February 27, 2018. With respect to stock awards granted in 2019, the table below sets forth the value attributable to performance restricted stock units valued at target achievement. Performance restricted stock units granted in 2019 may pay out up to 200% of the target award, which would have amounted to the grant date fair values listed as the maximum total grant date fair value for each named executive officer in the table below.</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2080" w:type="dxa"/>
            <w:vAlign w:val="bottom"/>
            <w:tcBorders>
              <w:left w:val="single" w:sz="8" w:color="C3E6FF"/>
            </w:tcBorders>
            <w:shd w:val="clear" w:color="auto" w:fill="0093FF"/>
          </w:tcPr>
          <w:p>
            <w:pPr>
              <w:ind w:left="120"/>
              <w:spacing w:after="0"/>
              <w:rPr>
                <w:sz w:val="20"/>
                <w:szCs w:val="20"/>
                <w:color w:val="auto"/>
              </w:rPr>
            </w:pPr>
            <w:r>
              <w:rPr>
                <w:rFonts w:ascii="Arial" w:cs="Arial" w:eastAsia="Arial" w:hAnsi="Arial"/>
                <w:sz w:val="14"/>
                <w:szCs w:val="14"/>
                <w:b w:val="1"/>
                <w:bCs w:val="1"/>
                <w:color w:val="FFFFFF"/>
              </w:rPr>
              <w:t>Name</w:t>
            </w:r>
          </w:p>
        </w:tc>
        <w:tc>
          <w:tcPr>
            <w:tcW w:w="4020" w:type="dxa"/>
            <w:vAlign w:val="bottom"/>
            <w:shd w:val="clear" w:color="auto" w:fill="0093FF"/>
          </w:tcPr>
          <w:p>
            <w:pPr>
              <w:ind w:left="860"/>
              <w:spacing w:after="0"/>
              <w:rPr>
                <w:sz w:val="20"/>
                <w:szCs w:val="20"/>
                <w:color w:val="auto"/>
              </w:rPr>
            </w:pPr>
            <w:r>
              <w:rPr>
                <w:rFonts w:ascii="Arial" w:cs="Arial" w:eastAsia="Arial" w:hAnsi="Arial"/>
                <w:sz w:val="14"/>
                <w:szCs w:val="14"/>
                <w:b w:val="1"/>
                <w:bCs w:val="1"/>
                <w:color w:val="FFFFFF"/>
              </w:rPr>
              <w:t>Target Total Grant Date Fair Value ($)</w:t>
            </w:r>
          </w:p>
        </w:tc>
        <w:tc>
          <w:tcPr>
            <w:tcW w:w="4020" w:type="dxa"/>
            <w:vAlign w:val="bottom"/>
            <w:tcBorders>
              <w:right w:val="single" w:sz="8" w:color="C3E6FF"/>
            </w:tcBorders>
            <w:shd w:val="clear" w:color="auto" w:fill="0093FF"/>
          </w:tcPr>
          <w:p>
            <w:pPr>
              <w:ind w:left="660"/>
              <w:spacing w:after="0"/>
              <w:rPr>
                <w:sz w:val="20"/>
                <w:szCs w:val="20"/>
                <w:color w:val="auto"/>
              </w:rPr>
            </w:pPr>
            <w:r>
              <w:rPr>
                <w:rFonts w:ascii="Arial" w:cs="Arial" w:eastAsia="Arial" w:hAnsi="Arial"/>
                <w:sz w:val="14"/>
                <w:szCs w:val="14"/>
                <w:b w:val="1"/>
                <w:bCs w:val="1"/>
                <w:color w:val="FFFFFF"/>
              </w:rPr>
              <w:t>Maximum Total Grant Date Fair Value ($)</w:t>
            </w:r>
          </w:p>
        </w:tc>
      </w:tr>
      <w:tr>
        <w:trPr>
          <w:trHeight w:val="107"/>
        </w:trPr>
        <w:tc>
          <w:tcPr>
            <w:tcW w:w="2080" w:type="dxa"/>
            <w:vAlign w:val="bottom"/>
            <w:tcBorders>
              <w:left w:val="single" w:sz="8" w:color="C3E6FF"/>
            </w:tcBorders>
            <w:shd w:val="clear" w:color="auto" w:fill="0093FF"/>
          </w:tcPr>
          <w:p>
            <w:pPr>
              <w:spacing w:after="0"/>
              <w:rPr>
                <w:sz w:val="9"/>
                <w:szCs w:val="9"/>
                <w:color w:val="auto"/>
              </w:rPr>
            </w:pPr>
          </w:p>
        </w:tc>
        <w:tc>
          <w:tcPr>
            <w:tcW w:w="4020" w:type="dxa"/>
            <w:vAlign w:val="bottom"/>
            <w:shd w:val="clear" w:color="auto" w:fill="0093FF"/>
          </w:tcPr>
          <w:p>
            <w:pPr>
              <w:spacing w:after="0"/>
              <w:rPr>
                <w:sz w:val="9"/>
                <w:szCs w:val="9"/>
                <w:color w:val="auto"/>
              </w:rPr>
            </w:pPr>
          </w:p>
        </w:tc>
        <w:tc>
          <w:tcPr>
            <w:tcW w:w="4020" w:type="dxa"/>
            <w:vAlign w:val="bottom"/>
            <w:tcBorders>
              <w:right w:val="single" w:sz="8" w:color="C3E6FF"/>
            </w:tcBorders>
            <w:shd w:val="clear" w:color="auto" w:fill="0093FF"/>
          </w:tcPr>
          <w:p>
            <w:pPr>
              <w:spacing w:after="0"/>
              <w:rPr>
                <w:sz w:val="9"/>
                <w:szCs w:val="9"/>
                <w:color w:val="auto"/>
              </w:rPr>
            </w:pPr>
          </w:p>
        </w:tc>
      </w:tr>
      <w:tr>
        <w:trPr>
          <w:trHeight w:val="231"/>
        </w:trPr>
        <w:tc>
          <w:tcPr>
            <w:tcW w:w="2080" w:type="dxa"/>
            <w:vAlign w:val="bottom"/>
            <w:tcBorders>
              <w:left w:val="single" w:sz="8" w:color="C3E6FF"/>
            </w:tcBorders>
          </w:tcPr>
          <w:p>
            <w:pPr>
              <w:ind w:left="120"/>
              <w:spacing w:after="0"/>
              <w:rPr>
                <w:sz w:val="20"/>
                <w:szCs w:val="20"/>
                <w:color w:val="auto"/>
              </w:rPr>
            </w:pPr>
            <w:r>
              <w:rPr>
                <w:rFonts w:ascii="Arial" w:cs="Arial" w:eastAsia="Arial" w:hAnsi="Arial"/>
                <w:sz w:val="14"/>
                <w:szCs w:val="14"/>
                <w:b w:val="1"/>
                <w:bCs w:val="1"/>
                <w:color w:val="auto"/>
              </w:rPr>
              <w:t>Rohit Kapoor</w:t>
            </w:r>
          </w:p>
        </w:tc>
        <w:tc>
          <w:tcPr>
            <w:tcW w:w="4020" w:type="dxa"/>
            <w:vAlign w:val="bottom"/>
          </w:tcPr>
          <w:p>
            <w:pPr>
              <w:jc w:val="center"/>
              <w:ind w:left="148"/>
              <w:spacing w:after="0"/>
              <w:rPr>
                <w:sz w:val="20"/>
                <w:szCs w:val="20"/>
                <w:color w:val="auto"/>
              </w:rPr>
            </w:pPr>
            <w:r>
              <w:rPr>
                <w:rFonts w:ascii="Arial" w:cs="Arial" w:eastAsia="Arial" w:hAnsi="Arial"/>
                <w:sz w:val="14"/>
                <w:szCs w:val="14"/>
                <w:color w:val="auto"/>
              </w:rPr>
              <w:t>2,261,629</w:t>
            </w:r>
          </w:p>
        </w:tc>
        <w:tc>
          <w:tcPr>
            <w:tcW w:w="4020" w:type="dxa"/>
            <w:vAlign w:val="bottom"/>
            <w:tcBorders>
              <w:right w:val="single" w:sz="8" w:color="C3E6FF"/>
            </w:tcBorders>
          </w:tcPr>
          <w:p>
            <w:pPr>
              <w:jc w:val="center"/>
              <w:spacing w:after="0"/>
              <w:rPr>
                <w:sz w:val="20"/>
                <w:szCs w:val="20"/>
                <w:color w:val="auto"/>
              </w:rPr>
            </w:pPr>
            <w:r>
              <w:rPr>
                <w:rFonts w:ascii="Arial" w:cs="Arial" w:eastAsia="Arial" w:hAnsi="Arial"/>
                <w:sz w:val="14"/>
                <w:szCs w:val="14"/>
                <w:color w:val="auto"/>
              </w:rPr>
              <w:t>4,523,259</w:t>
            </w:r>
          </w:p>
        </w:tc>
      </w:tr>
      <w:tr>
        <w:trPr>
          <w:trHeight w:val="39"/>
        </w:trPr>
        <w:tc>
          <w:tcPr>
            <w:tcW w:w="2080" w:type="dxa"/>
            <w:vAlign w:val="bottom"/>
            <w:tcBorders>
              <w:left w:val="single" w:sz="8" w:color="C3E6FF"/>
              <w:bottom w:val="single" w:sz="8" w:color="C3E6FF"/>
            </w:tcBorders>
          </w:tcPr>
          <w:p>
            <w:pPr>
              <w:spacing w:after="0"/>
              <w:rPr>
                <w:sz w:val="3"/>
                <w:szCs w:val="3"/>
                <w:color w:val="auto"/>
              </w:rPr>
            </w:pPr>
          </w:p>
        </w:tc>
        <w:tc>
          <w:tcPr>
            <w:tcW w:w="4020" w:type="dxa"/>
            <w:vAlign w:val="bottom"/>
            <w:tcBorders>
              <w:bottom w:val="single" w:sz="8" w:color="C3E6FF"/>
            </w:tcBorders>
          </w:tcPr>
          <w:p>
            <w:pPr>
              <w:spacing w:after="0"/>
              <w:rPr>
                <w:sz w:val="3"/>
                <w:szCs w:val="3"/>
                <w:color w:val="auto"/>
              </w:rPr>
            </w:pPr>
          </w:p>
        </w:tc>
        <w:tc>
          <w:tcPr>
            <w:tcW w:w="4020" w:type="dxa"/>
            <w:vAlign w:val="bottom"/>
            <w:tcBorders>
              <w:bottom w:val="single" w:sz="8" w:color="C3E6FF"/>
              <w:right w:val="single" w:sz="8" w:color="C3E6FF"/>
            </w:tcBorders>
          </w:tcPr>
          <w:p>
            <w:pPr>
              <w:spacing w:after="0"/>
              <w:rPr>
                <w:sz w:val="3"/>
                <w:szCs w:val="3"/>
                <w:color w:val="auto"/>
              </w:rPr>
            </w:pPr>
          </w:p>
        </w:tc>
      </w:tr>
      <w:tr>
        <w:trPr>
          <w:trHeight w:val="268"/>
        </w:trPr>
        <w:tc>
          <w:tcPr>
            <w:tcW w:w="2080" w:type="dxa"/>
            <w:vAlign w:val="bottom"/>
            <w:tcBorders>
              <w:left w:val="single" w:sz="8" w:color="C3E6FF"/>
              <w:bottom w:val="single" w:sz="8" w:color="F3F9FF"/>
            </w:tcBorders>
            <w:shd w:val="clear" w:color="auto" w:fill="F3F9FF"/>
          </w:tcPr>
          <w:p>
            <w:pPr>
              <w:ind w:left="120"/>
              <w:spacing w:after="0"/>
              <w:rPr>
                <w:sz w:val="20"/>
                <w:szCs w:val="20"/>
                <w:color w:val="auto"/>
              </w:rPr>
            </w:pPr>
            <w:r>
              <w:rPr>
                <w:rFonts w:ascii="Arial" w:cs="Arial" w:eastAsia="Arial" w:hAnsi="Arial"/>
                <w:sz w:val="14"/>
                <w:szCs w:val="14"/>
                <w:b w:val="1"/>
                <w:bCs w:val="1"/>
                <w:color w:val="auto"/>
              </w:rPr>
              <w:t>Vishal Chhibbar</w:t>
            </w:r>
          </w:p>
        </w:tc>
        <w:tc>
          <w:tcPr>
            <w:tcW w:w="4020" w:type="dxa"/>
            <w:vAlign w:val="bottom"/>
            <w:tcBorders>
              <w:bottom w:val="single" w:sz="8" w:color="F3F9FF"/>
            </w:tcBorders>
            <w:shd w:val="clear" w:color="auto" w:fill="F3F9FF"/>
          </w:tcPr>
          <w:p>
            <w:pPr>
              <w:jc w:val="center"/>
              <w:ind w:left="148"/>
              <w:spacing w:after="0"/>
              <w:rPr>
                <w:sz w:val="20"/>
                <w:szCs w:val="20"/>
                <w:color w:val="auto"/>
              </w:rPr>
            </w:pPr>
            <w:r>
              <w:rPr>
                <w:rFonts w:ascii="Arial" w:cs="Arial" w:eastAsia="Arial" w:hAnsi="Arial"/>
                <w:sz w:val="14"/>
                <w:szCs w:val="14"/>
                <w:color w:val="auto"/>
              </w:rPr>
              <w:t>554,246</w:t>
            </w:r>
          </w:p>
        </w:tc>
        <w:tc>
          <w:tcPr>
            <w:tcW w:w="4020" w:type="dxa"/>
            <w:vAlign w:val="bottom"/>
            <w:tcBorders>
              <w:bottom w:val="single" w:sz="8" w:color="F3F9FF"/>
              <w:right w:val="single" w:sz="8" w:color="C3E6FF"/>
            </w:tcBorders>
            <w:shd w:val="clear" w:color="auto" w:fill="F3F9FF"/>
          </w:tcPr>
          <w:p>
            <w:pPr>
              <w:jc w:val="center"/>
              <w:spacing w:after="0"/>
              <w:rPr>
                <w:sz w:val="20"/>
                <w:szCs w:val="20"/>
                <w:color w:val="auto"/>
              </w:rPr>
            </w:pPr>
            <w:r>
              <w:rPr>
                <w:rFonts w:ascii="Arial" w:cs="Arial" w:eastAsia="Arial" w:hAnsi="Arial"/>
                <w:sz w:val="14"/>
                <w:szCs w:val="14"/>
                <w:color w:val="auto"/>
              </w:rPr>
              <w:t>1,108,491</w:t>
            </w:r>
          </w:p>
        </w:tc>
      </w:tr>
      <w:tr>
        <w:trPr>
          <w:trHeight w:val="224"/>
        </w:trPr>
        <w:tc>
          <w:tcPr>
            <w:tcW w:w="2080" w:type="dxa"/>
            <w:vAlign w:val="bottom"/>
            <w:tcBorders>
              <w:top w:val="single" w:sz="8" w:color="C3E6FF"/>
              <w:left w:val="single" w:sz="8" w:color="C3E6FF"/>
            </w:tcBorders>
          </w:tcPr>
          <w:p>
            <w:pPr>
              <w:ind w:left="120"/>
              <w:spacing w:after="0"/>
              <w:rPr>
                <w:sz w:val="20"/>
                <w:szCs w:val="20"/>
                <w:color w:val="auto"/>
              </w:rPr>
            </w:pPr>
            <w:r>
              <w:rPr>
                <w:rFonts w:ascii="Arial" w:cs="Arial" w:eastAsia="Arial" w:hAnsi="Arial"/>
                <w:sz w:val="14"/>
                <w:szCs w:val="14"/>
                <w:b w:val="1"/>
                <w:bCs w:val="1"/>
                <w:color w:val="auto"/>
              </w:rPr>
              <w:t>Pavan Bagai</w:t>
            </w:r>
          </w:p>
        </w:tc>
        <w:tc>
          <w:tcPr>
            <w:tcW w:w="4020" w:type="dxa"/>
            <w:vAlign w:val="bottom"/>
            <w:tcBorders>
              <w:top w:val="single" w:sz="8" w:color="C3E6FF"/>
            </w:tcBorders>
          </w:tcPr>
          <w:p>
            <w:pPr>
              <w:jc w:val="center"/>
              <w:ind w:left="148"/>
              <w:spacing w:after="0"/>
              <w:rPr>
                <w:sz w:val="20"/>
                <w:szCs w:val="20"/>
                <w:color w:val="auto"/>
              </w:rPr>
            </w:pPr>
            <w:r>
              <w:rPr>
                <w:rFonts w:ascii="Arial" w:cs="Arial" w:eastAsia="Arial" w:hAnsi="Arial"/>
                <w:sz w:val="14"/>
                <w:szCs w:val="14"/>
                <w:color w:val="auto"/>
              </w:rPr>
              <w:t>854,649</w:t>
            </w:r>
          </w:p>
        </w:tc>
        <w:tc>
          <w:tcPr>
            <w:tcW w:w="4020" w:type="dxa"/>
            <w:vAlign w:val="bottom"/>
            <w:tcBorders>
              <w:top w:val="single" w:sz="8" w:color="C3E6FF"/>
              <w:right w:val="single" w:sz="8" w:color="C3E6FF"/>
            </w:tcBorders>
          </w:tcPr>
          <w:p>
            <w:pPr>
              <w:jc w:val="center"/>
              <w:spacing w:after="0"/>
              <w:rPr>
                <w:sz w:val="20"/>
                <w:szCs w:val="20"/>
                <w:color w:val="auto"/>
              </w:rPr>
            </w:pPr>
            <w:r>
              <w:rPr>
                <w:rFonts w:ascii="Arial" w:cs="Arial" w:eastAsia="Arial" w:hAnsi="Arial"/>
                <w:sz w:val="14"/>
                <w:szCs w:val="14"/>
                <w:color w:val="auto"/>
              </w:rPr>
              <w:t>1,709,298</w:t>
            </w:r>
          </w:p>
        </w:tc>
      </w:tr>
      <w:tr>
        <w:trPr>
          <w:trHeight w:val="39"/>
        </w:trPr>
        <w:tc>
          <w:tcPr>
            <w:tcW w:w="2080" w:type="dxa"/>
            <w:vAlign w:val="bottom"/>
            <w:tcBorders>
              <w:left w:val="single" w:sz="8" w:color="C3E6FF"/>
              <w:bottom w:val="single" w:sz="8" w:color="C3E6FF"/>
            </w:tcBorders>
          </w:tcPr>
          <w:p>
            <w:pPr>
              <w:spacing w:after="0"/>
              <w:rPr>
                <w:sz w:val="3"/>
                <w:szCs w:val="3"/>
                <w:color w:val="auto"/>
              </w:rPr>
            </w:pPr>
          </w:p>
        </w:tc>
        <w:tc>
          <w:tcPr>
            <w:tcW w:w="4020" w:type="dxa"/>
            <w:vAlign w:val="bottom"/>
            <w:tcBorders>
              <w:bottom w:val="single" w:sz="8" w:color="C3E6FF"/>
            </w:tcBorders>
          </w:tcPr>
          <w:p>
            <w:pPr>
              <w:spacing w:after="0"/>
              <w:rPr>
                <w:sz w:val="3"/>
                <w:szCs w:val="3"/>
                <w:color w:val="auto"/>
              </w:rPr>
            </w:pPr>
          </w:p>
        </w:tc>
        <w:tc>
          <w:tcPr>
            <w:tcW w:w="4020" w:type="dxa"/>
            <w:vAlign w:val="bottom"/>
            <w:tcBorders>
              <w:bottom w:val="single" w:sz="8" w:color="C3E6FF"/>
              <w:right w:val="single" w:sz="8" w:color="C3E6FF"/>
            </w:tcBorders>
          </w:tcPr>
          <w:p>
            <w:pPr>
              <w:spacing w:after="0"/>
              <w:rPr>
                <w:sz w:val="3"/>
                <w:szCs w:val="3"/>
                <w:color w:val="auto"/>
              </w:rPr>
            </w:pPr>
          </w:p>
        </w:tc>
      </w:tr>
      <w:tr>
        <w:trPr>
          <w:trHeight w:val="268"/>
        </w:trPr>
        <w:tc>
          <w:tcPr>
            <w:tcW w:w="2080" w:type="dxa"/>
            <w:vAlign w:val="bottom"/>
            <w:tcBorders>
              <w:left w:val="single" w:sz="8" w:color="C3E6FF"/>
              <w:bottom w:val="single" w:sz="8" w:color="F3F9FF"/>
            </w:tcBorders>
            <w:shd w:val="clear" w:color="auto" w:fill="F3F9FF"/>
          </w:tcPr>
          <w:p>
            <w:pPr>
              <w:ind w:left="120"/>
              <w:spacing w:after="0"/>
              <w:rPr>
                <w:sz w:val="20"/>
                <w:szCs w:val="20"/>
                <w:color w:val="auto"/>
              </w:rPr>
            </w:pPr>
            <w:r>
              <w:rPr>
                <w:rFonts w:ascii="Arial" w:cs="Arial" w:eastAsia="Arial" w:hAnsi="Arial"/>
                <w:sz w:val="14"/>
                <w:szCs w:val="14"/>
                <w:b w:val="1"/>
                <w:bCs w:val="1"/>
                <w:color w:val="auto"/>
              </w:rPr>
              <w:t>Nalin Miglani</w:t>
            </w:r>
          </w:p>
        </w:tc>
        <w:tc>
          <w:tcPr>
            <w:tcW w:w="4020" w:type="dxa"/>
            <w:vAlign w:val="bottom"/>
            <w:tcBorders>
              <w:bottom w:val="single" w:sz="8" w:color="F3F9FF"/>
            </w:tcBorders>
            <w:shd w:val="clear" w:color="auto" w:fill="F3F9FF"/>
          </w:tcPr>
          <w:p>
            <w:pPr>
              <w:jc w:val="center"/>
              <w:ind w:left="148"/>
              <w:spacing w:after="0"/>
              <w:rPr>
                <w:sz w:val="20"/>
                <w:szCs w:val="20"/>
                <w:color w:val="auto"/>
              </w:rPr>
            </w:pPr>
            <w:r>
              <w:rPr>
                <w:rFonts w:ascii="Arial" w:cs="Arial" w:eastAsia="Arial" w:hAnsi="Arial"/>
                <w:sz w:val="14"/>
                <w:szCs w:val="14"/>
                <w:color w:val="auto"/>
              </w:rPr>
              <w:t>483,056</w:t>
            </w:r>
          </w:p>
        </w:tc>
        <w:tc>
          <w:tcPr>
            <w:tcW w:w="4020" w:type="dxa"/>
            <w:vAlign w:val="bottom"/>
            <w:tcBorders>
              <w:bottom w:val="single" w:sz="8" w:color="F3F9FF"/>
              <w:right w:val="single" w:sz="8" w:color="C3E6FF"/>
            </w:tcBorders>
            <w:shd w:val="clear" w:color="auto" w:fill="F3F9FF"/>
          </w:tcPr>
          <w:p>
            <w:pPr>
              <w:jc w:val="center"/>
              <w:spacing w:after="0"/>
              <w:rPr>
                <w:sz w:val="20"/>
                <w:szCs w:val="20"/>
                <w:color w:val="auto"/>
              </w:rPr>
            </w:pPr>
            <w:r>
              <w:rPr>
                <w:rFonts w:ascii="Arial" w:cs="Arial" w:eastAsia="Arial" w:hAnsi="Arial"/>
                <w:sz w:val="14"/>
                <w:szCs w:val="14"/>
                <w:color w:val="auto"/>
              </w:rPr>
              <w:t>966,113</w:t>
            </w:r>
          </w:p>
        </w:tc>
      </w:tr>
      <w:tr>
        <w:trPr>
          <w:trHeight w:val="224"/>
        </w:trPr>
        <w:tc>
          <w:tcPr>
            <w:tcW w:w="2080" w:type="dxa"/>
            <w:vAlign w:val="bottom"/>
            <w:tcBorders>
              <w:top w:val="single" w:sz="8" w:color="C3E6FF"/>
              <w:left w:val="single" w:sz="8" w:color="C3E6FF"/>
            </w:tcBorders>
          </w:tcPr>
          <w:p>
            <w:pPr>
              <w:ind w:left="120"/>
              <w:spacing w:after="0"/>
              <w:rPr>
                <w:sz w:val="20"/>
                <w:szCs w:val="20"/>
                <w:color w:val="auto"/>
              </w:rPr>
            </w:pPr>
            <w:r>
              <w:rPr>
                <w:rFonts w:ascii="Arial" w:cs="Arial" w:eastAsia="Arial" w:hAnsi="Arial"/>
                <w:sz w:val="14"/>
                <w:szCs w:val="14"/>
                <w:b w:val="1"/>
                <w:bCs w:val="1"/>
                <w:color w:val="auto"/>
              </w:rPr>
              <w:t>Vikas Bhalla</w:t>
            </w:r>
          </w:p>
        </w:tc>
        <w:tc>
          <w:tcPr>
            <w:tcW w:w="4020" w:type="dxa"/>
            <w:vAlign w:val="bottom"/>
            <w:tcBorders>
              <w:top w:val="single" w:sz="8" w:color="C3E6FF"/>
            </w:tcBorders>
          </w:tcPr>
          <w:p>
            <w:pPr>
              <w:jc w:val="center"/>
              <w:ind w:left="148"/>
              <w:spacing w:after="0"/>
              <w:rPr>
                <w:sz w:val="20"/>
                <w:szCs w:val="20"/>
                <w:color w:val="auto"/>
              </w:rPr>
            </w:pPr>
            <w:r>
              <w:rPr>
                <w:rFonts w:ascii="Arial" w:cs="Arial" w:eastAsia="Arial" w:hAnsi="Arial"/>
                <w:sz w:val="14"/>
                <w:szCs w:val="14"/>
                <w:color w:val="auto"/>
              </w:rPr>
              <w:t>534,311</w:t>
            </w:r>
          </w:p>
        </w:tc>
        <w:tc>
          <w:tcPr>
            <w:tcW w:w="4020" w:type="dxa"/>
            <w:vAlign w:val="bottom"/>
            <w:tcBorders>
              <w:top w:val="single" w:sz="8" w:color="C3E6FF"/>
              <w:right w:val="single" w:sz="8" w:color="C3E6FF"/>
            </w:tcBorders>
          </w:tcPr>
          <w:p>
            <w:pPr>
              <w:jc w:val="center"/>
              <w:spacing w:after="0"/>
              <w:rPr>
                <w:sz w:val="20"/>
                <w:szCs w:val="20"/>
                <w:color w:val="auto"/>
              </w:rPr>
            </w:pPr>
            <w:r>
              <w:rPr>
                <w:rFonts w:ascii="Arial" w:cs="Arial" w:eastAsia="Arial" w:hAnsi="Arial"/>
                <w:sz w:val="14"/>
                <w:szCs w:val="14"/>
                <w:color w:val="auto"/>
              </w:rPr>
              <w:t>1,068,622</w:t>
            </w:r>
          </w:p>
        </w:tc>
      </w:tr>
      <w:tr>
        <w:trPr>
          <w:trHeight w:val="39"/>
        </w:trPr>
        <w:tc>
          <w:tcPr>
            <w:tcW w:w="2080" w:type="dxa"/>
            <w:vAlign w:val="bottom"/>
            <w:tcBorders>
              <w:left w:val="single" w:sz="8" w:color="C3E6FF"/>
              <w:bottom w:val="single" w:sz="8" w:color="C3E6FF"/>
            </w:tcBorders>
          </w:tcPr>
          <w:p>
            <w:pPr>
              <w:spacing w:after="0"/>
              <w:rPr>
                <w:sz w:val="3"/>
                <w:szCs w:val="3"/>
                <w:color w:val="auto"/>
              </w:rPr>
            </w:pPr>
          </w:p>
        </w:tc>
        <w:tc>
          <w:tcPr>
            <w:tcW w:w="4020" w:type="dxa"/>
            <w:vAlign w:val="bottom"/>
            <w:tcBorders>
              <w:bottom w:val="single" w:sz="8" w:color="C3E6FF"/>
            </w:tcBorders>
          </w:tcPr>
          <w:p>
            <w:pPr>
              <w:spacing w:after="0"/>
              <w:rPr>
                <w:sz w:val="3"/>
                <w:szCs w:val="3"/>
                <w:color w:val="auto"/>
              </w:rPr>
            </w:pPr>
          </w:p>
        </w:tc>
        <w:tc>
          <w:tcPr>
            <w:tcW w:w="4020" w:type="dxa"/>
            <w:vAlign w:val="bottom"/>
            <w:tcBorders>
              <w:bottom w:val="single" w:sz="8" w:color="C3E6FF"/>
              <w:right w:val="single" w:sz="8" w:color="C3E6FF"/>
            </w:tcBorders>
          </w:tcPr>
          <w:p>
            <w:pPr>
              <w:spacing w:after="0"/>
              <w:rPr>
                <w:sz w:val="3"/>
                <w:szCs w:val="3"/>
                <w:color w:val="auto"/>
              </w:rPr>
            </w:pPr>
          </w:p>
        </w:tc>
      </w:tr>
      <w:tr>
        <w:trPr>
          <w:trHeight w:val="243"/>
        </w:trPr>
        <w:tc>
          <w:tcPr>
            <w:tcW w:w="2080" w:type="dxa"/>
            <w:vAlign w:val="bottom"/>
            <w:tcBorders>
              <w:left w:val="single" w:sz="8" w:color="C3E6FF"/>
              <w:bottom w:val="single" w:sz="8" w:color="F3F9FF"/>
            </w:tcBorders>
            <w:shd w:val="clear" w:color="auto" w:fill="F3F9FF"/>
          </w:tcPr>
          <w:p>
            <w:pPr>
              <w:ind w:left="120"/>
              <w:spacing w:after="0"/>
              <w:rPr>
                <w:sz w:val="20"/>
                <w:szCs w:val="20"/>
                <w:color w:val="auto"/>
              </w:rPr>
            </w:pPr>
            <w:r>
              <w:rPr>
                <w:rFonts w:ascii="Arial" w:cs="Arial" w:eastAsia="Arial" w:hAnsi="Arial"/>
                <w:sz w:val="14"/>
                <w:szCs w:val="14"/>
                <w:b w:val="1"/>
                <w:bCs w:val="1"/>
                <w:color w:val="auto"/>
              </w:rPr>
              <w:t>Samuel Meckey</w:t>
            </w:r>
          </w:p>
        </w:tc>
        <w:tc>
          <w:tcPr>
            <w:tcW w:w="4020" w:type="dxa"/>
            <w:vAlign w:val="bottom"/>
            <w:tcBorders>
              <w:bottom w:val="single" w:sz="8" w:color="F3F9FF"/>
            </w:tcBorders>
            <w:shd w:val="clear" w:color="auto" w:fill="F3F9FF"/>
          </w:tcPr>
          <w:p>
            <w:pPr>
              <w:jc w:val="center"/>
              <w:ind w:left="148"/>
              <w:spacing w:after="0"/>
              <w:rPr>
                <w:sz w:val="20"/>
                <w:szCs w:val="20"/>
                <w:color w:val="auto"/>
              </w:rPr>
            </w:pPr>
            <w:r>
              <w:rPr>
                <w:rFonts w:ascii="Arial" w:cs="Arial" w:eastAsia="Arial" w:hAnsi="Arial"/>
                <w:sz w:val="14"/>
                <w:szCs w:val="14"/>
                <w:color w:val="auto"/>
              </w:rPr>
              <w:t>420,095</w:t>
            </w:r>
          </w:p>
        </w:tc>
        <w:tc>
          <w:tcPr>
            <w:tcW w:w="4020" w:type="dxa"/>
            <w:vAlign w:val="bottom"/>
            <w:tcBorders>
              <w:bottom w:val="single" w:sz="8" w:color="F3F9FF"/>
              <w:right w:val="single" w:sz="8" w:color="C3E6FF"/>
            </w:tcBorders>
            <w:shd w:val="clear" w:color="auto" w:fill="F3F9FF"/>
          </w:tcPr>
          <w:p>
            <w:pPr>
              <w:jc w:val="center"/>
              <w:spacing w:after="0"/>
              <w:rPr>
                <w:sz w:val="20"/>
                <w:szCs w:val="20"/>
                <w:color w:val="auto"/>
              </w:rPr>
            </w:pPr>
            <w:r>
              <w:rPr>
                <w:rFonts w:ascii="Arial" w:cs="Arial" w:eastAsia="Arial" w:hAnsi="Arial"/>
                <w:sz w:val="14"/>
                <w:szCs w:val="14"/>
                <w:color w:val="auto"/>
              </w:rPr>
              <w:t>840,190</w:t>
            </w:r>
          </w:p>
        </w:tc>
      </w:tr>
      <w:tr>
        <w:trPr>
          <w:trHeight w:val="20"/>
        </w:trPr>
        <w:tc>
          <w:tcPr>
            <w:tcW w:w="2080" w:type="dxa"/>
            <w:vAlign w:val="bottom"/>
            <w:tcBorders>
              <w:left w:val="single" w:sz="8" w:color="C3E6FF"/>
            </w:tcBorders>
            <w:shd w:val="clear" w:color="auto" w:fill="C3E6FF"/>
          </w:tcPr>
          <w:p>
            <w:pPr>
              <w:spacing w:after="0" w:line="20" w:lineRule="exact"/>
              <w:rPr>
                <w:sz w:val="1"/>
                <w:szCs w:val="1"/>
                <w:color w:val="auto"/>
              </w:rPr>
            </w:pPr>
          </w:p>
        </w:tc>
        <w:tc>
          <w:tcPr>
            <w:tcW w:w="4020" w:type="dxa"/>
            <w:vAlign w:val="bottom"/>
            <w:shd w:val="clear" w:color="auto" w:fill="C3E6FF"/>
          </w:tcPr>
          <w:p>
            <w:pPr>
              <w:spacing w:after="0" w:line="20" w:lineRule="exact"/>
              <w:rPr>
                <w:sz w:val="1"/>
                <w:szCs w:val="1"/>
                <w:color w:val="auto"/>
              </w:rPr>
            </w:pPr>
          </w:p>
        </w:tc>
        <w:tc>
          <w:tcPr>
            <w:tcW w:w="4020" w:type="dxa"/>
            <w:vAlign w:val="bottom"/>
            <w:tcBorders>
              <w:right w:val="single" w:sz="8" w:color="C3E6FF"/>
            </w:tcBorders>
            <w:shd w:val="clear" w:color="auto" w:fill="C3E6FF"/>
          </w:tcPr>
          <w:p>
            <w:pPr>
              <w:spacing w:after="0" w:line="20" w:lineRule="exact"/>
              <w:rPr>
                <w:sz w:val="1"/>
                <w:szCs w:val="1"/>
                <w:color w:val="auto"/>
              </w:rPr>
            </w:pPr>
          </w:p>
        </w:tc>
      </w:tr>
    </w:tbl>
    <w:p>
      <w:pPr>
        <w:spacing w:after="0" w:line="167" w:lineRule="exact"/>
        <w:rPr>
          <w:sz w:val="20"/>
          <w:szCs w:val="20"/>
          <w:color w:val="auto"/>
        </w:rPr>
      </w:pPr>
    </w:p>
    <w:p>
      <w:pPr>
        <w:ind w:right="220" w:firstLine="8"/>
        <w:spacing w:after="0" w:line="258" w:lineRule="auto"/>
        <w:tabs>
          <w:tab w:leader="none" w:pos="216"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Reflects the cash incentive bonuses earned in respect of 2019 and paid in 2020. For details on our annual incentive bonus program, see “Compensation Discussion and Analysis—Incentive Bonus” beginning on page 53.</w:t>
      </w:r>
    </w:p>
    <w:p>
      <w:pPr>
        <w:spacing w:after="0" w:line="139" w:lineRule="exact"/>
        <w:rPr>
          <w:rFonts w:ascii="Arial" w:cs="Arial" w:eastAsia="Arial" w:hAnsi="Arial"/>
          <w:sz w:val="14"/>
          <w:szCs w:val="14"/>
          <w:color w:val="262626"/>
        </w:rPr>
      </w:pPr>
    </w:p>
    <w:p>
      <w:pPr>
        <w:ind w:right="200" w:firstLine="8"/>
        <w:spacing w:after="0" w:line="258" w:lineRule="auto"/>
        <w:tabs>
          <w:tab w:leader="none" w:pos="216"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Reflects the present value of accruals under the Gratuity Plan for Indian employees. Information regarding our Gratuity Plan (including the assumptions used to calculate these amounts) may be found under “Pension Benefits For Fiscal Year 2019” beginning on page 70.</w:t>
      </w:r>
    </w:p>
    <w:p>
      <w:pPr>
        <w:spacing w:after="0" w:line="139" w:lineRule="exact"/>
        <w:rPr>
          <w:rFonts w:ascii="Arial" w:cs="Arial" w:eastAsia="Arial" w:hAnsi="Arial"/>
          <w:sz w:val="14"/>
          <w:szCs w:val="14"/>
          <w:color w:val="262626"/>
        </w:rPr>
      </w:pPr>
    </w:p>
    <w:p>
      <w:pPr>
        <w:ind w:right="220" w:firstLine="8"/>
        <w:spacing w:after="0" w:line="249" w:lineRule="auto"/>
        <w:tabs>
          <w:tab w:leader="none" w:pos="208"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Amount for Mr. Kapoor includes the travel allowance provided for under his employment agreement, to be used for once-a-year business class airfare for himself and his family between the United States and India ($20,605), costs associated with use of an automobile and driver in India ($358), car lease rental ($5,372), contribution to our 401(k) plan ($9,000), Company-paid life insurance ($444) and tax preparation assistance ($13,575).</w:t>
      </w:r>
    </w:p>
    <w:p>
      <w:pPr>
        <w:spacing w:after="0" w:line="146" w:lineRule="exact"/>
        <w:rPr>
          <w:rFonts w:ascii="Arial" w:cs="Arial" w:eastAsia="Arial" w:hAnsi="Arial"/>
          <w:sz w:val="14"/>
          <w:szCs w:val="14"/>
          <w:color w:val="262626"/>
        </w:rPr>
      </w:pPr>
    </w:p>
    <w:p>
      <w:pPr>
        <w:ind w:left="220" w:hanging="212"/>
        <w:spacing w:after="0"/>
        <w:tabs>
          <w:tab w:leader="none" w:pos="220"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Amount for Mr. Chhibbar includes Company-paid life insurance ($444) and tax preparation assistance ($10,845).</w:t>
      </w:r>
    </w:p>
    <w:p>
      <w:pPr>
        <w:spacing w:after="0" w:line="163" w:lineRule="exact"/>
        <w:rPr>
          <w:rFonts w:ascii="Arial" w:cs="Arial" w:eastAsia="Arial" w:hAnsi="Arial"/>
          <w:sz w:val="14"/>
          <w:szCs w:val="14"/>
          <w:color w:val="262626"/>
        </w:rPr>
      </w:pPr>
    </w:p>
    <w:p>
      <w:pPr>
        <w:ind w:firstLine="8"/>
        <w:spacing w:after="0" w:line="258" w:lineRule="auto"/>
        <w:tabs>
          <w:tab w:leader="none" w:pos="208"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Amount for Mr. Bagai includes housing allowance ($30,809.70), contributions to the Employees’ Provident Fund Scheme (a statutorily required defined contribution program for Indian employees) ($15,298.40), costs associated with use of an automobile and driver in India ($453.90), home internet and telephone charges ($1,331.40).</w:t>
      </w:r>
    </w:p>
    <w:p>
      <w:pPr>
        <w:spacing w:after="0" w:line="139" w:lineRule="exact"/>
        <w:rPr>
          <w:rFonts w:ascii="Arial" w:cs="Arial" w:eastAsia="Arial" w:hAnsi="Arial"/>
          <w:sz w:val="14"/>
          <w:szCs w:val="14"/>
          <w:color w:val="262626"/>
        </w:rPr>
      </w:pPr>
    </w:p>
    <w:p>
      <w:pPr>
        <w:ind w:left="300" w:hanging="292"/>
        <w:spacing w:after="0"/>
        <w:tabs>
          <w:tab w:leader="none" w:pos="300"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Amount for Mr. Miglani includes contribution to our 401(k) plan ($9,000) and Company-paid life insurance premiums ($444).</w:t>
      </w:r>
    </w:p>
    <w:p>
      <w:pPr>
        <w:spacing w:after="0" w:line="163" w:lineRule="exact"/>
        <w:rPr>
          <w:rFonts w:ascii="Arial" w:cs="Arial" w:eastAsia="Arial" w:hAnsi="Arial"/>
          <w:sz w:val="14"/>
          <w:szCs w:val="14"/>
          <w:color w:val="262626"/>
        </w:rPr>
      </w:pPr>
    </w:p>
    <w:p>
      <w:pPr>
        <w:ind w:right="200" w:firstLine="8"/>
        <w:spacing w:after="0" w:line="258" w:lineRule="auto"/>
        <w:tabs>
          <w:tab w:leader="none" w:pos="288"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Amount for Mr. Bhalla includes car allowance ($21,014.12), contributions to the Employees’ Provident Fund Scheme (a statutorily required defined contribution program for Indian employees) ($12,944.80), costs associated with use of an automobile and driver in India ($5,253.57), home internet and telephone charges ($1,154.92).</w:t>
      </w:r>
    </w:p>
    <w:p>
      <w:pPr>
        <w:spacing w:after="0" w:line="139" w:lineRule="exact"/>
        <w:rPr>
          <w:rFonts w:ascii="Arial" w:cs="Arial" w:eastAsia="Arial" w:hAnsi="Arial"/>
          <w:sz w:val="14"/>
          <w:szCs w:val="14"/>
          <w:color w:val="262626"/>
        </w:rPr>
      </w:pPr>
    </w:p>
    <w:p>
      <w:pPr>
        <w:ind w:left="300" w:hanging="292"/>
        <w:spacing w:after="0"/>
        <w:tabs>
          <w:tab w:leader="none" w:pos="300" w:val="left"/>
        </w:tabs>
        <w:numPr>
          <w:ilvl w:val="0"/>
          <w:numId w:val="91"/>
        </w:numPr>
        <w:rPr>
          <w:rFonts w:ascii="Arial" w:cs="Arial" w:eastAsia="Arial" w:hAnsi="Arial"/>
          <w:sz w:val="14"/>
          <w:szCs w:val="14"/>
          <w:color w:val="262626"/>
        </w:rPr>
      </w:pPr>
      <w:r>
        <w:rPr>
          <w:rFonts w:ascii="Arial" w:cs="Arial" w:eastAsia="Arial" w:hAnsi="Arial"/>
          <w:sz w:val="14"/>
          <w:szCs w:val="14"/>
          <w:color w:val="262626"/>
        </w:rPr>
        <w:t>Amount for Mr. Meckey includes contribution to our 401(k) plan ($9,000) and Company-paid life insurance premiums ($444).</w:t>
      </w:r>
    </w:p>
    <w:p>
      <w:pPr>
        <w:spacing w:after="0" w:line="198" w:lineRule="exact"/>
        <w:rPr>
          <w:sz w:val="20"/>
          <w:szCs w:val="20"/>
          <w:color w:val="auto"/>
        </w:rPr>
      </w:pPr>
    </w:p>
    <w:p>
      <w:pPr>
        <w:ind w:right="140"/>
        <w:spacing w:after="0"/>
        <w:rPr>
          <w:sz w:val="20"/>
          <w:szCs w:val="20"/>
          <w:color w:val="auto"/>
        </w:rPr>
      </w:pPr>
      <w:r>
        <w:rPr>
          <w:rFonts w:ascii="Arial" w:cs="Arial" w:eastAsia="Arial" w:hAnsi="Arial"/>
          <w:sz w:val="18"/>
          <w:szCs w:val="18"/>
          <w:color w:val="262626"/>
        </w:rPr>
        <w:t>Unless otherwise specified, U.S. dollar figures in this proxy statement have been converted from Indian rupees at a rate of 71.38 Indian rupees to $1.00, the Indian rupee to U.S. dollar exchange rate in effect as of December 31, 2019. Some of the information in the Summary Compensation Tables for fiscal years 2018 and 2017 was converted using the exchange rates in effect as set forth below:</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2240" w:type="dxa"/>
            <w:vAlign w:val="bottom"/>
            <w:tcBorders>
              <w:left w:val="single" w:sz="8" w:color="C3E6FF"/>
            </w:tcBorders>
            <w:shd w:val="clear" w:color="auto" w:fill="0093FF"/>
          </w:tcPr>
          <w:p>
            <w:pPr>
              <w:jc w:val="center"/>
              <w:spacing w:after="0"/>
              <w:rPr>
                <w:sz w:val="20"/>
                <w:szCs w:val="20"/>
                <w:color w:val="auto"/>
              </w:rPr>
            </w:pPr>
            <w:r>
              <w:rPr>
                <w:rFonts w:ascii="Arial" w:cs="Arial" w:eastAsia="Arial" w:hAnsi="Arial"/>
                <w:sz w:val="18"/>
                <w:szCs w:val="18"/>
                <w:b w:val="1"/>
                <w:bCs w:val="1"/>
                <w:color w:val="FFFFFF"/>
                <w:w w:val="98"/>
              </w:rPr>
              <w:t>Fiscal Year</w:t>
            </w:r>
          </w:p>
        </w:tc>
        <w:tc>
          <w:tcPr>
            <w:tcW w:w="2660" w:type="dxa"/>
            <w:vAlign w:val="bottom"/>
            <w:shd w:val="clear" w:color="auto" w:fill="0093FF"/>
          </w:tcPr>
          <w:p>
            <w:pPr>
              <w:jc w:val="center"/>
              <w:ind w:left="70"/>
              <w:spacing w:after="0"/>
              <w:rPr>
                <w:sz w:val="20"/>
                <w:szCs w:val="20"/>
                <w:color w:val="auto"/>
              </w:rPr>
            </w:pPr>
            <w:r>
              <w:rPr>
                <w:rFonts w:ascii="Arial" w:cs="Arial" w:eastAsia="Arial" w:hAnsi="Arial"/>
                <w:sz w:val="18"/>
                <w:szCs w:val="18"/>
                <w:b w:val="1"/>
                <w:bCs w:val="1"/>
                <w:color w:val="FFFFFF"/>
                <w:w w:val="97"/>
              </w:rPr>
              <w:t>Rate</w:t>
            </w:r>
          </w:p>
        </w:tc>
        <w:tc>
          <w:tcPr>
            <w:tcW w:w="2980" w:type="dxa"/>
            <w:vAlign w:val="bottom"/>
            <w:tcBorders>
              <w:right w:val="single" w:sz="8" w:color="C3E6FF"/>
            </w:tcBorders>
            <w:shd w:val="clear" w:color="auto" w:fill="0093FF"/>
          </w:tcPr>
          <w:p>
            <w:pPr>
              <w:jc w:val="center"/>
              <w:ind w:left="10"/>
              <w:spacing w:after="0"/>
              <w:rPr>
                <w:sz w:val="20"/>
                <w:szCs w:val="20"/>
                <w:color w:val="auto"/>
              </w:rPr>
            </w:pPr>
            <w:r>
              <w:rPr>
                <w:rFonts w:ascii="Arial" w:cs="Arial" w:eastAsia="Arial" w:hAnsi="Arial"/>
                <w:sz w:val="18"/>
                <w:szCs w:val="18"/>
                <w:b w:val="1"/>
                <w:bCs w:val="1"/>
                <w:color w:val="FFFFFF"/>
                <w:w w:val="99"/>
              </w:rPr>
              <w:t>Exchange Rate of INR per</w:t>
            </w:r>
          </w:p>
        </w:tc>
      </w:tr>
      <w:tr>
        <w:trPr>
          <w:trHeight w:val="239"/>
        </w:trPr>
        <w:tc>
          <w:tcPr>
            <w:tcW w:w="2240" w:type="dxa"/>
            <w:vAlign w:val="bottom"/>
            <w:tcBorders>
              <w:left w:val="single" w:sz="8" w:color="C3E6FF"/>
            </w:tcBorders>
            <w:shd w:val="clear" w:color="auto" w:fill="0093FF"/>
          </w:tcPr>
          <w:p>
            <w:pPr>
              <w:spacing w:after="0"/>
              <w:rPr>
                <w:sz w:val="20"/>
                <w:szCs w:val="20"/>
                <w:color w:val="auto"/>
              </w:rPr>
            </w:pPr>
          </w:p>
        </w:tc>
        <w:tc>
          <w:tcPr>
            <w:tcW w:w="2660" w:type="dxa"/>
            <w:vAlign w:val="bottom"/>
            <w:shd w:val="clear" w:color="auto" w:fill="0093FF"/>
          </w:tcPr>
          <w:p>
            <w:pPr>
              <w:spacing w:after="0"/>
              <w:rPr>
                <w:sz w:val="20"/>
                <w:szCs w:val="20"/>
                <w:color w:val="auto"/>
              </w:rPr>
            </w:pPr>
          </w:p>
        </w:tc>
        <w:tc>
          <w:tcPr>
            <w:tcW w:w="2980" w:type="dxa"/>
            <w:vAlign w:val="bottom"/>
            <w:tcBorders>
              <w:right w:val="single" w:sz="8" w:color="C3E6FF"/>
            </w:tcBorders>
            <w:shd w:val="clear" w:color="auto" w:fill="0093FF"/>
          </w:tcPr>
          <w:p>
            <w:pPr>
              <w:jc w:val="center"/>
              <w:ind w:left="30"/>
              <w:spacing w:after="0"/>
              <w:rPr>
                <w:sz w:val="20"/>
                <w:szCs w:val="20"/>
                <w:color w:val="auto"/>
              </w:rPr>
            </w:pPr>
            <w:r>
              <w:rPr>
                <w:rFonts w:ascii="Arial" w:cs="Arial" w:eastAsia="Arial" w:hAnsi="Arial"/>
                <w:sz w:val="18"/>
                <w:szCs w:val="18"/>
                <w:b w:val="1"/>
                <w:bCs w:val="1"/>
                <w:color w:val="FFFFFF"/>
              </w:rPr>
              <w:t>US$1</w:t>
            </w:r>
          </w:p>
        </w:tc>
      </w:tr>
      <w:tr>
        <w:trPr>
          <w:trHeight w:val="108"/>
        </w:trPr>
        <w:tc>
          <w:tcPr>
            <w:tcW w:w="2240" w:type="dxa"/>
            <w:vAlign w:val="bottom"/>
            <w:tcBorders>
              <w:left w:val="single" w:sz="8" w:color="C3E6FF"/>
            </w:tcBorders>
            <w:shd w:val="clear" w:color="auto" w:fill="0093FF"/>
          </w:tcPr>
          <w:p>
            <w:pPr>
              <w:spacing w:after="0"/>
              <w:rPr>
                <w:sz w:val="9"/>
                <w:szCs w:val="9"/>
                <w:color w:val="auto"/>
              </w:rPr>
            </w:pPr>
          </w:p>
        </w:tc>
        <w:tc>
          <w:tcPr>
            <w:tcW w:w="2660" w:type="dxa"/>
            <w:vAlign w:val="bottom"/>
            <w:shd w:val="clear" w:color="auto" w:fill="0093FF"/>
          </w:tcPr>
          <w:p>
            <w:pPr>
              <w:spacing w:after="0"/>
              <w:rPr>
                <w:sz w:val="9"/>
                <w:szCs w:val="9"/>
                <w:color w:val="auto"/>
              </w:rPr>
            </w:pPr>
          </w:p>
        </w:tc>
        <w:tc>
          <w:tcPr>
            <w:tcW w:w="2980" w:type="dxa"/>
            <w:vAlign w:val="bottom"/>
            <w:tcBorders>
              <w:right w:val="single" w:sz="8" w:color="C3E6FF"/>
            </w:tcBorders>
            <w:shd w:val="clear" w:color="auto" w:fill="0093FF"/>
          </w:tcPr>
          <w:p>
            <w:pPr>
              <w:spacing w:after="0"/>
              <w:rPr>
                <w:sz w:val="9"/>
                <w:szCs w:val="9"/>
                <w:color w:val="auto"/>
              </w:rPr>
            </w:pPr>
          </w:p>
        </w:tc>
      </w:tr>
      <w:tr>
        <w:trPr>
          <w:trHeight w:val="324"/>
        </w:trPr>
        <w:tc>
          <w:tcPr>
            <w:tcW w:w="2240" w:type="dxa"/>
            <w:vAlign w:val="bottom"/>
            <w:tcBorders>
              <w:left w:val="single" w:sz="8" w:color="C3E6FF"/>
            </w:tcBorders>
            <w:shd w:val="clear" w:color="auto" w:fill="F3F9FF"/>
          </w:tcPr>
          <w:p>
            <w:pPr>
              <w:jc w:val="center"/>
              <w:spacing w:after="0"/>
              <w:rPr>
                <w:sz w:val="20"/>
                <w:szCs w:val="20"/>
                <w:color w:val="auto"/>
              </w:rPr>
            </w:pPr>
            <w:r>
              <w:rPr>
                <w:rFonts w:ascii="Arial" w:cs="Arial" w:eastAsia="Arial" w:hAnsi="Arial"/>
                <w:sz w:val="18"/>
                <w:szCs w:val="18"/>
                <w:b w:val="1"/>
                <w:bCs w:val="1"/>
                <w:color w:val="auto"/>
                <w:w w:val="99"/>
              </w:rPr>
              <w:t>2018</w:t>
            </w:r>
          </w:p>
        </w:tc>
        <w:tc>
          <w:tcPr>
            <w:tcW w:w="2660" w:type="dxa"/>
            <w:vAlign w:val="bottom"/>
            <w:shd w:val="clear" w:color="auto" w:fill="F3F9FF"/>
          </w:tcPr>
          <w:p>
            <w:pPr>
              <w:jc w:val="center"/>
              <w:ind w:left="70"/>
              <w:spacing w:after="0"/>
              <w:rPr>
                <w:sz w:val="20"/>
                <w:szCs w:val="20"/>
                <w:color w:val="auto"/>
              </w:rPr>
            </w:pPr>
            <w:r>
              <w:rPr>
                <w:rFonts w:ascii="Arial" w:cs="Arial" w:eastAsia="Arial" w:hAnsi="Arial"/>
                <w:sz w:val="18"/>
                <w:szCs w:val="18"/>
                <w:color w:val="auto"/>
                <w:w w:val="99"/>
              </w:rPr>
              <w:t>December 31, 2018</w:t>
            </w:r>
          </w:p>
        </w:tc>
        <w:tc>
          <w:tcPr>
            <w:tcW w:w="2980" w:type="dxa"/>
            <w:vAlign w:val="bottom"/>
            <w:tcBorders>
              <w:right w:val="single" w:sz="8" w:color="C3E6FF"/>
            </w:tcBorders>
            <w:shd w:val="clear" w:color="auto" w:fill="F3F9FF"/>
          </w:tcPr>
          <w:p>
            <w:pPr>
              <w:jc w:val="center"/>
              <w:ind w:left="30"/>
              <w:spacing w:after="0"/>
              <w:rPr>
                <w:sz w:val="20"/>
                <w:szCs w:val="20"/>
                <w:color w:val="auto"/>
              </w:rPr>
            </w:pPr>
            <w:r>
              <w:rPr>
                <w:rFonts w:ascii="Arial" w:cs="Arial" w:eastAsia="Arial" w:hAnsi="Arial"/>
                <w:sz w:val="18"/>
                <w:szCs w:val="18"/>
                <w:color w:val="auto"/>
              </w:rPr>
              <w:t>69.77</w:t>
            </w:r>
          </w:p>
        </w:tc>
      </w:tr>
      <w:tr>
        <w:trPr>
          <w:trHeight w:val="95"/>
        </w:trPr>
        <w:tc>
          <w:tcPr>
            <w:tcW w:w="2240" w:type="dxa"/>
            <w:vAlign w:val="bottom"/>
            <w:tcBorders>
              <w:left w:val="single" w:sz="8" w:color="C3E6FF"/>
              <w:bottom w:val="single" w:sz="8" w:color="C3E6FF"/>
            </w:tcBorders>
            <w:shd w:val="clear" w:color="auto" w:fill="F3F9FF"/>
          </w:tcPr>
          <w:p>
            <w:pPr>
              <w:spacing w:after="0"/>
              <w:rPr>
                <w:sz w:val="8"/>
                <w:szCs w:val="8"/>
                <w:color w:val="auto"/>
              </w:rPr>
            </w:pPr>
          </w:p>
        </w:tc>
        <w:tc>
          <w:tcPr>
            <w:tcW w:w="2660" w:type="dxa"/>
            <w:vAlign w:val="bottom"/>
            <w:tcBorders>
              <w:bottom w:val="single" w:sz="8" w:color="C3E6FF"/>
            </w:tcBorders>
            <w:shd w:val="clear" w:color="auto" w:fill="F3F9FF"/>
          </w:tcPr>
          <w:p>
            <w:pPr>
              <w:spacing w:after="0"/>
              <w:rPr>
                <w:sz w:val="8"/>
                <w:szCs w:val="8"/>
                <w:color w:val="auto"/>
              </w:rPr>
            </w:pPr>
          </w:p>
        </w:tc>
        <w:tc>
          <w:tcPr>
            <w:tcW w:w="2980" w:type="dxa"/>
            <w:vAlign w:val="bottom"/>
            <w:tcBorders>
              <w:bottom w:val="single" w:sz="8" w:color="C3E6FF"/>
              <w:right w:val="single" w:sz="8" w:color="C3E6FF"/>
            </w:tcBorders>
            <w:shd w:val="clear" w:color="auto" w:fill="F3F9FF"/>
          </w:tcPr>
          <w:p>
            <w:pPr>
              <w:spacing w:after="0"/>
              <w:rPr>
                <w:sz w:val="8"/>
                <w:szCs w:val="8"/>
                <w:color w:val="auto"/>
              </w:rPr>
            </w:pPr>
          </w:p>
        </w:tc>
      </w:tr>
      <w:tr>
        <w:trPr>
          <w:trHeight w:val="318"/>
        </w:trPr>
        <w:tc>
          <w:tcPr>
            <w:tcW w:w="2240" w:type="dxa"/>
            <w:vAlign w:val="bottom"/>
            <w:tcBorders>
              <w:left w:val="single" w:sz="8" w:color="C3E6FF"/>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99"/>
              </w:rPr>
              <w:t>December 31, 2017</w:t>
            </w:r>
          </w:p>
        </w:tc>
        <w:tc>
          <w:tcPr>
            <w:tcW w:w="2980" w:type="dxa"/>
            <w:vAlign w:val="bottom"/>
            <w:tcBorders>
              <w:right w:val="single" w:sz="8" w:color="C3E6FF"/>
            </w:tcBorders>
          </w:tcPr>
          <w:p>
            <w:pPr>
              <w:jc w:val="center"/>
              <w:ind w:left="30"/>
              <w:spacing w:after="0"/>
              <w:rPr>
                <w:sz w:val="20"/>
                <w:szCs w:val="20"/>
                <w:color w:val="auto"/>
              </w:rPr>
            </w:pPr>
            <w:r>
              <w:rPr>
                <w:rFonts w:ascii="Arial" w:cs="Arial" w:eastAsia="Arial" w:hAnsi="Arial"/>
                <w:sz w:val="18"/>
                <w:szCs w:val="18"/>
                <w:color w:val="auto"/>
              </w:rPr>
              <w:t>63.87</w:t>
            </w:r>
          </w:p>
        </w:tc>
      </w:tr>
      <w:tr>
        <w:trPr>
          <w:trHeight w:val="94"/>
        </w:trPr>
        <w:tc>
          <w:tcPr>
            <w:tcW w:w="2240" w:type="dxa"/>
            <w:vAlign w:val="bottom"/>
            <w:tcBorders>
              <w:left w:val="single" w:sz="8" w:color="C3E6FF"/>
              <w:bottom w:val="single" w:sz="8" w:color="C3E6FF"/>
            </w:tcBorders>
          </w:tcPr>
          <w:p>
            <w:pPr>
              <w:spacing w:after="0"/>
              <w:rPr>
                <w:sz w:val="8"/>
                <w:szCs w:val="8"/>
                <w:color w:val="auto"/>
              </w:rPr>
            </w:pPr>
          </w:p>
        </w:tc>
        <w:tc>
          <w:tcPr>
            <w:tcW w:w="2660" w:type="dxa"/>
            <w:vAlign w:val="bottom"/>
            <w:tcBorders>
              <w:bottom w:val="single" w:sz="8" w:color="C3E6FF"/>
            </w:tcBorders>
          </w:tcPr>
          <w:p>
            <w:pPr>
              <w:spacing w:after="0"/>
              <w:rPr>
                <w:sz w:val="8"/>
                <w:szCs w:val="8"/>
                <w:color w:val="auto"/>
              </w:rPr>
            </w:pPr>
          </w:p>
        </w:tc>
        <w:tc>
          <w:tcPr>
            <w:tcW w:w="2980" w:type="dxa"/>
            <w:vAlign w:val="bottom"/>
            <w:tcBorders>
              <w:bottom w:val="single" w:sz="8" w:color="C3E6FF"/>
              <w:right w:val="single" w:sz="8" w:color="C3E6FF"/>
            </w:tcBorders>
          </w:tcPr>
          <w:p>
            <w:pPr>
              <w:spacing w:after="0"/>
              <w:rPr>
                <w:sz w:val="8"/>
                <w:szCs w:val="8"/>
                <w:color w:val="auto"/>
              </w:rPr>
            </w:pPr>
          </w:p>
        </w:tc>
      </w:tr>
    </w:tbl>
    <w:p>
      <w:pPr>
        <w:spacing w:after="0" w:line="380"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0" w:name="page71"/>
    <w:bookmarkEnd w:id="70"/>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Grants of Plan-Based Awards Table for Fiscal Year 2019</w:t>
      </w:r>
    </w:p>
    <w:p>
      <w:pPr>
        <w:spacing w:after="0" w:line="22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62626"/>
        </w:rPr>
        <w:t>The following table sets forth information concerning grants of stock and option awards and non-equity incentive plan awards granted to our named executive officers during fiscal year 2019:</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40" w:type="dxa"/>
            <w:vAlign w:val="bottom"/>
            <w:tcBorders>
              <w:left w:val="single" w:sz="8" w:color="C3E6FF"/>
            </w:tcBorders>
            <w:shd w:val="clear" w:color="auto" w:fill="0093FF"/>
          </w:tcPr>
          <w:p>
            <w:pPr>
              <w:spacing w:after="0"/>
              <w:rPr>
                <w:sz w:val="24"/>
                <w:szCs w:val="24"/>
                <w:color w:val="auto"/>
              </w:rPr>
            </w:pPr>
          </w:p>
        </w:tc>
        <w:tc>
          <w:tcPr>
            <w:tcW w:w="560" w:type="dxa"/>
            <w:vAlign w:val="bottom"/>
            <w:shd w:val="clear" w:color="auto" w:fill="0093FF"/>
          </w:tcPr>
          <w:p>
            <w:pPr>
              <w:spacing w:after="0"/>
              <w:rPr>
                <w:sz w:val="24"/>
                <w:szCs w:val="24"/>
                <w:color w:val="auto"/>
              </w:rPr>
            </w:pPr>
          </w:p>
        </w:tc>
        <w:tc>
          <w:tcPr>
            <w:tcW w:w="100" w:type="dxa"/>
            <w:vAlign w:val="bottom"/>
            <w:shd w:val="clear" w:color="auto" w:fill="0093FF"/>
          </w:tcPr>
          <w:p>
            <w:pPr>
              <w:spacing w:after="0"/>
              <w:rPr>
                <w:sz w:val="24"/>
                <w:szCs w:val="24"/>
                <w:color w:val="auto"/>
              </w:rPr>
            </w:pPr>
          </w:p>
        </w:tc>
        <w:tc>
          <w:tcPr>
            <w:tcW w:w="100" w:type="dxa"/>
            <w:vAlign w:val="bottom"/>
            <w:shd w:val="clear" w:color="auto" w:fill="0093FF"/>
          </w:tcPr>
          <w:p>
            <w:pPr>
              <w:spacing w:after="0"/>
              <w:rPr>
                <w:sz w:val="24"/>
                <w:szCs w:val="24"/>
                <w:color w:val="auto"/>
              </w:rPr>
            </w:pPr>
          </w:p>
        </w:tc>
        <w:tc>
          <w:tcPr>
            <w:tcW w:w="920" w:type="dxa"/>
            <w:vAlign w:val="bottom"/>
            <w:shd w:val="clear" w:color="auto" w:fill="0093FF"/>
          </w:tcPr>
          <w:p>
            <w:pPr>
              <w:spacing w:after="0"/>
              <w:rPr>
                <w:sz w:val="24"/>
                <w:szCs w:val="24"/>
                <w:color w:val="auto"/>
              </w:rPr>
            </w:pPr>
          </w:p>
        </w:tc>
        <w:tc>
          <w:tcPr>
            <w:tcW w:w="100" w:type="dxa"/>
            <w:vAlign w:val="bottom"/>
            <w:shd w:val="clear" w:color="auto" w:fill="0093FF"/>
          </w:tcPr>
          <w:p>
            <w:pPr>
              <w:spacing w:after="0"/>
              <w:rPr>
                <w:sz w:val="24"/>
                <w:szCs w:val="24"/>
                <w:color w:val="auto"/>
              </w:rPr>
            </w:pPr>
          </w:p>
        </w:tc>
        <w:tc>
          <w:tcPr>
            <w:tcW w:w="100" w:type="dxa"/>
            <w:vAlign w:val="bottom"/>
            <w:shd w:val="clear" w:color="auto" w:fill="0093FF"/>
          </w:tcPr>
          <w:p>
            <w:pPr>
              <w:spacing w:after="0"/>
              <w:rPr>
                <w:sz w:val="24"/>
                <w:szCs w:val="24"/>
                <w:color w:val="auto"/>
              </w:rPr>
            </w:pPr>
          </w:p>
        </w:tc>
        <w:tc>
          <w:tcPr>
            <w:tcW w:w="2480" w:type="dxa"/>
            <w:vAlign w:val="bottom"/>
            <w:gridSpan w:val="6"/>
            <w:shd w:val="clear" w:color="auto" w:fill="0093FF"/>
          </w:tcPr>
          <w:p>
            <w:pPr>
              <w:jc w:val="center"/>
              <w:ind w:left="488"/>
              <w:spacing w:after="0"/>
              <w:rPr>
                <w:sz w:val="20"/>
                <w:szCs w:val="20"/>
                <w:color w:val="auto"/>
              </w:rPr>
            </w:pPr>
            <w:r>
              <w:rPr>
                <w:rFonts w:ascii="Arial" w:cs="Arial" w:eastAsia="Arial" w:hAnsi="Arial"/>
                <w:sz w:val="14"/>
                <w:szCs w:val="14"/>
                <w:b w:val="1"/>
                <w:bCs w:val="1"/>
                <w:color w:val="FFFFFF"/>
              </w:rPr>
              <w:t>Estimated Future Payouts</w:t>
            </w:r>
          </w:p>
        </w:tc>
        <w:tc>
          <w:tcPr>
            <w:tcW w:w="560" w:type="dxa"/>
            <w:vAlign w:val="bottom"/>
            <w:shd w:val="clear" w:color="auto" w:fill="0093FF"/>
          </w:tcPr>
          <w:p>
            <w:pPr>
              <w:spacing w:after="0"/>
              <w:rPr>
                <w:sz w:val="24"/>
                <w:szCs w:val="24"/>
                <w:color w:val="auto"/>
              </w:rPr>
            </w:pPr>
          </w:p>
        </w:tc>
        <w:tc>
          <w:tcPr>
            <w:tcW w:w="200" w:type="dxa"/>
            <w:vAlign w:val="bottom"/>
            <w:shd w:val="clear" w:color="auto" w:fill="0093FF"/>
          </w:tcPr>
          <w:p>
            <w:pPr>
              <w:spacing w:after="0"/>
              <w:rPr>
                <w:sz w:val="24"/>
                <w:szCs w:val="24"/>
                <w:color w:val="auto"/>
              </w:rPr>
            </w:pPr>
          </w:p>
        </w:tc>
        <w:tc>
          <w:tcPr>
            <w:tcW w:w="2420" w:type="dxa"/>
            <w:vAlign w:val="bottom"/>
            <w:gridSpan w:val="6"/>
            <w:shd w:val="clear" w:color="auto" w:fill="0093FF"/>
          </w:tcPr>
          <w:p>
            <w:pPr>
              <w:jc w:val="center"/>
              <w:ind w:left="568"/>
              <w:spacing w:after="0"/>
              <w:rPr>
                <w:sz w:val="20"/>
                <w:szCs w:val="20"/>
                <w:color w:val="auto"/>
              </w:rPr>
            </w:pPr>
            <w:r>
              <w:rPr>
                <w:rFonts w:ascii="Arial" w:cs="Arial" w:eastAsia="Arial" w:hAnsi="Arial"/>
                <w:sz w:val="14"/>
                <w:szCs w:val="14"/>
                <w:b w:val="1"/>
                <w:bCs w:val="1"/>
                <w:color w:val="FFFFFF"/>
              </w:rPr>
              <w:t>Estimated Future Payouts</w:t>
            </w:r>
          </w:p>
        </w:tc>
        <w:tc>
          <w:tcPr>
            <w:tcW w:w="640" w:type="dxa"/>
            <w:vAlign w:val="bottom"/>
            <w:shd w:val="clear" w:color="auto" w:fill="0093FF"/>
          </w:tcPr>
          <w:p>
            <w:pPr>
              <w:spacing w:after="0"/>
              <w:rPr>
                <w:sz w:val="24"/>
                <w:szCs w:val="24"/>
                <w:color w:val="auto"/>
              </w:rPr>
            </w:pPr>
          </w:p>
        </w:tc>
        <w:tc>
          <w:tcPr>
            <w:tcW w:w="100" w:type="dxa"/>
            <w:vAlign w:val="bottom"/>
            <w:shd w:val="clear" w:color="auto" w:fill="0093FF"/>
          </w:tcPr>
          <w:p>
            <w:pPr>
              <w:spacing w:after="0"/>
              <w:rPr>
                <w:sz w:val="24"/>
                <w:szCs w:val="24"/>
                <w:color w:val="auto"/>
              </w:rPr>
            </w:pPr>
          </w:p>
        </w:tc>
        <w:tc>
          <w:tcPr>
            <w:tcW w:w="80" w:type="dxa"/>
            <w:vAlign w:val="bottom"/>
            <w:shd w:val="clear" w:color="auto" w:fill="0093FF"/>
          </w:tcPr>
          <w:p>
            <w:pPr>
              <w:spacing w:after="0"/>
              <w:rPr>
                <w:sz w:val="24"/>
                <w:szCs w:val="24"/>
                <w:color w:val="auto"/>
              </w:rPr>
            </w:pPr>
          </w:p>
        </w:tc>
        <w:tc>
          <w:tcPr>
            <w:tcW w:w="960" w:type="dxa"/>
            <w:vAlign w:val="bottom"/>
            <w:shd w:val="clear" w:color="auto" w:fill="0093FF"/>
          </w:tcPr>
          <w:p>
            <w:pPr>
              <w:spacing w:after="0"/>
              <w:rPr>
                <w:sz w:val="24"/>
                <w:szCs w:val="24"/>
                <w:color w:val="auto"/>
              </w:rPr>
            </w:pPr>
          </w:p>
        </w:tc>
        <w:tc>
          <w:tcPr>
            <w:tcW w:w="120" w:type="dxa"/>
            <w:vAlign w:val="bottom"/>
            <w:shd w:val="clear" w:color="auto" w:fill="0093FF"/>
          </w:tcPr>
          <w:p>
            <w:pPr>
              <w:spacing w:after="0"/>
              <w:rPr>
                <w:sz w:val="24"/>
                <w:szCs w:val="24"/>
                <w:color w:val="auto"/>
              </w:rPr>
            </w:pPr>
          </w:p>
        </w:tc>
        <w:tc>
          <w:tcPr>
            <w:tcW w:w="180" w:type="dxa"/>
            <w:vAlign w:val="bottom"/>
            <w:shd w:val="clear" w:color="auto" w:fill="0093FF"/>
          </w:tcPr>
          <w:p>
            <w:pPr>
              <w:spacing w:after="0"/>
              <w:rPr>
                <w:sz w:val="24"/>
                <w:szCs w:val="24"/>
                <w:color w:val="auto"/>
              </w:rPr>
            </w:pPr>
          </w:p>
        </w:tc>
        <w:tc>
          <w:tcPr>
            <w:tcW w:w="960" w:type="dxa"/>
            <w:vAlign w:val="bottom"/>
            <w:shd w:val="clear" w:color="auto" w:fill="0093FF"/>
          </w:tcPr>
          <w:p>
            <w:pPr>
              <w:spacing w:after="0"/>
              <w:rPr>
                <w:sz w:val="24"/>
                <w:szCs w:val="24"/>
                <w:color w:val="auto"/>
              </w:rPr>
            </w:pPr>
          </w:p>
        </w:tc>
        <w:tc>
          <w:tcPr>
            <w:tcW w:w="120" w:type="dxa"/>
            <w:vAlign w:val="bottom"/>
            <w:shd w:val="clear" w:color="auto" w:fill="0093FF"/>
          </w:tcPr>
          <w:p>
            <w:pPr>
              <w:spacing w:after="0"/>
              <w:rPr>
                <w:sz w:val="24"/>
                <w:szCs w:val="24"/>
                <w:color w:val="auto"/>
              </w:rPr>
            </w:pPr>
          </w:p>
        </w:tc>
        <w:tc>
          <w:tcPr>
            <w:tcW w:w="100" w:type="dxa"/>
            <w:vAlign w:val="bottom"/>
            <w:tcBorders>
              <w:right w:val="single" w:sz="8" w:color="C3E6FF"/>
            </w:tcBorders>
            <w:shd w:val="clear" w:color="auto" w:fill="0093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C3E6FF"/>
            </w:tcBorders>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2480" w:type="dxa"/>
            <w:vAlign w:val="bottom"/>
            <w:gridSpan w:val="6"/>
            <w:shd w:val="clear" w:color="auto" w:fill="0093FF"/>
          </w:tcPr>
          <w:p>
            <w:pPr>
              <w:jc w:val="center"/>
              <w:ind w:left="488"/>
              <w:spacing w:after="0"/>
              <w:rPr>
                <w:sz w:val="20"/>
                <w:szCs w:val="20"/>
                <w:color w:val="auto"/>
              </w:rPr>
            </w:pPr>
            <w:r>
              <w:rPr>
                <w:rFonts w:ascii="Arial" w:cs="Arial" w:eastAsia="Arial" w:hAnsi="Arial"/>
                <w:sz w:val="14"/>
                <w:szCs w:val="14"/>
                <w:b w:val="1"/>
                <w:bCs w:val="1"/>
                <w:color w:val="FFFFFF"/>
              </w:rPr>
              <w:t>Under Non-Equity Incentive</w:t>
            </w:r>
          </w:p>
        </w:tc>
        <w:tc>
          <w:tcPr>
            <w:tcW w:w="5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740" w:type="dxa"/>
            <w:vAlign w:val="bottom"/>
            <w:shd w:val="clear" w:color="auto" w:fill="0093FF"/>
          </w:tcPr>
          <w:p>
            <w:pPr>
              <w:spacing w:after="0"/>
              <w:rPr>
                <w:sz w:val="14"/>
                <w:szCs w:val="14"/>
                <w:color w:val="auto"/>
              </w:rPr>
            </w:pPr>
          </w:p>
        </w:tc>
        <w:tc>
          <w:tcPr>
            <w:tcW w:w="1680" w:type="dxa"/>
            <w:vAlign w:val="bottom"/>
            <w:gridSpan w:val="5"/>
            <w:shd w:val="clear" w:color="auto" w:fill="0093FF"/>
          </w:tcPr>
          <w:p>
            <w:pPr>
              <w:jc w:val="center"/>
              <w:ind w:right="59"/>
              <w:spacing w:after="0"/>
              <w:rPr>
                <w:sz w:val="20"/>
                <w:szCs w:val="20"/>
                <w:color w:val="auto"/>
              </w:rPr>
            </w:pPr>
            <w:r>
              <w:rPr>
                <w:rFonts w:ascii="Arial" w:cs="Arial" w:eastAsia="Arial" w:hAnsi="Arial"/>
                <w:sz w:val="14"/>
                <w:szCs w:val="14"/>
                <w:b w:val="1"/>
                <w:bCs w:val="1"/>
                <w:color w:val="FFFFFF"/>
              </w:rPr>
              <w:t>Under Equity Incentive</w:t>
            </w:r>
          </w:p>
        </w:tc>
        <w:tc>
          <w:tcPr>
            <w:tcW w:w="64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52"/>
              <w:spacing w:after="0"/>
              <w:rPr>
                <w:sz w:val="20"/>
                <w:szCs w:val="20"/>
                <w:color w:val="auto"/>
              </w:rPr>
            </w:pPr>
            <w:r>
              <w:rPr>
                <w:rFonts w:ascii="Arial" w:cs="Arial" w:eastAsia="Arial" w:hAnsi="Arial"/>
                <w:sz w:val="14"/>
                <w:szCs w:val="14"/>
                <w:b w:val="1"/>
                <w:bCs w:val="1"/>
                <w:color w:val="FFFFFF"/>
              </w:rPr>
              <w:t>All Other</w:t>
            </w:r>
          </w:p>
        </w:tc>
        <w:tc>
          <w:tcPr>
            <w:tcW w:w="120" w:type="dxa"/>
            <w:vAlign w:val="bottom"/>
            <w:shd w:val="clear" w:color="auto" w:fill="0093FF"/>
          </w:tcPr>
          <w:p>
            <w:pPr>
              <w:spacing w:after="0"/>
              <w:rPr>
                <w:sz w:val="14"/>
                <w:szCs w:val="14"/>
                <w:color w:val="auto"/>
              </w:rPr>
            </w:pPr>
          </w:p>
        </w:tc>
        <w:tc>
          <w:tcPr>
            <w:tcW w:w="180" w:type="dxa"/>
            <w:vAlign w:val="bottom"/>
            <w:shd w:val="clear" w:color="auto" w:fill="0093FF"/>
          </w:tcPr>
          <w:p>
            <w:pPr>
              <w:spacing w:after="0"/>
              <w:rPr>
                <w:sz w:val="14"/>
                <w:szCs w:val="14"/>
                <w:color w:val="auto"/>
              </w:rPr>
            </w:pPr>
          </w:p>
        </w:tc>
        <w:tc>
          <w:tcPr>
            <w:tcW w:w="960" w:type="dxa"/>
            <w:vAlign w:val="bottom"/>
            <w:shd w:val="clear" w:color="auto" w:fill="0093FF"/>
          </w:tcPr>
          <w:p>
            <w:pPr>
              <w:spacing w:after="0"/>
              <w:rPr>
                <w:sz w:val="14"/>
                <w:szCs w:val="14"/>
                <w:color w:val="auto"/>
              </w:rPr>
            </w:pPr>
          </w:p>
        </w:tc>
        <w:tc>
          <w:tcPr>
            <w:tcW w:w="120" w:type="dxa"/>
            <w:vAlign w:val="bottom"/>
            <w:shd w:val="clear" w:color="auto" w:fill="0093FF"/>
          </w:tcPr>
          <w:p>
            <w:pPr>
              <w:spacing w:after="0"/>
              <w:rPr>
                <w:sz w:val="14"/>
                <w:szCs w:val="14"/>
                <w:color w:val="auto"/>
              </w:rPr>
            </w:pPr>
          </w:p>
        </w:tc>
        <w:tc>
          <w:tcPr>
            <w:tcW w:w="100" w:type="dxa"/>
            <w:vAlign w:val="bottom"/>
            <w:tcBorders>
              <w:right w:val="single" w:sz="8" w:color="C3E6FF"/>
            </w:tcBorders>
            <w:shd w:val="clear" w:color="auto" w:fill="0093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0" w:type="dxa"/>
            <w:vAlign w:val="bottom"/>
            <w:tcBorders>
              <w:left w:val="single" w:sz="8" w:color="C3E6FF"/>
              <w:bottom w:val="single" w:sz="8" w:color="0093FF"/>
            </w:tcBorders>
            <w:shd w:val="clear" w:color="auto" w:fill="0093FF"/>
          </w:tcPr>
          <w:p>
            <w:pPr>
              <w:spacing w:after="0"/>
              <w:rPr>
                <w:sz w:val="16"/>
                <w:szCs w:val="16"/>
                <w:color w:val="auto"/>
              </w:rPr>
            </w:pPr>
          </w:p>
        </w:tc>
        <w:tc>
          <w:tcPr>
            <w:tcW w:w="56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92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80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1120" w:type="dxa"/>
            <w:vAlign w:val="bottom"/>
            <w:tcBorders>
              <w:bottom w:val="single" w:sz="8" w:color="0093FF"/>
            </w:tcBorders>
            <w:gridSpan w:val="2"/>
            <w:shd w:val="clear" w:color="auto" w:fill="0093FF"/>
          </w:tcPr>
          <w:p>
            <w:pPr>
              <w:jc w:val="center"/>
              <w:ind w:right="80"/>
              <w:spacing w:after="0" w:line="163"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8"/>
                <w:szCs w:val="18"/>
                <w:b w:val="1"/>
                <w:bCs w:val="1"/>
                <w:color w:val="FFFFFF"/>
                <w:vertAlign w:val="superscript"/>
              </w:rPr>
              <w:t>(1)</w:t>
            </w:r>
          </w:p>
        </w:tc>
        <w:tc>
          <w:tcPr>
            <w:tcW w:w="360" w:type="dxa"/>
            <w:vAlign w:val="bottom"/>
            <w:tcBorders>
              <w:bottom w:val="single" w:sz="8" w:color="0093FF"/>
            </w:tcBorders>
            <w:shd w:val="clear" w:color="auto" w:fill="0093FF"/>
          </w:tcPr>
          <w:p>
            <w:pPr>
              <w:spacing w:after="0"/>
              <w:rPr>
                <w:sz w:val="16"/>
                <w:szCs w:val="16"/>
                <w:color w:val="auto"/>
              </w:rPr>
            </w:pPr>
          </w:p>
        </w:tc>
        <w:tc>
          <w:tcPr>
            <w:tcW w:w="560" w:type="dxa"/>
            <w:vAlign w:val="bottom"/>
            <w:tcBorders>
              <w:bottom w:val="single" w:sz="8" w:color="0093FF"/>
            </w:tcBorders>
            <w:shd w:val="clear" w:color="auto" w:fill="0093FF"/>
          </w:tcPr>
          <w:p>
            <w:pPr>
              <w:spacing w:after="0"/>
              <w:rPr>
                <w:sz w:val="16"/>
                <w:szCs w:val="16"/>
                <w:color w:val="auto"/>
              </w:rPr>
            </w:pPr>
          </w:p>
        </w:tc>
        <w:tc>
          <w:tcPr>
            <w:tcW w:w="200" w:type="dxa"/>
            <w:vAlign w:val="bottom"/>
            <w:tcBorders>
              <w:bottom w:val="single" w:sz="8" w:color="0093FF"/>
            </w:tcBorders>
            <w:shd w:val="clear" w:color="auto" w:fill="0093FF"/>
          </w:tcPr>
          <w:p>
            <w:pPr>
              <w:spacing w:after="0"/>
              <w:rPr>
                <w:sz w:val="16"/>
                <w:szCs w:val="16"/>
                <w:color w:val="auto"/>
              </w:rPr>
            </w:pPr>
          </w:p>
        </w:tc>
        <w:tc>
          <w:tcPr>
            <w:tcW w:w="740" w:type="dxa"/>
            <w:vAlign w:val="bottom"/>
            <w:tcBorders>
              <w:bottom w:val="single" w:sz="8" w:color="0093FF"/>
            </w:tcBorders>
            <w:shd w:val="clear" w:color="auto" w:fill="0093FF"/>
          </w:tcPr>
          <w:p>
            <w:pPr>
              <w:spacing w:after="0"/>
              <w:rPr>
                <w:sz w:val="16"/>
                <w:szCs w:val="16"/>
                <w:color w:val="auto"/>
              </w:rPr>
            </w:pPr>
          </w:p>
        </w:tc>
        <w:tc>
          <w:tcPr>
            <w:tcW w:w="60" w:type="dxa"/>
            <w:vAlign w:val="bottom"/>
            <w:tcBorders>
              <w:bottom w:val="single" w:sz="8" w:color="0093FF"/>
            </w:tcBorders>
            <w:shd w:val="clear" w:color="auto" w:fill="0093FF"/>
          </w:tcPr>
          <w:p>
            <w:pPr>
              <w:spacing w:after="0"/>
              <w:rPr>
                <w:sz w:val="16"/>
                <w:szCs w:val="16"/>
                <w:color w:val="auto"/>
              </w:rPr>
            </w:pPr>
          </w:p>
        </w:tc>
        <w:tc>
          <w:tcPr>
            <w:tcW w:w="200" w:type="dxa"/>
            <w:vAlign w:val="bottom"/>
            <w:tcBorders>
              <w:bottom w:val="single" w:sz="8" w:color="0093FF"/>
            </w:tcBorders>
            <w:shd w:val="clear" w:color="auto" w:fill="0093FF"/>
          </w:tcPr>
          <w:p>
            <w:pPr>
              <w:spacing w:after="0"/>
              <w:rPr>
                <w:sz w:val="16"/>
                <w:szCs w:val="16"/>
                <w:color w:val="auto"/>
              </w:rPr>
            </w:pPr>
          </w:p>
        </w:tc>
        <w:tc>
          <w:tcPr>
            <w:tcW w:w="1000" w:type="dxa"/>
            <w:vAlign w:val="bottom"/>
            <w:tcBorders>
              <w:bottom w:val="single" w:sz="8" w:color="0093FF"/>
            </w:tcBorders>
            <w:gridSpan w:val="2"/>
            <w:shd w:val="clear" w:color="auto" w:fill="0093FF"/>
          </w:tcPr>
          <w:p>
            <w:pPr>
              <w:jc w:val="center"/>
              <w:spacing w:after="0"/>
              <w:rPr>
                <w:sz w:val="20"/>
                <w:szCs w:val="20"/>
                <w:color w:val="auto"/>
              </w:rPr>
            </w:pPr>
            <w:r>
              <w:rPr>
                <w:rFonts w:ascii="Arial" w:cs="Arial" w:eastAsia="Arial" w:hAnsi="Arial"/>
                <w:sz w:val="14"/>
                <w:szCs w:val="14"/>
                <w:b w:val="1"/>
                <w:bCs w:val="1"/>
                <w:color w:val="FFFFFF"/>
              </w:rPr>
              <w:t>Plan Awards</w:t>
            </w:r>
          </w:p>
        </w:tc>
        <w:tc>
          <w:tcPr>
            <w:tcW w:w="420" w:type="dxa"/>
            <w:vAlign w:val="bottom"/>
            <w:tcBorders>
              <w:bottom w:val="single" w:sz="8" w:color="0093FF"/>
            </w:tcBorders>
            <w:shd w:val="clear" w:color="auto" w:fill="0093FF"/>
          </w:tcPr>
          <w:p>
            <w:pPr>
              <w:spacing w:after="0"/>
              <w:rPr>
                <w:sz w:val="16"/>
                <w:szCs w:val="16"/>
                <w:color w:val="auto"/>
              </w:rPr>
            </w:pPr>
          </w:p>
        </w:tc>
        <w:tc>
          <w:tcPr>
            <w:tcW w:w="64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tcBorders>
            <w:shd w:val="clear" w:color="auto" w:fill="0093FF"/>
          </w:tcPr>
          <w:p>
            <w:pPr>
              <w:spacing w:after="0"/>
              <w:rPr>
                <w:sz w:val="16"/>
                <w:szCs w:val="16"/>
                <w:color w:val="auto"/>
              </w:rPr>
            </w:pPr>
          </w:p>
        </w:tc>
        <w:tc>
          <w:tcPr>
            <w:tcW w:w="80" w:type="dxa"/>
            <w:vAlign w:val="bottom"/>
            <w:tcBorders>
              <w:bottom w:val="single" w:sz="8" w:color="0093FF"/>
            </w:tcBorders>
            <w:shd w:val="clear" w:color="auto" w:fill="0093FF"/>
          </w:tcPr>
          <w:p>
            <w:pPr>
              <w:spacing w:after="0"/>
              <w:rPr>
                <w:sz w:val="16"/>
                <w:szCs w:val="16"/>
                <w:color w:val="auto"/>
              </w:rPr>
            </w:pPr>
          </w:p>
        </w:tc>
        <w:tc>
          <w:tcPr>
            <w:tcW w:w="960" w:type="dxa"/>
            <w:vAlign w:val="bottom"/>
            <w:tcBorders>
              <w:bottom w:val="single" w:sz="8" w:color="0093FF"/>
            </w:tcBorders>
            <w:shd w:val="clear" w:color="auto" w:fill="0093FF"/>
          </w:tcPr>
          <w:p>
            <w:pPr>
              <w:jc w:val="center"/>
              <w:ind w:left="52"/>
              <w:spacing w:after="0"/>
              <w:rPr>
                <w:sz w:val="20"/>
                <w:szCs w:val="20"/>
                <w:color w:val="auto"/>
              </w:rPr>
            </w:pPr>
            <w:r>
              <w:rPr>
                <w:rFonts w:ascii="Arial" w:cs="Arial" w:eastAsia="Arial" w:hAnsi="Arial"/>
                <w:sz w:val="14"/>
                <w:szCs w:val="14"/>
                <w:b w:val="1"/>
                <w:bCs w:val="1"/>
                <w:color w:val="FFFFFF"/>
              </w:rPr>
              <w:t>Stock</w:t>
            </w:r>
          </w:p>
        </w:tc>
        <w:tc>
          <w:tcPr>
            <w:tcW w:w="120" w:type="dxa"/>
            <w:vAlign w:val="bottom"/>
            <w:tcBorders>
              <w:bottom w:val="single" w:sz="8" w:color="0093FF"/>
            </w:tcBorders>
            <w:shd w:val="clear" w:color="auto" w:fill="0093FF"/>
          </w:tcPr>
          <w:p>
            <w:pPr>
              <w:spacing w:after="0"/>
              <w:rPr>
                <w:sz w:val="16"/>
                <w:szCs w:val="16"/>
                <w:color w:val="auto"/>
              </w:rPr>
            </w:pPr>
          </w:p>
        </w:tc>
        <w:tc>
          <w:tcPr>
            <w:tcW w:w="180" w:type="dxa"/>
            <w:vAlign w:val="bottom"/>
            <w:tcBorders>
              <w:bottom w:val="single" w:sz="8" w:color="0093FF"/>
            </w:tcBorders>
            <w:shd w:val="clear" w:color="auto" w:fill="0093FF"/>
          </w:tcPr>
          <w:p>
            <w:pPr>
              <w:spacing w:after="0"/>
              <w:rPr>
                <w:sz w:val="16"/>
                <w:szCs w:val="16"/>
                <w:color w:val="auto"/>
              </w:rPr>
            </w:pPr>
          </w:p>
        </w:tc>
        <w:tc>
          <w:tcPr>
            <w:tcW w:w="960" w:type="dxa"/>
            <w:vAlign w:val="bottom"/>
            <w:tcBorders>
              <w:bottom w:val="single" w:sz="8" w:color="0093FF"/>
            </w:tcBorders>
            <w:vMerge w:val="restart"/>
            <w:shd w:val="clear" w:color="auto" w:fill="0093FF"/>
          </w:tcPr>
          <w:p>
            <w:pPr>
              <w:jc w:val="center"/>
              <w:ind w:left="49"/>
              <w:spacing w:after="0"/>
              <w:rPr>
                <w:sz w:val="20"/>
                <w:szCs w:val="20"/>
                <w:color w:val="auto"/>
              </w:rPr>
            </w:pPr>
            <w:r>
              <w:rPr>
                <w:rFonts w:ascii="Arial" w:cs="Arial" w:eastAsia="Arial" w:hAnsi="Arial"/>
                <w:sz w:val="14"/>
                <w:szCs w:val="14"/>
                <w:b w:val="1"/>
                <w:bCs w:val="1"/>
                <w:color w:val="FFFFFF"/>
              </w:rPr>
              <w:t>Grant Date</w:t>
            </w:r>
          </w:p>
        </w:tc>
        <w:tc>
          <w:tcPr>
            <w:tcW w:w="120" w:type="dxa"/>
            <w:vAlign w:val="bottom"/>
            <w:tcBorders>
              <w:bottom w:val="single" w:sz="8" w:color="0093FF"/>
            </w:tcBorders>
            <w:shd w:val="clear" w:color="auto" w:fill="0093FF"/>
          </w:tcPr>
          <w:p>
            <w:pPr>
              <w:spacing w:after="0"/>
              <w:rPr>
                <w:sz w:val="16"/>
                <w:szCs w:val="16"/>
                <w:color w:val="auto"/>
              </w:rPr>
            </w:pPr>
          </w:p>
        </w:tc>
        <w:tc>
          <w:tcPr>
            <w:tcW w:w="100" w:type="dxa"/>
            <w:vAlign w:val="bottom"/>
            <w:tcBorders>
              <w:bottom w:val="single" w:sz="8" w:color="0093FF"/>
              <w:right w:val="single" w:sz="8" w:color="C3E6FF"/>
            </w:tcBorders>
            <w:shd w:val="clear" w:color="auto" w:fill="0093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0" w:type="dxa"/>
            <w:vAlign w:val="bottom"/>
            <w:tcBorders>
              <w:top w:val="single" w:sz="8" w:color="0093FF"/>
              <w:left w:val="single" w:sz="8" w:color="C3E6FF"/>
            </w:tcBorders>
            <w:shd w:val="clear" w:color="auto" w:fill="0093FF"/>
          </w:tcPr>
          <w:p>
            <w:pPr>
              <w:spacing w:after="0"/>
              <w:rPr>
                <w:sz w:val="8"/>
                <w:szCs w:val="8"/>
                <w:color w:val="auto"/>
              </w:rPr>
            </w:pPr>
          </w:p>
        </w:tc>
        <w:tc>
          <w:tcPr>
            <w:tcW w:w="560" w:type="dxa"/>
            <w:vAlign w:val="bottom"/>
            <w:tcBorders>
              <w:top w:val="single" w:sz="8" w:color="0093FF"/>
            </w:tcBorders>
            <w:shd w:val="clear" w:color="auto" w:fill="0093FF"/>
          </w:tcPr>
          <w:p>
            <w:pPr>
              <w:spacing w:after="0"/>
              <w:rPr>
                <w:sz w:val="8"/>
                <w:szCs w:val="8"/>
                <w:color w:val="auto"/>
              </w:rPr>
            </w:pPr>
          </w:p>
        </w:tc>
        <w:tc>
          <w:tcPr>
            <w:tcW w:w="100" w:type="dxa"/>
            <w:vAlign w:val="bottom"/>
            <w:tcBorders>
              <w:top w:val="single" w:sz="8" w:color="0093FF"/>
            </w:tcBorders>
            <w:shd w:val="clear" w:color="auto" w:fill="0093FF"/>
          </w:tcPr>
          <w:p>
            <w:pPr>
              <w:spacing w:after="0"/>
              <w:rPr>
                <w:sz w:val="8"/>
                <w:szCs w:val="8"/>
                <w:color w:val="auto"/>
              </w:rPr>
            </w:pPr>
          </w:p>
        </w:tc>
        <w:tc>
          <w:tcPr>
            <w:tcW w:w="100" w:type="dxa"/>
            <w:vAlign w:val="bottom"/>
            <w:tcBorders>
              <w:top w:val="single" w:sz="8" w:color="0093FF"/>
            </w:tcBorders>
            <w:shd w:val="clear" w:color="auto" w:fill="0093FF"/>
          </w:tcPr>
          <w:p>
            <w:pPr>
              <w:spacing w:after="0"/>
              <w:rPr>
                <w:sz w:val="8"/>
                <w:szCs w:val="8"/>
                <w:color w:val="auto"/>
              </w:rPr>
            </w:pPr>
          </w:p>
        </w:tc>
        <w:tc>
          <w:tcPr>
            <w:tcW w:w="920" w:type="dxa"/>
            <w:vAlign w:val="bottom"/>
            <w:tcBorders>
              <w:top w:val="single" w:sz="8" w:color="0093FF"/>
            </w:tcBorders>
            <w:shd w:val="clear" w:color="auto" w:fill="0093FF"/>
          </w:tcPr>
          <w:p>
            <w:pPr>
              <w:spacing w:after="0"/>
              <w:rPr>
                <w:sz w:val="8"/>
                <w:szCs w:val="8"/>
                <w:color w:val="auto"/>
              </w:rPr>
            </w:pPr>
          </w:p>
        </w:tc>
        <w:tc>
          <w:tcPr>
            <w:tcW w:w="100" w:type="dxa"/>
            <w:vAlign w:val="bottom"/>
            <w:tcBorders>
              <w:top w:val="single" w:sz="8" w:color="0093FF"/>
            </w:tcBorders>
            <w:shd w:val="clear" w:color="auto" w:fill="0093FF"/>
          </w:tcPr>
          <w:p>
            <w:pPr>
              <w:spacing w:after="0"/>
              <w:rPr>
                <w:sz w:val="8"/>
                <w:szCs w:val="8"/>
                <w:color w:val="auto"/>
              </w:rPr>
            </w:pPr>
          </w:p>
        </w:tc>
        <w:tc>
          <w:tcPr>
            <w:tcW w:w="100" w:type="dxa"/>
            <w:vAlign w:val="bottom"/>
            <w:tcBorders>
              <w:top w:val="single" w:sz="8" w:color="0093FF"/>
            </w:tcBorders>
            <w:shd w:val="clear" w:color="auto" w:fill="0093FF"/>
          </w:tcPr>
          <w:p>
            <w:pPr>
              <w:spacing w:after="0"/>
              <w:rPr>
                <w:sz w:val="8"/>
                <w:szCs w:val="8"/>
                <w:color w:val="auto"/>
              </w:rPr>
            </w:pPr>
          </w:p>
        </w:tc>
        <w:tc>
          <w:tcPr>
            <w:tcW w:w="800" w:type="dxa"/>
            <w:vAlign w:val="bottom"/>
            <w:tcBorders>
              <w:top w:val="single" w:sz="8" w:color="auto"/>
            </w:tcBorders>
            <w:shd w:val="clear" w:color="auto" w:fill="0093FF"/>
          </w:tcPr>
          <w:p>
            <w:pPr>
              <w:spacing w:after="0"/>
              <w:rPr>
                <w:sz w:val="8"/>
                <w:szCs w:val="8"/>
                <w:color w:val="auto"/>
              </w:rPr>
            </w:pPr>
          </w:p>
        </w:tc>
        <w:tc>
          <w:tcPr>
            <w:tcW w:w="100" w:type="dxa"/>
            <w:vAlign w:val="bottom"/>
            <w:tcBorders>
              <w:top w:val="single" w:sz="8" w:color="auto"/>
            </w:tcBorders>
            <w:shd w:val="clear" w:color="auto" w:fill="0093FF"/>
          </w:tcPr>
          <w:p>
            <w:pPr>
              <w:spacing w:after="0"/>
              <w:rPr>
                <w:sz w:val="8"/>
                <w:szCs w:val="8"/>
                <w:color w:val="auto"/>
              </w:rPr>
            </w:pPr>
          </w:p>
        </w:tc>
        <w:tc>
          <w:tcPr>
            <w:tcW w:w="100" w:type="dxa"/>
            <w:vAlign w:val="bottom"/>
            <w:tcBorders>
              <w:top w:val="single" w:sz="8" w:color="auto"/>
            </w:tcBorders>
            <w:shd w:val="clear" w:color="auto" w:fill="0093FF"/>
          </w:tcPr>
          <w:p>
            <w:pPr>
              <w:spacing w:after="0"/>
              <w:rPr>
                <w:sz w:val="8"/>
                <w:szCs w:val="8"/>
                <w:color w:val="auto"/>
              </w:rPr>
            </w:pPr>
          </w:p>
        </w:tc>
        <w:tc>
          <w:tcPr>
            <w:tcW w:w="920" w:type="dxa"/>
            <w:vAlign w:val="bottom"/>
            <w:tcBorders>
              <w:top w:val="single" w:sz="8" w:color="auto"/>
            </w:tcBorders>
            <w:shd w:val="clear" w:color="auto" w:fill="0093FF"/>
          </w:tcPr>
          <w:p>
            <w:pPr>
              <w:spacing w:after="0"/>
              <w:rPr>
                <w:sz w:val="8"/>
                <w:szCs w:val="8"/>
                <w:color w:val="auto"/>
              </w:rPr>
            </w:pPr>
          </w:p>
        </w:tc>
        <w:tc>
          <w:tcPr>
            <w:tcW w:w="200" w:type="dxa"/>
            <w:vAlign w:val="bottom"/>
            <w:tcBorders>
              <w:top w:val="single" w:sz="8" w:color="auto"/>
            </w:tcBorders>
            <w:shd w:val="clear" w:color="auto" w:fill="0093FF"/>
          </w:tcPr>
          <w:p>
            <w:pPr>
              <w:spacing w:after="0"/>
              <w:rPr>
                <w:sz w:val="8"/>
                <w:szCs w:val="8"/>
                <w:color w:val="auto"/>
              </w:rPr>
            </w:pPr>
          </w:p>
        </w:tc>
        <w:tc>
          <w:tcPr>
            <w:tcW w:w="360" w:type="dxa"/>
            <w:vAlign w:val="bottom"/>
            <w:tcBorders>
              <w:top w:val="single" w:sz="8" w:color="auto"/>
            </w:tcBorders>
            <w:shd w:val="clear" w:color="auto" w:fill="0093FF"/>
          </w:tcPr>
          <w:p>
            <w:pPr>
              <w:spacing w:after="0"/>
              <w:rPr>
                <w:sz w:val="8"/>
                <w:szCs w:val="8"/>
                <w:color w:val="auto"/>
              </w:rPr>
            </w:pPr>
          </w:p>
        </w:tc>
        <w:tc>
          <w:tcPr>
            <w:tcW w:w="560" w:type="dxa"/>
            <w:vAlign w:val="bottom"/>
            <w:tcBorders>
              <w:top w:val="single" w:sz="8" w:color="auto"/>
            </w:tcBorders>
            <w:shd w:val="clear" w:color="auto" w:fill="0093FF"/>
          </w:tcPr>
          <w:p>
            <w:pPr>
              <w:spacing w:after="0"/>
              <w:rPr>
                <w:sz w:val="8"/>
                <w:szCs w:val="8"/>
                <w:color w:val="auto"/>
              </w:rPr>
            </w:pPr>
          </w:p>
        </w:tc>
        <w:tc>
          <w:tcPr>
            <w:tcW w:w="200" w:type="dxa"/>
            <w:vAlign w:val="bottom"/>
            <w:tcBorders>
              <w:top w:val="single" w:sz="8" w:color="0093FF"/>
            </w:tcBorders>
            <w:shd w:val="clear" w:color="auto" w:fill="0093FF"/>
          </w:tcPr>
          <w:p>
            <w:pPr>
              <w:spacing w:after="0"/>
              <w:rPr>
                <w:sz w:val="8"/>
                <w:szCs w:val="8"/>
                <w:color w:val="auto"/>
              </w:rPr>
            </w:pPr>
          </w:p>
        </w:tc>
        <w:tc>
          <w:tcPr>
            <w:tcW w:w="740" w:type="dxa"/>
            <w:vAlign w:val="bottom"/>
            <w:tcBorders>
              <w:top w:val="single" w:sz="8" w:color="auto"/>
            </w:tcBorders>
            <w:shd w:val="clear" w:color="auto" w:fill="0093FF"/>
          </w:tcPr>
          <w:p>
            <w:pPr>
              <w:spacing w:after="0"/>
              <w:rPr>
                <w:sz w:val="8"/>
                <w:szCs w:val="8"/>
                <w:color w:val="auto"/>
              </w:rPr>
            </w:pPr>
          </w:p>
        </w:tc>
        <w:tc>
          <w:tcPr>
            <w:tcW w:w="60" w:type="dxa"/>
            <w:vAlign w:val="bottom"/>
            <w:tcBorders>
              <w:top w:val="single" w:sz="8" w:color="auto"/>
            </w:tcBorders>
            <w:shd w:val="clear" w:color="auto" w:fill="0093FF"/>
          </w:tcPr>
          <w:p>
            <w:pPr>
              <w:spacing w:after="0"/>
              <w:rPr>
                <w:sz w:val="8"/>
                <w:szCs w:val="8"/>
                <w:color w:val="auto"/>
              </w:rPr>
            </w:pPr>
          </w:p>
        </w:tc>
        <w:tc>
          <w:tcPr>
            <w:tcW w:w="200" w:type="dxa"/>
            <w:vAlign w:val="bottom"/>
            <w:tcBorders>
              <w:top w:val="single" w:sz="8" w:color="auto"/>
            </w:tcBorders>
            <w:shd w:val="clear" w:color="auto" w:fill="0093FF"/>
          </w:tcPr>
          <w:p>
            <w:pPr>
              <w:spacing w:after="0"/>
              <w:rPr>
                <w:sz w:val="8"/>
                <w:szCs w:val="8"/>
                <w:color w:val="auto"/>
              </w:rPr>
            </w:pPr>
          </w:p>
        </w:tc>
        <w:tc>
          <w:tcPr>
            <w:tcW w:w="800" w:type="dxa"/>
            <w:vAlign w:val="bottom"/>
            <w:tcBorders>
              <w:top w:val="single" w:sz="8" w:color="auto"/>
            </w:tcBorders>
            <w:shd w:val="clear" w:color="auto" w:fill="0093FF"/>
          </w:tcPr>
          <w:p>
            <w:pPr>
              <w:spacing w:after="0"/>
              <w:rPr>
                <w:sz w:val="8"/>
                <w:szCs w:val="8"/>
                <w:color w:val="auto"/>
              </w:rPr>
            </w:pPr>
          </w:p>
        </w:tc>
        <w:tc>
          <w:tcPr>
            <w:tcW w:w="200" w:type="dxa"/>
            <w:vAlign w:val="bottom"/>
            <w:tcBorders>
              <w:top w:val="single" w:sz="8" w:color="auto"/>
            </w:tcBorders>
            <w:shd w:val="clear" w:color="auto" w:fill="0093FF"/>
          </w:tcPr>
          <w:p>
            <w:pPr>
              <w:spacing w:after="0"/>
              <w:rPr>
                <w:sz w:val="8"/>
                <w:szCs w:val="8"/>
                <w:color w:val="auto"/>
              </w:rPr>
            </w:pPr>
          </w:p>
        </w:tc>
        <w:tc>
          <w:tcPr>
            <w:tcW w:w="420" w:type="dxa"/>
            <w:vAlign w:val="bottom"/>
            <w:tcBorders>
              <w:top w:val="single" w:sz="8" w:color="auto"/>
            </w:tcBorders>
            <w:shd w:val="clear" w:color="auto" w:fill="0093FF"/>
          </w:tcPr>
          <w:p>
            <w:pPr>
              <w:spacing w:after="0"/>
              <w:rPr>
                <w:sz w:val="8"/>
                <w:szCs w:val="8"/>
                <w:color w:val="auto"/>
              </w:rPr>
            </w:pPr>
          </w:p>
        </w:tc>
        <w:tc>
          <w:tcPr>
            <w:tcW w:w="640" w:type="dxa"/>
            <w:vAlign w:val="bottom"/>
            <w:tcBorders>
              <w:top w:val="single" w:sz="8" w:color="auto"/>
            </w:tcBorders>
            <w:shd w:val="clear" w:color="auto" w:fill="0093FF"/>
          </w:tcPr>
          <w:p>
            <w:pPr>
              <w:spacing w:after="0"/>
              <w:rPr>
                <w:sz w:val="8"/>
                <w:szCs w:val="8"/>
                <w:color w:val="auto"/>
              </w:rPr>
            </w:pPr>
          </w:p>
        </w:tc>
        <w:tc>
          <w:tcPr>
            <w:tcW w:w="100" w:type="dxa"/>
            <w:vAlign w:val="bottom"/>
            <w:tcBorders>
              <w:top w:val="single" w:sz="8" w:color="0093FF"/>
            </w:tcBorders>
            <w:shd w:val="clear" w:color="auto" w:fill="0093FF"/>
          </w:tcPr>
          <w:p>
            <w:pPr>
              <w:spacing w:after="0"/>
              <w:rPr>
                <w:sz w:val="8"/>
                <w:szCs w:val="8"/>
                <w:color w:val="auto"/>
              </w:rPr>
            </w:pPr>
          </w:p>
        </w:tc>
        <w:tc>
          <w:tcPr>
            <w:tcW w:w="80" w:type="dxa"/>
            <w:vAlign w:val="bottom"/>
            <w:tcBorders>
              <w:top w:val="single" w:sz="8" w:color="0093FF"/>
            </w:tcBorders>
            <w:shd w:val="clear" w:color="auto" w:fill="0093FF"/>
          </w:tcPr>
          <w:p>
            <w:pPr>
              <w:spacing w:after="0"/>
              <w:rPr>
                <w:sz w:val="8"/>
                <w:szCs w:val="8"/>
                <w:color w:val="auto"/>
              </w:rPr>
            </w:pPr>
          </w:p>
        </w:tc>
        <w:tc>
          <w:tcPr>
            <w:tcW w:w="960" w:type="dxa"/>
            <w:vAlign w:val="bottom"/>
            <w:tcBorders>
              <w:top w:val="single" w:sz="8" w:color="0093FF"/>
            </w:tcBorders>
            <w:shd w:val="clear" w:color="auto" w:fill="0093FF"/>
          </w:tcPr>
          <w:p>
            <w:pPr>
              <w:jc w:val="center"/>
              <w:ind w:left="52"/>
              <w:spacing w:after="0" w:line="82" w:lineRule="exact"/>
              <w:rPr>
                <w:sz w:val="20"/>
                <w:szCs w:val="20"/>
                <w:color w:val="auto"/>
              </w:rPr>
            </w:pPr>
            <w:r>
              <w:rPr>
                <w:rFonts w:ascii="Arial" w:cs="Arial" w:eastAsia="Arial" w:hAnsi="Arial"/>
                <w:sz w:val="9"/>
                <w:szCs w:val="9"/>
                <w:b w:val="1"/>
                <w:bCs w:val="1"/>
                <w:color w:val="FFFFFF"/>
              </w:rPr>
              <w:t>Awards:</w:t>
            </w:r>
          </w:p>
        </w:tc>
        <w:tc>
          <w:tcPr>
            <w:tcW w:w="120" w:type="dxa"/>
            <w:vAlign w:val="bottom"/>
            <w:tcBorders>
              <w:top w:val="single" w:sz="8" w:color="0093FF"/>
            </w:tcBorders>
            <w:shd w:val="clear" w:color="auto" w:fill="0093FF"/>
          </w:tcPr>
          <w:p>
            <w:pPr>
              <w:spacing w:after="0"/>
              <w:rPr>
                <w:sz w:val="8"/>
                <w:szCs w:val="8"/>
                <w:color w:val="auto"/>
              </w:rPr>
            </w:pPr>
          </w:p>
        </w:tc>
        <w:tc>
          <w:tcPr>
            <w:tcW w:w="180" w:type="dxa"/>
            <w:vAlign w:val="bottom"/>
            <w:tcBorders>
              <w:top w:val="single" w:sz="8" w:color="0093FF"/>
            </w:tcBorders>
            <w:shd w:val="clear" w:color="auto" w:fill="0093FF"/>
          </w:tcPr>
          <w:p>
            <w:pPr>
              <w:spacing w:after="0"/>
              <w:rPr>
                <w:sz w:val="8"/>
                <w:szCs w:val="8"/>
                <w:color w:val="auto"/>
              </w:rPr>
            </w:pPr>
          </w:p>
        </w:tc>
        <w:tc>
          <w:tcPr>
            <w:tcW w:w="960" w:type="dxa"/>
            <w:vAlign w:val="bottom"/>
            <w:tcBorders>
              <w:top w:val="single" w:sz="8" w:color="0093FF"/>
            </w:tcBorders>
            <w:vMerge w:val="continue"/>
            <w:shd w:val="clear" w:color="auto" w:fill="0093FF"/>
          </w:tcPr>
          <w:p>
            <w:pPr>
              <w:spacing w:after="0"/>
              <w:rPr>
                <w:sz w:val="8"/>
                <w:szCs w:val="8"/>
                <w:color w:val="auto"/>
              </w:rPr>
            </w:pPr>
          </w:p>
        </w:tc>
        <w:tc>
          <w:tcPr>
            <w:tcW w:w="120" w:type="dxa"/>
            <w:vAlign w:val="bottom"/>
            <w:tcBorders>
              <w:top w:val="single" w:sz="8" w:color="0093FF"/>
            </w:tcBorders>
            <w:shd w:val="clear" w:color="auto" w:fill="0093FF"/>
          </w:tcPr>
          <w:p>
            <w:pPr>
              <w:spacing w:after="0"/>
              <w:rPr>
                <w:sz w:val="8"/>
                <w:szCs w:val="8"/>
                <w:color w:val="auto"/>
              </w:rPr>
            </w:pPr>
          </w:p>
        </w:tc>
        <w:tc>
          <w:tcPr>
            <w:tcW w:w="100" w:type="dxa"/>
            <w:vAlign w:val="bottom"/>
            <w:tcBorders>
              <w:top w:val="single" w:sz="8" w:color="0093FF"/>
              <w:right w:val="single" w:sz="8" w:color="C3E6FF"/>
            </w:tcBorders>
            <w:shd w:val="clear" w:color="auto" w:fill="0093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C3E6FF"/>
            </w:tcBorders>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740" w:type="dxa"/>
            <w:vAlign w:val="bottom"/>
            <w:shd w:val="clear" w:color="auto" w:fill="0093FF"/>
          </w:tcPr>
          <w:p>
            <w:pPr>
              <w:spacing w:after="0"/>
              <w:rPr>
                <w:sz w:val="14"/>
                <w:szCs w:val="14"/>
                <w:color w:val="auto"/>
              </w:rPr>
            </w:pPr>
          </w:p>
        </w:tc>
        <w:tc>
          <w:tcPr>
            <w:tcW w:w="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80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420" w:type="dxa"/>
            <w:vAlign w:val="bottom"/>
            <w:shd w:val="clear" w:color="auto" w:fill="0093FF"/>
          </w:tcPr>
          <w:p>
            <w:pPr>
              <w:spacing w:after="0"/>
              <w:rPr>
                <w:sz w:val="14"/>
                <w:szCs w:val="14"/>
                <w:color w:val="auto"/>
              </w:rPr>
            </w:pPr>
          </w:p>
        </w:tc>
        <w:tc>
          <w:tcPr>
            <w:tcW w:w="64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52"/>
              <w:spacing w:after="0"/>
              <w:rPr>
                <w:sz w:val="20"/>
                <w:szCs w:val="20"/>
                <w:color w:val="auto"/>
              </w:rPr>
            </w:pPr>
            <w:r>
              <w:rPr>
                <w:rFonts w:ascii="Arial" w:cs="Arial" w:eastAsia="Arial" w:hAnsi="Arial"/>
                <w:sz w:val="14"/>
                <w:szCs w:val="14"/>
                <w:b w:val="1"/>
                <w:bCs w:val="1"/>
                <w:color w:val="FFFFFF"/>
              </w:rPr>
              <w:t>Number of</w:t>
            </w:r>
          </w:p>
        </w:tc>
        <w:tc>
          <w:tcPr>
            <w:tcW w:w="120" w:type="dxa"/>
            <w:vAlign w:val="bottom"/>
            <w:shd w:val="clear" w:color="auto" w:fill="0093FF"/>
          </w:tcPr>
          <w:p>
            <w:pPr>
              <w:spacing w:after="0"/>
              <w:rPr>
                <w:sz w:val="14"/>
                <w:szCs w:val="14"/>
                <w:color w:val="auto"/>
              </w:rPr>
            </w:pPr>
          </w:p>
        </w:tc>
        <w:tc>
          <w:tcPr>
            <w:tcW w:w="1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49"/>
              <w:spacing w:after="0"/>
              <w:rPr>
                <w:sz w:val="20"/>
                <w:szCs w:val="20"/>
                <w:color w:val="auto"/>
              </w:rPr>
            </w:pPr>
            <w:r>
              <w:rPr>
                <w:rFonts w:ascii="Arial" w:cs="Arial" w:eastAsia="Arial" w:hAnsi="Arial"/>
                <w:sz w:val="14"/>
                <w:szCs w:val="14"/>
                <w:b w:val="1"/>
                <w:bCs w:val="1"/>
                <w:color w:val="FFFFFF"/>
              </w:rPr>
              <w:t>Fair Value</w:t>
            </w:r>
          </w:p>
        </w:tc>
        <w:tc>
          <w:tcPr>
            <w:tcW w:w="120" w:type="dxa"/>
            <w:vAlign w:val="bottom"/>
            <w:shd w:val="clear" w:color="auto" w:fill="0093FF"/>
          </w:tcPr>
          <w:p>
            <w:pPr>
              <w:spacing w:after="0"/>
              <w:rPr>
                <w:sz w:val="14"/>
                <w:szCs w:val="14"/>
                <w:color w:val="auto"/>
              </w:rPr>
            </w:pPr>
          </w:p>
        </w:tc>
        <w:tc>
          <w:tcPr>
            <w:tcW w:w="100" w:type="dxa"/>
            <w:vAlign w:val="bottom"/>
            <w:tcBorders>
              <w:right w:val="single" w:sz="8" w:color="C3E6FF"/>
            </w:tcBorders>
            <w:shd w:val="clear" w:color="auto" w:fill="0093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C3E6FF"/>
            </w:tcBorders>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740" w:type="dxa"/>
            <w:vAlign w:val="bottom"/>
            <w:shd w:val="clear" w:color="auto" w:fill="0093FF"/>
          </w:tcPr>
          <w:p>
            <w:pPr>
              <w:spacing w:after="0"/>
              <w:rPr>
                <w:sz w:val="14"/>
                <w:szCs w:val="14"/>
                <w:color w:val="auto"/>
              </w:rPr>
            </w:pPr>
          </w:p>
        </w:tc>
        <w:tc>
          <w:tcPr>
            <w:tcW w:w="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80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420" w:type="dxa"/>
            <w:vAlign w:val="bottom"/>
            <w:shd w:val="clear" w:color="auto" w:fill="0093FF"/>
          </w:tcPr>
          <w:p>
            <w:pPr>
              <w:spacing w:after="0"/>
              <w:rPr>
                <w:sz w:val="14"/>
                <w:szCs w:val="14"/>
                <w:color w:val="auto"/>
              </w:rPr>
            </w:pPr>
          </w:p>
        </w:tc>
        <w:tc>
          <w:tcPr>
            <w:tcW w:w="64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72"/>
              <w:spacing w:after="0"/>
              <w:rPr>
                <w:sz w:val="20"/>
                <w:szCs w:val="20"/>
                <w:color w:val="auto"/>
              </w:rPr>
            </w:pPr>
            <w:r>
              <w:rPr>
                <w:rFonts w:ascii="Arial" w:cs="Arial" w:eastAsia="Arial" w:hAnsi="Arial"/>
                <w:sz w:val="14"/>
                <w:szCs w:val="14"/>
                <w:b w:val="1"/>
                <w:bCs w:val="1"/>
                <w:color w:val="FFFFFF"/>
              </w:rPr>
              <w:t>Shares of</w:t>
            </w:r>
          </w:p>
        </w:tc>
        <w:tc>
          <w:tcPr>
            <w:tcW w:w="120" w:type="dxa"/>
            <w:vAlign w:val="bottom"/>
            <w:shd w:val="clear" w:color="auto" w:fill="0093FF"/>
          </w:tcPr>
          <w:p>
            <w:pPr>
              <w:spacing w:after="0"/>
              <w:rPr>
                <w:sz w:val="14"/>
                <w:szCs w:val="14"/>
                <w:color w:val="auto"/>
              </w:rPr>
            </w:pPr>
          </w:p>
        </w:tc>
        <w:tc>
          <w:tcPr>
            <w:tcW w:w="1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49"/>
              <w:spacing w:after="0"/>
              <w:rPr>
                <w:sz w:val="20"/>
                <w:szCs w:val="20"/>
                <w:color w:val="auto"/>
              </w:rPr>
            </w:pPr>
            <w:r>
              <w:rPr>
                <w:rFonts w:ascii="Arial" w:cs="Arial" w:eastAsia="Arial" w:hAnsi="Arial"/>
                <w:sz w:val="14"/>
                <w:szCs w:val="14"/>
                <w:b w:val="1"/>
                <w:bCs w:val="1"/>
                <w:color w:val="FFFFFF"/>
              </w:rPr>
              <w:t>of Stock</w:t>
            </w:r>
          </w:p>
        </w:tc>
        <w:tc>
          <w:tcPr>
            <w:tcW w:w="120" w:type="dxa"/>
            <w:vAlign w:val="bottom"/>
            <w:shd w:val="clear" w:color="auto" w:fill="0093FF"/>
          </w:tcPr>
          <w:p>
            <w:pPr>
              <w:spacing w:after="0"/>
              <w:rPr>
                <w:sz w:val="14"/>
                <w:szCs w:val="14"/>
                <w:color w:val="auto"/>
              </w:rPr>
            </w:pPr>
          </w:p>
        </w:tc>
        <w:tc>
          <w:tcPr>
            <w:tcW w:w="100" w:type="dxa"/>
            <w:vAlign w:val="bottom"/>
            <w:tcBorders>
              <w:right w:val="single" w:sz="8" w:color="C3E6FF"/>
            </w:tcBorders>
            <w:shd w:val="clear" w:color="auto" w:fill="0093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C3E6FF"/>
            </w:tcBorders>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360" w:type="dxa"/>
            <w:vAlign w:val="bottom"/>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740" w:type="dxa"/>
            <w:vAlign w:val="bottom"/>
            <w:shd w:val="clear" w:color="auto" w:fill="0093FF"/>
          </w:tcPr>
          <w:p>
            <w:pPr>
              <w:spacing w:after="0"/>
              <w:rPr>
                <w:sz w:val="14"/>
                <w:szCs w:val="14"/>
                <w:color w:val="auto"/>
              </w:rPr>
            </w:pPr>
          </w:p>
        </w:tc>
        <w:tc>
          <w:tcPr>
            <w:tcW w:w="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80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420" w:type="dxa"/>
            <w:vAlign w:val="bottom"/>
            <w:shd w:val="clear" w:color="auto" w:fill="0093FF"/>
          </w:tcPr>
          <w:p>
            <w:pPr>
              <w:spacing w:after="0"/>
              <w:rPr>
                <w:sz w:val="14"/>
                <w:szCs w:val="14"/>
                <w:color w:val="auto"/>
              </w:rPr>
            </w:pPr>
          </w:p>
        </w:tc>
        <w:tc>
          <w:tcPr>
            <w:tcW w:w="64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72"/>
              <w:spacing w:after="0"/>
              <w:rPr>
                <w:sz w:val="20"/>
                <w:szCs w:val="20"/>
                <w:color w:val="auto"/>
              </w:rPr>
            </w:pPr>
            <w:r>
              <w:rPr>
                <w:rFonts w:ascii="Arial" w:cs="Arial" w:eastAsia="Arial" w:hAnsi="Arial"/>
                <w:sz w:val="14"/>
                <w:szCs w:val="14"/>
                <w:b w:val="1"/>
                <w:bCs w:val="1"/>
                <w:color w:val="FFFFFF"/>
              </w:rPr>
              <w:t>Stock or</w:t>
            </w:r>
          </w:p>
        </w:tc>
        <w:tc>
          <w:tcPr>
            <w:tcW w:w="120" w:type="dxa"/>
            <w:vAlign w:val="bottom"/>
            <w:shd w:val="clear" w:color="auto" w:fill="0093FF"/>
          </w:tcPr>
          <w:p>
            <w:pPr>
              <w:spacing w:after="0"/>
              <w:rPr>
                <w:sz w:val="14"/>
                <w:szCs w:val="14"/>
                <w:color w:val="auto"/>
              </w:rPr>
            </w:pPr>
          </w:p>
        </w:tc>
        <w:tc>
          <w:tcPr>
            <w:tcW w:w="1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49"/>
              <w:spacing w:after="0"/>
              <w:rPr>
                <w:sz w:val="20"/>
                <w:szCs w:val="20"/>
                <w:color w:val="auto"/>
              </w:rPr>
            </w:pPr>
            <w:r>
              <w:rPr>
                <w:rFonts w:ascii="Arial" w:cs="Arial" w:eastAsia="Arial" w:hAnsi="Arial"/>
                <w:sz w:val="14"/>
                <w:szCs w:val="14"/>
                <w:b w:val="1"/>
                <w:bCs w:val="1"/>
                <w:color w:val="FFFFFF"/>
              </w:rPr>
              <w:t>and Option</w:t>
            </w:r>
          </w:p>
        </w:tc>
        <w:tc>
          <w:tcPr>
            <w:tcW w:w="120" w:type="dxa"/>
            <w:vAlign w:val="bottom"/>
            <w:shd w:val="clear" w:color="auto" w:fill="0093FF"/>
          </w:tcPr>
          <w:p>
            <w:pPr>
              <w:spacing w:after="0"/>
              <w:rPr>
                <w:sz w:val="14"/>
                <w:szCs w:val="14"/>
                <w:color w:val="auto"/>
              </w:rPr>
            </w:pPr>
          </w:p>
        </w:tc>
        <w:tc>
          <w:tcPr>
            <w:tcW w:w="100" w:type="dxa"/>
            <w:vAlign w:val="bottom"/>
            <w:tcBorders>
              <w:right w:val="single" w:sz="8" w:color="C3E6FF"/>
            </w:tcBorders>
            <w:shd w:val="clear" w:color="auto" w:fill="0093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C3E6FF"/>
            </w:tcBorders>
            <w:shd w:val="clear" w:color="auto" w:fill="0093FF"/>
          </w:tcPr>
          <w:p>
            <w:pPr>
              <w:spacing w:after="0"/>
              <w:rPr>
                <w:sz w:val="14"/>
                <w:szCs w:val="14"/>
                <w:color w:val="auto"/>
              </w:rPr>
            </w:pPr>
          </w:p>
        </w:tc>
        <w:tc>
          <w:tcPr>
            <w:tcW w:w="56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2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100" w:type="dxa"/>
            <w:vAlign w:val="bottom"/>
            <w:shd w:val="clear" w:color="auto" w:fill="0093FF"/>
          </w:tcPr>
          <w:p>
            <w:pPr>
              <w:spacing w:after="0"/>
              <w:rPr>
                <w:sz w:val="14"/>
                <w:szCs w:val="14"/>
                <w:color w:val="auto"/>
              </w:rPr>
            </w:pPr>
          </w:p>
        </w:tc>
        <w:tc>
          <w:tcPr>
            <w:tcW w:w="900" w:type="dxa"/>
            <w:vAlign w:val="bottom"/>
            <w:gridSpan w:val="2"/>
            <w:shd w:val="clear" w:color="auto" w:fill="0093FF"/>
          </w:tcPr>
          <w:p>
            <w:pPr>
              <w:jc w:val="center"/>
              <w:ind w:right="100"/>
              <w:spacing w:after="0"/>
              <w:rPr>
                <w:sz w:val="20"/>
                <w:szCs w:val="20"/>
                <w:color w:val="auto"/>
              </w:rPr>
            </w:pPr>
            <w:r>
              <w:rPr>
                <w:rFonts w:ascii="Arial" w:cs="Arial" w:eastAsia="Arial" w:hAnsi="Arial"/>
                <w:sz w:val="14"/>
                <w:szCs w:val="14"/>
                <w:b w:val="1"/>
                <w:bCs w:val="1"/>
                <w:color w:val="FFFFFF"/>
              </w:rPr>
              <w:t>Threshold</w:t>
            </w:r>
          </w:p>
        </w:tc>
        <w:tc>
          <w:tcPr>
            <w:tcW w:w="10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ind w:left="240"/>
              <w:spacing w:after="0"/>
              <w:rPr>
                <w:sz w:val="20"/>
                <w:szCs w:val="20"/>
                <w:color w:val="auto"/>
              </w:rPr>
            </w:pPr>
            <w:r>
              <w:rPr>
                <w:rFonts w:ascii="Arial" w:cs="Arial" w:eastAsia="Arial" w:hAnsi="Arial"/>
                <w:sz w:val="14"/>
                <w:szCs w:val="14"/>
                <w:b w:val="1"/>
                <w:bCs w:val="1"/>
                <w:color w:val="FFFFFF"/>
              </w:rPr>
              <w:t>Target</w:t>
            </w:r>
          </w:p>
        </w:tc>
        <w:tc>
          <w:tcPr>
            <w:tcW w:w="920" w:type="dxa"/>
            <w:vAlign w:val="bottom"/>
            <w:gridSpan w:val="2"/>
            <w:shd w:val="clear" w:color="auto" w:fill="0093FF"/>
          </w:tcPr>
          <w:p>
            <w:pPr>
              <w:jc w:val="right"/>
              <w:ind w:right="48"/>
              <w:spacing w:after="0"/>
              <w:rPr>
                <w:sz w:val="20"/>
                <w:szCs w:val="20"/>
                <w:color w:val="auto"/>
              </w:rPr>
            </w:pPr>
            <w:r>
              <w:rPr>
                <w:rFonts w:ascii="Arial" w:cs="Arial" w:eastAsia="Arial" w:hAnsi="Arial"/>
                <w:sz w:val="14"/>
                <w:szCs w:val="14"/>
                <w:b w:val="1"/>
                <w:bCs w:val="1"/>
                <w:color w:val="FFFFFF"/>
              </w:rPr>
              <w:t>Maximum</w:t>
            </w:r>
          </w:p>
        </w:tc>
        <w:tc>
          <w:tcPr>
            <w:tcW w:w="200" w:type="dxa"/>
            <w:vAlign w:val="bottom"/>
            <w:shd w:val="clear" w:color="auto" w:fill="0093FF"/>
          </w:tcPr>
          <w:p>
            <w:pPr>
              <w:spacing w:after="0"/>
              <w:rPr>
                <w:sz w:val="14"/>
                <w:szCs w:val="14"/>
                <w:color w:val="auto"/>
              </w:rPr>
            </w:pPr>
          </w:p>
        </w:tc>
        <w:tc>
          <w:tcPr>
            <w:tcW w:w="74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Threshold</w:t>
            </w:r>
          </w:p>
        </w:tc>
        <w:tc>
          <w:tcPr>
            <w:tcW w:w="60" w:type="dxa"/>
            <w:vAlign w:val="bottom"/>
            <w:shd w:val="clear" w:color="auto" w:fill="0093FF"/>
          </w:tcPr>
          <w:p>
            <w:pPr>
              <w:spacing w:after="0"/>
              <w:rPr>
                <w:sz w:val="14"/>
                <w:szCs w:val="14"/>
                <w:color w:val="auto"/>
              </w:rPr>
            </w:pPr>
          </w:p>
        </w:tc>
        <w:tc>
          <w:tcPr>
            <w:tcW w:w="200" w:type="dxa"/>
            <w:vAlign w:val="bottom"/>
            <w:shd w:val="clear" w:color="auto" w:fill="0093FF"/>
          </w:tcPr>
          <w:p>
            <w:pPr>
              <w:spacing w:after="0"/>
              <w:rPr>
                <w:sz w:val="14"/>
                <w:szCs w:val="14"/>
                <w:color w:val="auto"/>
              </w:rPr>
            </w:pPr>
          </w:p>
        </w:tc>
        <w:tc>
          <w:tcPr>
            <w:tcW w:w="1000" w:type="dxa"/>
            <w:vAlign w:val="bottom"/>
            <w:gridSpan w:val="2"/>
            <w:shd w:val="clear" w:color="auto" w:fill="0093FF"/>
          </w:tcPr>
          <w:p>
            <w:pPr>
              <w:jc w:val="center"/>
              <w:ind w:right="200"/>
              <w:spacing w:after="0"/>
              <w:rPr>
                <w:sz w:val="20"/>
                <w:szCs w:val="20"/>
                <w:color w:val="auto"/>
              </w:rPr>
            </w:pPr>
            <w:r>
              <w:rPr>
                <w:rFonts w:ascii="Arial" w:cs="Arial" w:eastAsia="Arial" w:hAnsi="Arial"/>
                <w:sz w:val="14"/>
                <w:szCs w:val="14"/>
                <w:b w:val="1"/>
                <w:bCs w:val="1"/>
                <w:color w:val="FFFFFF"/>
              </w:rPr>
              <w:t>Target</w:t>
            </w:r>
          </w:p>
        </w:tc>
        <w:tc>
          <w:tcPr>
            <w:tcW w:w="1160" w:type="dxa"/>
            <w:vAlign w:val="bottom"/>
            <w:gridSpan w:val="3"/>
            <w:shd w:val="clear" w:color="auto" w:fill="0093FF"/>
          </w:tcPr>
          <w:p>
            <w:pPr>
              <w:ind w:left="200"/>
              <w:spacing w:after="0"/>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52"/>
              <w:spacing w:after="0"/>
              <w:rPr>
                <w:sz w:val="20"/>
                <w:szCs w:val="20"/>
                <w:color w:val="auto"/>
              </w:rPr>
            </w:pPr>
            <w:r>
              <w:rPr>
                <w:rFonts w:ascii="Arial" w:cs="Arial" w:eastAsia="Arial" w:hAnsi="Arial"/>
                <w:sz w:val="14"/>
                <w:szCs w:val="14"/>
                <w:b w:val="1"/>
                <w:bCs w:val="1"/>
                <w:color w:val="FFFFFF"/>
              </w:rPr>
              <w:t>Units</w:t>
            </w:r>
          </w:p>
        </w:tc>
        <w:tc>
          <w:tcPr>
            <w:tcW w:w="120" w:type="dxa"/>
            <w:vAlign w:val="bottom"/>
            <w:shd w:val="clear" w:color="auto" w:fill="0093FF"/>
          </w:tcPr>
          <w:p>
            <w:pPr>
              <w:spacing w:after="0"/>
              <w:rPr>
                <w:sz w:val="14"/>
                <w:szCs w:val="14"/>
                <w:color w:val="auto"/>
              </w:rPr>
            </w:pPr>
          </w:p>
        </w:tc>
        <w:tc>
          <w:tcPr>
            <w:tcW w:w="180" w:type="dxa"/>
            <w:vAlign w:val="bottom"/>
            <w:shd w:val="clear" w:color="auto" w:fill="0093FF"/>
          </w:tcPr>
          <w:p>
            <w:pPr>
              <w:spacing w:after="0"/>
              <w:rPr>
                <w:sz w:val="14"/>
                <w:szCs w:val="14"/>
                <w:color w:val="auto"/>
              </w:rPr>
            </w:pPr>
          </w:p>
        </w:tc>
        <w:tc>
          <w:tcPr>
            <w:tcW w:w="960" w:type="dxa"/>
            <w:vAlign w:val="bottom"/>
            <w:shd w:val="clear" w:color="auto" w:fill="0093FF"/>
          </w:tcPr>
          <w:p>
            <w:pPr>
              <w:jc w:val="center"/>
              <w:ind w:left="49"/>
              <w:spacing w:after="0" w:line="163"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(5)</w:t>
            </w:r>
          </w:p>
        </w:tc>
        <w:tc>
          <w:tcPr>
            <w:tcW w:w="120" w:type="dxa"/>
            <w:vAlign w:val="bottom"/>
            <w:shd w:val="clear" w:color="auto" w:fill="0093FF"/>
          </w:tcPr>
          <w:p>
            <w:pPr>
              <w:spacing w:after="0"/>
              <w:rPr>
                <w:sz w:val="14"/>
                <w:szCs w:val="14"/>
                <w:color w:val="auto"/>
              </w:rPr>
            </w:pPr>
          </w:p>
        </w:tc>
        <w:tc>
          <w:tcPr>
            <w:tcW w:w="100" w:type="dxa"/>
            <w:vAlign w:val="bottom"/>
            <w:tcBorders>
              <w:right w:val="single" w:sz="8" w:color="C3E6FF"/>
            </w:tcBorders>
            <w:shd w:val="clear" w:color="auto" w:fill="0093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C3E6FF"/>
            </w:tcBorders>
            <w:gridSpan w:val="3"/>
            <w:shd w:val="clear" w:color="auto" w:fill="0093FF"/>
          </w:tcPr>
          <w:p>
            <w:pPr>
              <w:ind w:left="4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0093FF"/>
          </w:tcPr>
          <w:p>
            <w:pPr>
              <w:spacing w:after="0"/>
              <w:rPr>
                <w:sz w:val="16"/>
                <w:szCs w:val="16"/>
                <w:color w:val="auto"/>
              </w:rPr>
            </w:pPr>
          </w:p>
        </w:tc>
        <w:tc>
          <w:tcPr>
            <w:tcW w:w="1020" w:type="dxa"/>
            <w:vAlign w:val="bottom"/>
            <w:gridSpan w:val="2"/>
            <w:shd w:val="clear" w:color="auto" w:fill="0093FF"/>
          </w:tcPr>
          <w:p>
            <w:pPr>
              <w:ind w:left="100"/>
              <w:spacing w:after="0"/>
              <w:rPr>
                <w:sz w:val="20"/>
                <w:szCs w:val="20"/>
                <w:color w:val="auto"/>
              </w:rPr>
            </w:pPr>
            <w:r>
              <w:rPr>
                <w:rFonts w:ascii="Arial" w:cs="Arial" w:eastAsia="Arial" w:hAnsi="Arial"/>
                <w:sz w:val="14"/>
                <w:szCs w:val="14"/>
                <w:b w:val="1"/>
                <w:bCs w:val="1"/>
                <w:color w:val="FFFFFF"/>
              </w:rPr>
              <w:t>Grant Date</w:t>
            </w:r>
          </w:p>
        </w:tc>
        <w:tc>
          <w:tcPr>
            <w:tcW w:w="900" w:type="dxa"/>
            <w:vAlign w:val="bottom"/>
            <w:gridSpan w:val="2"/>
            <w:shd w:val="clear" w:color="auto" w:fill="0093FF"/>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93FF"/>
          </w:tcPr>
          <w:p>
            <w:pPr>
              <w:spacing w:after="0"/>
              <w:rPr>
                <w:sz w:val="16"/>
                <w:szCs w:val="16"/>
                <w:color w:val="auto"/>
              </w:rPr>
            </w:pPr>
          </w:p>
        </w:tc>
        <w:tc>
          <w:tcPr>
            <w:tcW w:w="1020" w:type="dxa"/>
            <w:vAlign w:val="bottom"/>
            <w:gridSpan w:val="2"/>
            <w:shd w:val="clear" w:color="auto" w:fill="0093FF"/>
          </w:tcPr>
          <w:p>
            <w:pPr>
              <w:jc w:val="right"/>
              <w:ind w:right="315"/>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93FF"/>
          </w:tcPr>
          <w:p>
            <w:pPr>
              <w:spacing w:after="0"/>
              <w:rPr>
                <w:sz w:val="16"/>
                <w:szCs w:val="16"/>
                <w:color w:val="auto"/>
              </w:rPr>
            </w:pPr>
          </w:p>
        </w:tc>
        <w:tc>
          <w:tcPr>
            <w:tcW w:w="360" w:type="dxa"/>
            <w:vAlign w:val="bottom"/>
            <w:shd w:val="clear" w:color="auto" w:fill="0093FF"/>
          </w:tcPr>
          <w:p>
            <w:pPr>
              <w:spacing w:after="0"/>
              <w:rPr>
                <w:sz w:val="16"/>
                <w:szCs w:val="16"/>
                <w:color w:val="auto"/>
              </w:rPr>
            </w:pPr>
          </w:p>
        </w:tc>
        <w:tc>
          <w:tcPr>
            <w:tcW w:w="560" w:type="dxa"/>
            <w:vAlign w:val="bottom"/>
            <w:shd w:val="clear" w:color="auto" w:fill="0093FF"/>
          </w:tcPr>
          <w:p>
            <w:pPr>
              <w:jc w:val="right"/>
              <w:ind w:right="308"/>
              <w:spacing w:after="0"/>
              <w:rPr>
                <w:sz w:val="20"/>
                <w:szCs w:val="20"/>
                <w:color w:val="auto"/>
              </w:rPr>
            </w:pPr>
            <w:r>
              <w:rPr>
                <w:rFonts w:ascii="Arial" w:cs="Arial" w:eastAsia="Arial" w:hAnsi="Arial"/>
                <w:sz w:val="14"/>
                <w:szCs w:val="14"/>
                <w:b w:val="1"/>
                <w:bCs w:val="1"/>
                <w:color w:val="FFFFFF"/>
                <w:w w:val="93"/>
              </w:rPr>
              <w:t>($)</w:t>
            </w:r>
          </w:p>
        </w:tc>
        <w:tc>
          <w:tcPr>
            <w:tcW w:w="940" w:type="dxa"/>
            <w:vAlign w:val="bottom"/>
            <w:gridSpan w:val="2"/>
            <w:shd w:val="clear" w:color="auto" w:fill="0093FF"/>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060" w:type="dxa"/>
            <w:vAlign w:val="bottom"/>
            <w:gridSpan w:val="3"/>
            <w:shd w:val="clear" w:color="auto" w:fill="0093FF"/>
          </w:tcPr>
          <w:p>
            <w:pPr>
              <w:jc w:val="right"/>
              <w:ind w:right="248"/>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93FF"/>
          </w:tcPr>
          <w:p>
            <w:pPr>
              <w:spacing w:after="0"/>
              <w:rPr>
                <w:sz w:val="16"/>
                <w:szCs w:val="16"/>
                <w:color w:val="auto"/>
              </w:rPr>
            </w:pPr>
          </w:p>
        </w:tc>
        <w:tc>
          <w:tcPr>
            <w:tcW w:w="420" w:type="dxa"/>
            <w:vAlign w:val="bottom"/>
            <w:shd w:val="clear" w:color="auto" w:fill="0093FF"/>
          </w:tcPr>
          <w:p>
            <w:pPr>
              <w:spacing w:after="0"/>
              <w:rPr>
                <w:sz w:val="16"/>
                <w:szCs w:val="16"/>
                <w:color w:val="auto"/>
              </w:rPr>
            </w:pPr>
          </w:p>
        </w:tc>
        <w:tc>
          <w:tcPr>
            <w:tcW w:w="640" w:type="dxa"/>
            <w:vAlign w:val="bottom"/>
            <w:shd w:val="clear" w:color="auto" w:fill="0093FF"/>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93FF"/>
          </w:tcPr>
          <w:p>
            <w:pPr>
              <w:spacing w:after="0"/>
              <w:rPr>
                <w:sz w:val="16"/>
                <w:szCs w:val="16"/>
                <w:color w:val="auto"/>
              </w:rPr>
            </w:pPr>
          </w:p>
        </w:tc>
        <w:tc>
          <w:tcPr>
            <w:tcW w:w="1040" w:type="dxa"/>
            <w:vAlign w:val="bottom"/>
            <w:gridSpan w:val="2"/>
            <w:shd w:val="clear" w:color="auto" w:fill="0093FF"/>
          </w:tcPr>
          <w:p>
            <w:pPr>
              <w:jc w:val="center"/>
              <w:ind w:left="145"/>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93FF"/>
          </w:tcPr>
          <w:p>
            <w:pPr>
              <w:spacing w:after="0"/>
              <w:rPr>
                <w:sz w:val="16"/>
                <w:szCs w:val="16"/>
                <w:color w:val="auto"/>
              </w:rPr>
            </w:pPr>
          </w:p>
        </w:tc>
        <w:tc>
          <w:tcPr>
            <w:tcW w:w="180" w:type="dxa"/>
            <w:vAlign w:val="bottom"/>
            <w:shd w:val="clear" w:color="auto" w:fill="0093FF"/>
          </w:tcPr>
          <w:p>
            <w:pPr>
              <w:spacing w:after="0"/>
              <w:rPr>
                <w:sz w:val="16"/>
                <w:szCs w:val="16"/>
                <w:color w:val="auto"/>
              </w:rPr>
            </w:pPr>
          </w:p>
        </w:tc>
        <w:tc>
          <w:tcPr>
            <w:tcW w:w="960" w:type="dxa"/>
            <w:vAlign w:val="bottom"/>
            <w:shd w:val="clear" w:color="auto" w:fill="0093FF"/>
          </w:tcPr>
          <w:p>
            <w:pPr>
              <w:jc w:val="center"/>
              <w:ind w:left="49"/>
              <w:spacing w:after="0"/>
              <w:rPr>
                <w:sz w:val="20"/>
                <w:szCs w:val="20"/>
                <w:color w:val="auto"/>
              </w:rPr>
            </w:pPr>
            <w:r>
              <w:rPr>
                <w:rFonts w:ascii="Arial" w:cs="Arial" w:eastAsia="Arial" w:hAnsi="Arial"/>
                <w:sz w:val="14"/>
                <w:szCs w:val="14"/>
                <w:b w:val="1"/>
                <w:bCs w:val="1"/>
                <w:color w:val="FFFFFF"/>
                <w:w w:val="93"/>
              </w:rPr>
              <w:t>($)</w:t>
            </w:r>
          </w:p>
        </w:tc>
        <w:tc>
          <w:tcPr>
            <w:tcW w:w="120" w:type="dxa"/>
            <w:vAlign w:val="bottom"/>
            <w:shd w:val="clear" w:color="auto" w:fill="0093FF"/>
          </w:tcPr>
          <w:p>
            <w:pPr>
              <w:spacing w:after="0"/>
              <w:rPr>
                <w:sz w:val="16"/>
                <w:szCs w:val="16"/>
                <w:color w:val="auto"/>
              </w:rPr>
            </w:pPr>
          </w:p>
        </w:tc>
        <w:tc>
          <w:tcPr>
            <w:tcW w:w="100" w:type="dxa"/>
            <w:vAlign w:val="bottom"/>
            <w:tcBorders>
              <w:right w:val="single" w:sz="8" w:color="C3E6FF"/>
            </w:tcBorders>
            <w:shd w:val="clear" w:color="auto" w:fill="0093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40" w:type="dxa"/>
            <w:vAlign w:val="bottom"/>
            <w:tcBorders>
              <w:top w:val="single" w:sz="8" w:color="0093FF"/>
              <w:left w:val="single" w:sz="8" w:color="C3E6FF"/>
            </w:tcBorders>
            <w:shd w:val="clear" w:color="auto" w:fill="0093FF"/>
          </w:tcPr>
          <w:p>
            <w:pPr>
              <w:spacing w:after="0"/>
              <w:rPr>
                <w:sz w:val="10"/>
                <w:szCs w:val="10"/>
                <w:color w:val="auto"/>
              </w:rPr>
            </w:pPr>
          </w:p>
        </w:tc>
        <w:tc>
          <w:tcPr>
            <w:tcW w:w="560" w:type="dxa"/>
            <w:vAlign w:val="bottom"/>
            <w:tcBorders>
              <w:top w:val="single" w:sz="8" w:color="auto"/>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920" w:type="dxa"/>
            <w:vAlign w:val="bottom"/>
            <w:tcBorders>
              <w:top w:val="single" w:sz="8" w:color="auto"/>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800" w:type="dxa"/>
            <w:vAlign w:val="bottom"/>
            <w:tcBorders>
              <w:top w:val="single" w:sz="8" w:color="auto"/>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920" w:type="dxa"/>
            <w:vAlign w:val="bottom"/>
            <w:tcBorders>
              <w:top w:val="single" w:sz="8" w:color="auto"/>
            </w:tcBorders>
            <w:shd w:val="clear" w:color="auto" w:fill="0093FF"/>
          </w:tcPr>
          <w:p>
            <w:pPr>
              <w:spacing w:after="0"/>
              <w:rPr>
                <w:sz w:val="10"/>
                <w:szCs w:val="10"/>
                <w:color w:val="auto"/>
              </w:rPr>
            </w:pPr>
          </w:p>
        </w:tc>
        <w:tc>
          <w:tcPr>
            <w:tcW w:w="200" w:type="dxa"/>
            <w:vAlign w:val="bottom"/>
            <w:tcBorders>
              <w:top w:val="single" w:sz="8" w:color="0093FF"/>
            </w:tcBorders>
            <w:shd w:val="clear" w:color="auto" w:fill="0093FF"/>
          </w:tcPr>
          <w:p>
            <w:pPr>
              <w:spacing w:after="0"/>
              <w:rPr>
                <w:sz w:val="10"/>
                <w:szCs w:val="10"/>
                <w:color w:val="auto"/>
              </w:rPr>
            </w:pPr>
          </w:p>
        </w:tc>
        <w:tc>
          <w:tcPr>
            <w:tcW w:w="360" w:type="dxa"/>
            <w:vAlign w:val="bottom"/>
            <w:tcBorders>
              <w:top w:val="single" w:sz="8" w:color="auto"/>
            </w:tcBorders>
            <w:shd w:val="clear" w:color="auto" w:fill="0093FF"/>
          </w:tcPr>
          <w:p>
            <w:pPr>
              <w:spacing w:after="0"/>
              <w:rPr>
                <w:sz w:val="10"/>
                <w:szCs w:val="10"/>
                <w:color w:val="auto"/>
              </w:rPr>
            </w:pPr>
          </w:p>
        </w:tc>
        <w:tc>
          <w:tcPr>
            <w:tcW w:w="560" w:type="dxa"/>
            <w:vAlign w:val="bottom"/>
            <w:tcBorders>
              <w:top w:val="single" w:sz="8" w:color="auto"/>
            </w:tcBorders>
            <w:shd w:val="clear" w:color="auto" w:fill="0093FF"/>
          </w:tcPr>
          <w:p>
            <w:pPr>
              <w:spacing w:after="0"/>
              <w:rPr>
                <w:sz w:val="10"/>
                <w:szCs w:val="10"/>
                <w:color w:val="auto"/>
              </w:rPr>
            </w:pPr>
          </w:p>
        </w:tc>
        <w:tc>
          <w:tcPr>
            <w:tcW w:w="200" w:type="dxa"/>
            <w:vAlign w:val="bottom"/>
            <w:tcBorders>
              <w:top w:val="single" w:sz="8" w:color="0093FF"/>
            </w:tcBorders>
            <w:shd w:val="clear" w:color="auto" w:fill="0093FF"/>
          </w:tcPr>
          <w:p>
            <w:pPr>
              <w:spacing w:after="0"/>
              <w:rPr>
                <w:sz w:val="10"/>
                <w:szCs w:val="10"/>
                <w:color w:val="auto"/>
              </w:rPr>
            </w:pPr>
          </w:p>
        </w:tc>
        <w:tc>
          <w:tcPr>
            <w:tcW w:w="740" w:type="dxa"/>
            <w:vAlign w:val="bottom"/>
            <w:tcBorders>
              <w:top w:val="single" w:sz="8" w:color="auto"/>
            </w:tcBorders>
            <w:shd w:val="clear" w:color="auto" w:fill="0093FF"/>
          </w:tcPr>
          <w:p>
            <w:pPr>
              <w:spacing w:after="0"/>
              <w:rPr>
                <w:sz w:val="10"/>
                <w:szCs w:val="10"/>
                <w:color w:val="auto"/>
              </w:rPr>
            </w:pPr>
          </w:p>
        </w:tc>
        <w:tc>
          <w:tcPr>
            <w:tcW w:w="60" w:type="dxa"/>
            <w:vAlign w:val="bottom"/>
            <w:tcBorders>
              <w:top w:val="single" w:sz="8" w:color="auto"/>
            </w:tcBorders>
            <w:shd w:val="clear" w:color="auto" w:fill="0093FF"/>
          </w:tcPr>
          <w:p>
            <w:pPr>
              <w:spacing w:after="0"/>
              <w:rPr>
                <w:sz w:val="10"/>
                <w:szCs w:val="10"/>
                <w:color w:val="auto"/>
              </w:rPr>
            </w:pPr>
          </w:p>
        </w:tc>
        <w:tc>
          <w:tcPr>
            <w:tcW w:w="200" w:type="dxa"/>
            <w:vAlign w:val="bottom"/>
            <w:tcBorders>
              <w:top w:val="single" w:sz="8" w:color="0093FF"/>
            </w:tcBorders>
            <w:shd w:val="clear" w:color="auto" w:fill="0093FF"/>
          </w:tcPr>
          <w:p>
            <w:pPr>
              <w:spacing w:after="0"/>
              <w:rPr>
                <w:sz w:val="10"/>
                <w:szCs w:val="10"/>
                <w:color w:val="auto"/>
              </w:rPr>
            </w:pPr>
          </w:p>
        </w:tc>
        <w:tc>
          <w:tcPr>
            <w:tcW w:w="800" w:type="dxa"/>
            <w:vAlign w:val="bottom"/>
            <w:tcBorders>
              <w:top w:val="single" w:sz="8" w:color="auto"/>
            </w:tcBorders>
            <w:shd w:val="clear" w:color="auto" w:fill="0093FF"/>
          </w:tcPr>
          <w:p>
            <w:pPr>
              <w:spacing w:after="0"/>
              <w:rPr>
                <w:sz w:val="10"/>
                <w:szCs w:val="10"/>
                <w:color w:val="auto"/>
              </w:rPr>
            </w:pPr>
          </w:p>
        </w:tc>
        <w:tc>
          <w:tcPr>
            <w:tcW w:w="200" w:type="dxa"/>
            <w:vAlign w:val="bottom"/>
            <w:tcBorders>
              <w:top w:val="single" w:sz="8" w:color="0093FF"/>
            </w:tcBorders>
            <w:shd w:val="clear" w:color="auto" w:fill="0093FF"/>
          </w:tcPr>
          <w:p>
            <w:pPr>
              <w:spacing w:after="0"/>
              <w:rPr>
                <w:sz w:val="10"/>
                <w:szCs w:val="10"/>
                <w:color w:val="auto"/>
              </w:rPr>
            </w:pPr>
          </w:p>
        </w:tc>
        <w:tc>
          <w:tcPr>
            <w:tcW w:w="420" w:type="dxa"/>
            <w:vAlign w:val="bottom"/>
            <w:tcBorders>
              <w:top w:val="single" w:sz="8" w:color="auto"/>
            </w:tcBorders>
            <w:shd w:val="clear" w:color="auto" w:fill="0093FF"/>
          </w:tcPr>
          <w:p>
            <w:pPr>
              <w:spacing w:after="0"/>
              <w:rPr>
                <w:sz w:val="10"/>
                <w:szCs w:val="10"/>
                <w:color w:val="auto"/>
              </w:rPr>
            </w:pPr>
          </w:p>
        </w:tc>
        <w:tc>
          <w:tcPr>
            <w:tcW w:w="640" w:type="dxa"/>
            <w:vAlign w:val="bottom"/>
            <w:tcBorders>
              <w:top w:val="single" w:sz="8" w:color="auto"/>
            </w:tcBorders>
            <w:shd w:val="clear" w:color="auto" w:fill="0093FF"/>
          </w:tcPr>
          <w:p>
            <w:pPr>
              <w:spacing w:after="0"/>
              <w:rPr>
                <w:sz w:val="10"/>
                <w:szCs w:val="10"/>
                <w:color w:val="auto"/>
              </w:rPr>
            </w:pPr>
          </w:p>
        </w:tc>
        <w:tc>
          <w:tcPr>
            <w:tcW w:w="100" w:type="dxa"/>
            <w:vAlign w:val="bottom"/>
            <w:tcBorders>
              <w:top w:val="single" w:sz="8" w:color="0093FF"/>
            </w:tcBorders>
            <w:shd w:val="clear" w:color="auto" w:fill="0093FF"/>
          </w:tcPr>
          <w:p>
            <w:pPr>
              <w:spacing w:after="0"/>
              <w:rPr>
                <w:sz w:val="10"/>
                <w:szCs w:val="10"/>
                <w:color w:val="auto"/>
              </w:rPr>
            </w:pPr>
          </w:p>
        </w:tc>
        <w:tc>
          <w:tcPr>
            <w:tcW w:w="80" w:type="dxa"/>
            <w:vAlign w:val="bottom"/>
            <w:tcBorders>
              <w:top w:val="single" w:sz="8" w:color="0093FF"/>
            </w:tcBorders>
            <w:shd w:val="clear" w:color="auto" w:fill="0093FF"/>
          </w:tcPr>
          <w:p>
            <w:pPr>
              <w:spacing w:after="0"/>
              <w:rPr>
                <w:sz w:val="10"/>
                <w:szCs w:val="10"/>
                <w:color w:val="auto"/>
              </w:rPr>
            </w:pPr>
          </w:p>
        </w:tc>
        <w:tc>
          <w:tcPr>
            <w:tcW w:w="960" w:type="dxa"/>
            <w:vAlign w:val="bottom"/>
            <w:tcBorders>
              <w:top w:val="single" w:sz="8" w:color="auto"/>
            </w:tcBorders>
            <w:shd w:val="clear" w:color="auto" w:fill="0093FF"/>
          </w:tcPr>
          <w:p>
            <w:pPr>
              <w:spacing w:after="0"/>
              <w:rPr>
                <w:sz w:val="10"/>
                <w:szCs w:val="10"/>
                <w:color w:val="auto"/>
              </w:rPr>
            </w:pPr>
          </w:p>
        </w:tc>
        <w:tc>
          <w:tcPr>
            <w:tcW w:w="120" w:type="dxa"/>
            <w:vAlign w:val="bottom"/>
            <w:tcBorders>
              <w:top w:val="single" w:sz="8" w:color="auto"/>
            </w:tcBorders>
            <w:shd w:val="clear" w:color="auto" w:fill="0093FF"/>
          </w:tcPr>
          <w:p>
            <w:pPr>
              <w:spacing w:after="0"/>
              <w:rPr>
                <w:sz w:val="10"/>
                <w:szCs w:val="10"/>
                <w:color w:val="auto"/>
              </w:rPr>
            </w:pPr>
          </w:p>
        </w:tc>
        <w:tc>
          <w:tcPr>
            <w:tcW w:w="180" w:type="dxa"/>
            <w:vAlign w:val="bottom"/>
            <w:tcBorders>
              <w:top w:val="single" w:sz="8" w:color="0093FF"/>
            </w:tcBorders>
            <w:shd w:val="clear" w:color="auto" w:fill="0093FF"/>
          </w:tcPr>
          <w:p>
            <w:pPr>
              <w:spacing w:after="0"/>
              <w:rPr>
                <w:sz w:val="10"/>
                <w:szCs w:val="10"/>
                <w:color w:val="auto"/>
              </w:rPr>
            </w:pPr>
          </w:p>
        </w:tc>
        <w:tc>
          <w:tcPr>
            <w:tcW w:w="960" w:type="dxa"/>
            <w:vAlign w:val="bottom"/>
            <w:tcBorders>
              <w:top w:val="single" w:sz="8" w:color="auto"/>
            </w:tcBorders>
            <w:shd w:val="clear" w:color="auto" w:fill="0093FF"/>
          </w:tcPr>
          <w:p>
            <w:pPr>
              <w:spacing w:after="0"/>
              <w:rPr>
                <w:sz w:val="10"/>
                <w:szCs w:val="10"/>
                <w:color w:val="auto"/>
              </w:rPr>
            </w:pPr>
          </w:p>
        </w:tc>
        <w:tc>
          <w:tcPr>
            <w:tcW w:w="120" w:type="dxa"/>
            <w:vAlign w:val="bottom"/>
            <w:tcBorders>
              <w:top w:val="single" w:sz="8" w:color="auto"/>
            </w:tcBorders>
            <w:shd w:val="clear" w:color="auto" w:fill="0093FF"/>
          </w:tcPr>
          <w:p>
            <w:pPr>
              <w:spacing w:after="0"/>
              <w:rPr>
                <w:sz w:val="10"/>
                <w:szCs w:val="10"/>
                <w:color w:val="auto"/>
              </w:rPr>
            </w:pPr>
          </w:p>
        </w:tc>
        <w:tc>
          <w:tcPr>
            <w:tcW w:w="100" w:type="dxa"/>
            <w:vAlign w:val="bottom"/>
            <w:tcBorders>
              <w:top w:val="single" w:sz="8" w:color="0093FF"/>
              <w:right w:val="single" w:sz="8" w:color="C3E6FF"/>
            </w:tcBorders>
            <w:shd w:val="clear" w:color="auto" w:fill="0093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C3E6FF"/>
              <w:bottom w:val="single" w:sz="8" w:color="F3F9FF"/>
            </w:tcBorders>
            <w:gridSpan w:val="3"/>
          </w:tcPr>
          <w:p>
            <w:pPr>
              <w:ind w:left="120"/>
              <w:spacing w:after="0"/>
              <w:rPr>
                <w:sz w:val="20"/>
                <w:szCs w:val="20"/>
                <w:color w:val="auto"/>
              </w:rPr>
            </w:pPr>
            <w:r>
              <w:rPr>
                <w:rFonts w:ascii="Arial" w:cs="Arial" w:eastAsia="Arial" w:hAnsi="Arial"/>
                <w:sz w:val="14"/>
                <w:szCs w:val="14"/>
                <w:b w:val="1"/>
                <w:bCs w:val="1"/>
                <w:color w:val="auto"/>
              </w:rPr>
              <w:t>Rohit</w:t>
            </w:r>
          </w:p>
        </w:tc>
        <w:tc>
          <w:tcPr>
            <w:tcW w:w="100" w:type="dxa"/>
            <w:vAlign w:val="bottom"/>
            <w:tcBorders>
              <w:bottom w:val="single" w:sz="8" w:color="F3F9FF"/>
            </w:tcBorders>
          </w:tcPr>
          <w:p>
            <w:pPr>
              <w:spacing w:after="0"/>
              <w:rPr>
                <w:sz w:val="14"/>
                <w:szCs w:val="14"/>
                <w:color w:val="auto"/>
              </w:rPr>
            </w:pPr>
          </w:p>
        </w:tc>
        <w:tc>
          <w:tcPr>
            <w:tcW w:w="920" w:type="dxa"/>
            <w:vAlign w:val="bottom"/>
            <w:tcBorders>
              <w:bottom w:val="single" w:sz="8" w:color="F3F9FF"/>
            </w:tcBorders>
          </w:tcPr>
          <w:p>
            <w:pPr>
              <w:spacing w:after="0"/>
              <w:rPr>
                <w:sz w:val="14"/>
                <w:szCs w:val="14"/>
                <w:color w:val="auto"/>
              </w:rPr>
            </w:pPr>
          </w:p>
        </w:tc>
        <w:tc>
          <w:tcPr>
            <w:tcW w:w="100" w:type="dxa"/>
            <w:vAlign w:val="bottom"/>
            <w:tcBorders>
              <w:bottom w:val="single" w:sz="8" w:color="F3F9FF"/>
            </w:tcBorders>
          </w:tcPr>
          <w:p>
            <w:pPr>
              <w:spacing w:after="0"/>
              <w:rPr>
                <w:sz w:val="14"/>
                <w:szCs w:val="14"/>
                <w:color w:val="auto"/>
              </w:rPr>
            </w:pPr>
          </w:p>
        </w:tc>
        <w:tc>
          <w:tcPr>
            <w:tcW w:w="100" w:type="dxa"/>
            <w:vAlign w:val="bottom"/>
            <w:tcBorders>
              <w:bottom w:val="single" w:sz="8" w:color="F3F9FF"/>
            </w:tcBorders>
          </w:tcPr>
          <w:p>
            <w:pPr>
              <w:spacing w:after="0"/>
              <w:rPr>
                <w:sz w:val="14"/>
                <w:szCs w:val="14"/>
                <w:color w:val="auto"/>
              </w:rPr>
            </w:pPr>
          </w:p>
        </w:tc>
        <w:tc>
          <w:tcPr>
            <w:tcW w:w="800" w:type="dxa"/>
            <w:vAlign w:val="bottom"/>
            <w:tcBorders>
              <w:bottom w:val="single" w:sz="8" w:color="F3F9FF"/>
            </w:tcBorders>
          </w:tcPr>
          <w:p>
            <w:pPr>
              <w:spacing w:after="0"/>
              <w:rPr>
                <w:sz w:val="14"/>
                <w:szCs w:val="14"/>
                <w:color w:val="auto"/>
              </w:rPr>
            </w:pPr>
          </w:p>
        </w:tc>
        <w:tc>
          <w:tcPr>
            <w:tcW w:w="100" w:type="dxa"/>
            <w:vAlign w:val="bottom"/>
            <w:tcBorders>
              <w:bottom w:val="single" w:sz="8" w:color="F3F9FF"/>
            </w:tcBorders>
          </w:tcPr>
          <w:p>
            <w:pPr>
              <w:spacing w:after="0"/>
              <w:rPr>
                <w:sz w:val="14"/>
                <w:szCs w:val="14"/>
                <w:color w:val="auto"/>
              </w:rPr>
            </w:pPr>
          </w:p>
        </w:tc>
        <w:tc>
          <w:tcPr>
            <w:tcW w:w="1020" w:type="dxa"/>
            <w:vAlign w:val="bottom"/>
            <w:tcBorders>
              <w:bottom w:val="single" w:sz="8" w:color="F3F9FF"/>
            </w:tcBorders>
            <w:gridSpan w:val="2"/>
          </w:tcPr>
          <w:p>
            <w:pPr>
              <w:jc w:val="right"/>
              <w:spacing w:after="0"/>
              <w:rPr>
                <w:sz w:val="20"/>
                <w:szCs w:val="20"/>
                <w:color w:val="auto"/>
              </w:rPr>
            </w:pPr>
            <w:r>
              <w:rPr>
                <w:rFonts w:ascii="Arial" w:cs="Arial" w:eastAsia="Arial" w:hAnsi="Arial"/>
                <w:sz w:val="14"/>
                <w:szCs w:val="14"/>
                <w:color w:val="auto"/>
              </w:rPr>
              <w:t>1,080,000</w:t>
            </w:r>
          </w:p>
        </w:tc>
        <w:tc>
          <w:tcPr>
            <w:tcW w:w="200" w:type="dxa"/>
            <w:vAlign w:val="bottom"/>
            <w:tcBorders>
              <w:bottom w:val="single" w:sz="8" w:color="F3F9FF"/>
            </w:tcBorders>
          </w:tcPr>
          <w:p>
            <w:pPr>
              <w:spacing w:after="0"/>
              <w:rPr>
                <w:sz w:val="14"/>
                <w:szCs w:val="14"/>
                <w:color w:val="auto"/>
              </w:rPr>
            </w:pPr>
          </w:p>
        </w:tc>
        <w:tc>
          <w:tcPr>
            <w:tcW w:w="920" w:type="dxa"/>
            <w:vAlign w:val="bottom"/>
            <w:tcBorders>
              <w:bottom w:val="single" w:sz="8" w:color="F3F9FF"/>
            </w:tcBorders>
            <w:gridSpan w:val="2"/>
          </w:tcPr>
          <w:p>
            <w:pPr>
              <w:jc w:val="right"/>
              <w:spacing w:after="0"/>
              <w:rPr>
                <w:sz w:val="20"/>
                <w:szCs w:val="20"/>
                <w:color w:val="auto"/>
              </w:rPr>
            </w:pPr>
            <w:r>
              <w:rPr>
                <w:rFonts w:ascii="Arial" w:cs="Arial" w:eastAsia="Arial" w:hAnsi="Arial"/>
                <w:sz w:val="14"/>
                <w:szCs w:val="14"/>
                <w:color w:val="auto"/>
              </w:rPr>
              <w:t>2,234,520</w:t>
            </w:r>
          </w:p>
        </w:tc>
        <w:tc>
          <w:tcPr>
            <w:tcW w:w="200" w:type="dxa"/>
            <w:vAlign w:val="bottom"/>
            <w:tcBorders>
              <w:bottom w:val="single" w:sz="8" w:color="F3F9FF"/>
            </w:tcBorders>
          </w:tcPr>
          <w:p>
            <w:pPr>
              <w:spacing w:after="0"/>
              <w:rPr>
                <w:sz w:val="14"/>
                <w:szCs w:val="14"/>
                <w:color w:val="auto"/>
              </w:rPr>
            </w:pPr>
          </w:p>
        </w:tc>
        <w:tc>
          <w:tcPr>
            <w:tcW w:w="740" w:type="dxa"/>
            <w:vAlign w:val="bottom"/>
            <w:tcBorders>
              <w:bottom w:val="single" w:sz="8" w:color="F3F9FF"/>
            </w:tcBorders>
          </w:tcPr>
          <w:p>
            <w:pPr>
              <w:spacing w:after="0"/>
              <w:rPr>
                <w:sz w:val="14"/>
                <w:szCs w:val="14"/>
                <w:color w:val="auto"/>
              </w:rPr>
            </w:pPr>
          </w:p>
        </w:tc>
        <w:tc>
          <w:tcPr>
            <w:tcW w:w="60" w:type="dxa"/>
            <w:vAlign w:val="bottom"/>
            <w:tcBorders>
              <w:bottom w:val="single" w:sz="8" w:color="F3F9FF"/>
            </w:tcBorders>
          </w:tcPr>
          <w:p>
            <w:pPr>
              <w:spacing w:after="0"/>
              <w:rPr>
                <w:sz w:val="14"/>
                <w:szCs w:val="14"/>
                <w:color w:val="auto"/>
              </w:rPr>
            </w:pPr>
          </w:p>
        </w:tc>
        <w:tc>
          <w:tcPr>
            <w:tcW w:w="200" w:type="dxa"/>
            <w:vAlign w:val="bottom"/>
            <w:tcBorders>
              <w:bottom w:val="single" w:sz="8" w:color="F3F9FF"/>
            </w:tcBorders>
          </w:tcPr>
          <w:p>
            <w:pPr>
              <w:spacing w:after="0"/>
              <w:rPr>
                <w:sz w:val="14"/>
                <w:szCs w:val="14"/>
                <w:color w:val="auto"/>
              </w:rPr>
            </w:pPr>
          </w:p>
        </w:tc>
        <w:tc>
          <w:tcPr>
            <w:tcW w:w="800" w:type="dxa"/>
            <w:vAlign w:val="bottom"/>
            <w:tcBorders>
              <w:bottom w:val="single" w:sz="8" w:color="F3F9FF"/>
            </w:tcBorders>
          </w:tcPr>
          <w:p>
            <w:pPr>
              <w:spacing w:after="0"/>
              <w:rPr>
                <w:sz w:val="14"/>
                <w:szCs w:val="14"/>
                <w:color w:val="auto"/>
              </w:rPr>
            </w:pPr>
          </w:p>
        </w:tc>
        <w:tc>
          <w:tcPr>
            <w:tcW w:w="200" w:type="dxa"/>
            <w:vAlign w:val="bottom"/>
            <w:tcBorders>
              <w:bottom w:val="single" w:sz="8" w:color="F3F9FF"/>
            </w:tcBorders>
          </w:tcPr>
          <w:p>
            <w:pPr>
              <w:spacing w:after="0"/>
              <w:rPr>
                <w:sz w:val="14"/>
                <w:szCs w:val="14"/>
                <w:color w:val="auto"/>
              </w:rPr>
            </w:pPr>
          </w:p>
        </w:tc>
        <w:tc>
          <w:tcPr>
            <w:tcW w:w="420" w:type="dxa"/>
            <w:vAlign w:val="bottom"/>
            <w:tcBorders>
              <w:bottom w:val="single" w:sz="8" w:color="F3F9FF"/>
            </w:tcBorders>
          </w:tcPr>
          <w:p>
            <w:pPr>
              <w:spacing w:after="0"/>
              <w:rPr>
                <w:sz w:val="14"/>
                <w:szCs w:val="14"/>
                <w:color w:val="auto"/>
              </w:rPr>
            </w:pPr>
          </w:p>
        </w:tc>
        <w:tc>
          <w:tcPr>
            <w:tcW w:w="640" w:type="dxa"/>
            <w:vAlign w:val="bottom"/>
            <w:tcBorders>
              <w:bottom w:val="single" w:sz="8" w:color="F3F9FF"/>
            </w:tcBorders>
          </w:tcPr>
          <w:p>
            <w:pPr>
              <w:spacing w:after="0"/>
              <w:rPr>
                <w:sz w:val="14"/>
                <w:szCs w:val="14"/>
                <w:color w:val="auto"/>
              </w:rPr>
            </w:pPr>
          </w:p>
        </w:tc>
        <w:tc>
          <w:tcPr>
            <w:tcW w:w="100" w:type="dxa"/>
            <w:vAlign w:val="bottom"/>
            <w:tcBorders>
              <w:bottom w:val="single" w:sz="8" w:color="F3F9FF"/>
            </w:tcBorders>
          </w:tcPr>
          <w:p>
            <w:pPr>
              <w:spacing w:after="0"/>
              <w:rPr>
                <w:sz w:val="14"/>
                <w:szCs w:val="14"/>
                <w:color w:val="auto"/>
              </w:rPr>
            </w:pPr>
          </w:p>
        </w:tc>
        <w:tc>
          <w:tcPr>
            <w:tcW w:w="80" w:type="dxa"/>
            <w:vAlign w:val="bottom"/>
            <w:tcBorders>
              <w:bottom w:val="single" w:sz="8" w:color="F3F9FF"/>
            </w:tcBorders>
          </w:tcPr>
          <w:p>
            <w:pPr>
              <w:spacing w:after="0"/>
              <w:rPr>
                <w:sz w:val="14"/>
                <w:szCs w:val="14"/>
                <w:color w:val="auto"/>
              </w:rPr>
            </w:pPr>
          </w:p>
        </w:tc>
        <w:tc>
          <w:tcPr>
            <w:tcW w:w="960" w:type="dxa"/>
            <w:vAlign w:val="bottom"/>
            <w:tcBorders>
              <w:bottom w:val="single" w:sz="8" w:color="F3F9FF"/>
            </w:tcBorders>
          </w:tcPr>
          <w:p>
            <w:pPr>
              <w:spacing w:after="0"/>
              <w:rPr>
                <w:sz w:val="14"/>
                <w:szCs w:val="14"/>
                <w:color w:val="auto"/>
              </w:rPr>
            </w:pPr>
          </w:p>
        </w:tc>
        <w:tc>
          <w:tcPr>
            <w:tcW w:w="120" w:type="dxa"/>
            <w:vAlign w:val="bottom"/>
            <w:tcBorders>
              <w:bottom w:val="single" w:sz="8" w:color="F3F9FF"/>
            </w:tcBorders>
          </w:tcPr>
          <w:p>
            <w:pPr>
              <w:spacing w:after="0"/>
              <w:rPr>
                <w:sz w:val="14"/>
                <w:szCs w:val="14"/>
                <w:color w:val="auto"/>
              </w:rPr>
            </w:pPr>
          </w:p>
        </w:tc>
        <w:tc>
          <w:tcPr>
            <w:tcW w:w="180" w:type="dxa"/>
            <w:vAlign w:val="bottom"/>
            <w:tcBorders>
              <w:bottom w:val="single" w:sz="8" w:color="F3F9FF"/>
            </w:tcBorders>
          </w:tcPr>
          <w:p>
            <w:pPr>
              <w:spacing w:after="0"/>
              <w:rPr>
                <w:sz w:val="14"/>
                <w:szCs w:val="14"/>
                <w:color w:val="auto"/>
              </w:rPr>
            </w:pPr>
          </w:p>
        </w:tc>
        <w:tc>
          <w:tcPr>
            <w:tcW w:w="960" w:type="dxa"/>
            <w:vAlign w:val="bottom"/>
            <w:tcBorders>
              <w:bottom w:val="single" w:sz="8" w:color="F3F9FF"/>
            </w:tcBorders>
          </w:tcPr>
          <w:p>
            <w:pPr>
              <w:spacing w:after="0"/>
              <w:rPr>
                <w:sz w:val="14"/>
                <w:szCs w:val="14"/>
                <w:color w:val="auto"/>
              </w:rPr>
            </w:pPr>
          </w:p>
        </w:tc>
        <w:tc>
          <w:tcPr>
            <w:tcW w:w="120" w:type="dxa"/>
            <w:vAlign w:val="bottom"/>
            <w:tcBorders>
              <w:bottom w:val="single" w:sz="8" w:color="F3F9FF"/>
            </w:tcBorders>
          </w:tcPr>
          <w:p>
            <w:pPr>
              <w:spacing w:after="0"/>
              <w:rPr>
                <w:sz w:val="14"/>
                <w:szCs w:val="14"/>
                <w:color w:val="auto"/>
              </w:rPr>
            </w:pPr>
          </w:p>
        </w:tc>
        <w:tc>
          <w:tcPr>
            <w:tcW w:w="100" w:type="dxa"/>
            <w:vAlign w:val="bottom"/>
            <w:tcBorders>
              <w:bottom w:val="single" w:sz="8" w:color="F3F9FF"/>
              <w:right w:val="single" w:sz="8" w:color="C3E6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00" w:type="dxa"/>
            <w:vAlign w:val="bottom"/>
            <w:tcBorders>
              <w:left w:val="single" w:sz="8" w:color="C3E6FF"/>
              <w:bottom w:val="single" w:sz="8" w:color="C3E6FF"/>
            </w:tcBorders>
            <w:gridSpan w:val="3"/>
          </w:tcPr>
          <w:p>
            <w:pPr>
              <w:ind w:left="120"/>
              <w:spacing w:after="0"/>
              <w:rPr>
                <w:sz w:val="20"/>
                <w:szCs w:val="20"/>
                <w:color w:val="auto"/>
              </w:rPr>
            </w:pPr>
            <w:r>
              <w:rPr>
                <w:rFonts w:ascii="Arial" w:cs="Arial" w:eastAsia="Arial" w:hAnsi="Arial"/>
                <w:sz w:val="14"/>
                <w:szCs w:val="14"/>
                <w:b w:val="1"/>
                <w:bCs w:val="1"/>
                <w:color w:val="auto"/>
              </w:rPr>
              <w:t>Kapoor</w:t>
            </w:r>
          </w:p>
        </w:tc>
        <w:tc>
          <w:tcPr>
            <w:tcW w:w="1020" w:type="dxa"/>
            <w:vAlign w:val="bottom"/>
            <w:tcBorders>
              <w:bottom w:val="single" w:sz="8" w:color="C3E6FF"/>
            </w:tcBorders>
            <w:gridSpan w:val="2"/>
          </w:tcPr>
          <w:p>
            <w:pPr>
              <w:jc w:val="right"/>
              <w:spacing w:after="0"/>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6"/>
                <w:szCs w:val="16"/>
                <w:color w:val="auto"/>
              </w:rPr>
            </w:pPr>
          </w:p>
        </w:tc>
        <w:tc>
          <w:tcPr>
            <w:tcW w:w="100" w:type="dxa"/>
            <w:vAlign w:val="bottom"/>
            <w:tcBorders>
              <w:bottom w:val="single" w:sz="8" w:color="C3E6FF"/>
            </w:tcBorders>
          </w:tcPr>
          <w:p>
            <w:pPr>
              <w:spacing w:after="0"/>
              <w:rPr>
                <w:sz w:val="16"/>
                <w:szCs w:val="16"/>
                <w:color w:val="auto"/>
              </w:rPr>
            </w:pPr>
          </w:p>
        </w:tc>
        <w:tc>
          <w:tcPr>
            <w:tcW w:w="800" w:type="dxa"/>
            <w:vAlign w:val="bottom"/>
            <w:tcBorders>
              <w:bottom w:val="single" w:sz="8" w:color="C3E6FF"/>
            </w:tcBorders>
          </w:tcPr>
          <w:p>
            <w:pPr>
              <w:spacing w:after="0"/>
              <w:rPr>
                <w:sz w:val="16"/>
                <w:szCs w:val="16"/>
                <w:color w:val="auto"/>
              </w:rPr>
            </w:pPr>
          </w:p>
        </w:tc>
        <w:tc>
          <w:tcPr>
            <w:tcW w:w="100" w:type="dxa"/>
            <w:vAlign w:val="bottom"/>
            <w:tcBorders>
              <w:bottom w:val="single" w:sz="8" w:color="C3E6FF"/>
            </w:tcBorders>
          </w:tcPr>
          <w:p>
            <w:pPr>
              <w:spacing w:after="0"/>
              <w:rPr>
                <w:sz w:val="16"/>
                <w:szCs w:val="16"/>
                <w:color w:val="auto"/>
              </w:rPr>
            </w:pPr>
          </w:p>
        </w:tc>
        <w:tc>
          <w:tcPr>
            <w:tcW w:w="100" w:type="dxa"/>
            <w:vAlign w:val="bottom"/>
            <w:tcBorders>
              <w:bottom w:val="single" w:sz="8" w:color="C3E6FF"/>
            </w:tcBorders>
          </w:tcPr>
          <w:p>
            <w:pPr>
              <w:spacing w:after="0"/>
              <w:rPr>
                <w:sz w:val="16"/>
                <w:szCs w:val="16"/>
                <w:color w:val="auto"/>
              </w:rPr>
            </w:pPr>
          </w:p>
        </w:tc>
        <w:tc>
          <w:tcPr>
            <w:tcW w:w="920" w:type="dxa"/>
            <w:vAlign w:val="bottom"/>
            <w:tcBorders>
              <w:bottom w:val="single" w:sz="8" w:color="C3E6FF"/>
            </w:tcBorders>
          </w:tcPr>
          <w:p>
            <w:pPr>
              <w:spacing w:after="0"/>
              <w:rPr>
                <w:sz w:val="16"/>
                <w:szCs w:val="16"/>
                <w:color w:val="auto"/>
              </w:rPr>
            </w:pPr>
          </w:p>
        </w:tc>
        <w:tc>
          <w:tcPr>
            <w:tcW w:w="200" w:type="dxa"/>
            <w:vAlign w:val="bottom"/>
            <w:tcBorders>
              <w:bottom w:val="single" w:sz="8" w:color="C3E6FF"/>
            </w:tcBorders>
          </w:tcPr>
          <w:p>
            <w:pPr>
              <w:spacing w:after="0"/>
              <w:rPr>
                <w:sz w:val="16"/>
                <w:szCs w:val="16"/>
                <w:color w:val="auto"/>
              </w:rPr>
            </w:pPr>
          </w:p>
        </w:tc>
        <w:tc>
          <w:tcPr>
            <w:tcW w:w="360" w:type="dxa"/>
            <w:vAlign w:val="bottom"/>
            <w:tcBorders>
              <w:bottom w:val="single" w:sz="8" w:color="C3E6FF"/>
            </w:tcBorders>
          </w:tcPr>
          <w:p>
            <w:pPr>
              <w:spacing w:after="0"/>
              <w:rPr>
                <w:sz w:val="16"/>
                <w:szCs w:val="16"/>
                <w:color w:val="auto"/>
              </w:rPr>
            </w:pPr>
          </w:p>
        </w:tc>
        <w:tc>
          <w:tcPr>
            <w:tcW w:w="560" w:type="dxa"/>
            <w:vAlign w:val="bottom"/>
            <w:tcBorders>
              <w:bottom w:val="single" w:sz="8" w:color="C3E6FF"/>
            </w:tcBorders>
          </w:tcPr>
          <w:p>
            <w:pPr>
              <w:spacing w:after="0"/>
              <w:rPr>
                <w:sz w:val="16"/>
                <w:szCs w:val="16"/>
                <w:color w:val="auto"/>
              </w:rPr>
            </w:pPr>
          </w:p>
        </w:tc>
        <w:tc>
          <w:tcPr>
            <w:tcW w:w="200" w:type="dxa"/>
            <w:vAlign w:val="bottom"/>
            <w:tcBorders>
              <w:bottom w:val="single" w:sz="8" w:color="C3E6FF"/>
            </w:tcBorders>
          </w:tcPr>
          <w:p>
            <w:pPr>
              <w:spacing w:after="0"/>
              <w:rPr>
                <w:sz w:val="16"/>
                <w:szCs w:val="16"/>
                <w:color w:val="auto"/>
              </w:rPr>
            </w:pPr>
          </w:p>
        </w:tc>
        <w:tc>
          <w:tcPr>
            <w:tcW w:w="740" w:type="dxa"/>
            <w:vAlign w:val="bottom"/>
            <w:tcBorders>
              <w:bottom w:val="single" w:sz="8" w:color="C3E6FF"/>
            </w:tcBorders>
          </w:tcPr>
          <w:p>
            <w:pPr>
              <w:spacing w:after="0"/>
              <w:rPr>
                <w:sz w:val="16"/>
                <w:szCs w:val="16"/>
                <w:color w:val="auto"/>
              </w:rPr>
            </w:pPr>
          </w:p>
        </w:tc>
        <w:tc>
          <w:tcPr>
            <w:tcW w:w="60" w:type="dxa"/>
            <w:vAlign w:val="bottom"/>
            <w:tcBorders>
              <w:bottom w:val="single" w:sz="8" w:color="C3E6FF"/>
            </w:tcBorders>
          </w:tcPr>
          <w:p>
            <w:pPr>
              <w:spacing w:after="0"/>
              <w:rPr>
                <w:sz w:val="16"/>
                <w:szCs w:val="16"/>
                <w:color w:val="auto"/>
              </w:rPr>
            </w:pPr>
          </w:p>
        </w:tc>
        <w:tc>
          <w:tcPr>
            <w:tcW w:w="200" w:type="dxa"/>
            <w:vAlign w:val="bottom"/>
            <w:tcBorders>
              <w:bottom w:val="single" w:sz="8" w:color="C3E6FF"/>
            </w:tcBorders>
          </w:tcPr>
          <w:p>
            <w:pPr>
              <w:spacing w:after="0"/>
              <w:rPr>
                <w:sz w:val="16"/>
                <w:szCs w:val="16"/>
                <w:color w:val="auto"/>
              </w:rPr>
            </w:pPr>
          </w:p>
        </w:tc>
        <w:tc>
          <w:tcPr>
            <w:tcW w:w="800" w:type="dxa"/>
            <w:vAlign w:val="bottom"/>
            <w:tcBorders>
              <w:bottom w:val="single" w:sz="8" w:color="C3E6FF"/>
            </w:tcBorders>
          </w:tcPr>
          <w:p>
            <w:pPr>
              <w:spacing w:after="0"/>
              <w:rPr>
                <w:sz w:val="16"/>
                <w:szCs w:val="16"/>
                <w:color w:val="auto"/>
              </w:rPr>
            </w:pPr>
          </w:p>
        </w:tc>
        <w:tc>
          <w:tcPr>
            <w:tcW w:w="200" w:type="dxa"/>
            <w:vAlign w:val="bottom"/>
            <w:tcBorders>
              <w:bottom w:val="single" w:sz="8" w:color="C3E6FF"/>
            </w:tcBorders>
          </w:tcPr>
          <w:p>
            <w:pPr>
              <w:spacing w:after="0"/>
              <w:rPr>
                <w:sz w:val="16"/>
                <w:szCs w:val="16"/>
                <w:color w:val="auto"/>
              </w:rPr>
            </w:pPr>
          </w:p>
        </w:tc>
        <w:tc>
          <w:tcPr>
            <w:tcW w:w="420" w:type="dxa"/>
            <w:vAlign w:val="bottom"/>
            <w:tcBorders>
              <w:bottom w:val="single" w:sz="8" w:color="C3E6FF"/>
            </w:tcBorders>
          </w:tcPr>
          <w:p>
            <w:pPr>
              <w:spacing w:after="0"/>
              <w:rPr>
                <w:sz w:val="16"/>
                <w:szCs w:val="16"/>
                <w:color w:val="auto"/>
              </w:rPr>
            </w:pPr>
          </w:p>
        </w:tc>
        <w:tc>
          <w:tcPr>
            <w:tcW w:w="640" w:type="dxa"/>
            <w:vAlign w:val="bottom"/>
            <w:tcBorders>
              <w:bottom w:val="single" w:sz="8" w:color="C3E6FF"/>
            </w:tcBorders>
          </w:tcPr>
          <w:p>
            <w:pPr>
              <w:spacing w:after="0"/>
              <w:rPr>
                <w:sz w:val="16"/>
                <w:szCs w:val="16"/>
                <w:color w:val="auto"/>
              </w:rPr>
            </w:pPr>
          </w:p>
        </w:tc>
        <w:tc>
          <w:tcPr>
            <w:tcW w:w="100" w:type="dxa"/>
            <w:vAlign w:val="bottom"/>
            <w:tcBorders>
              <w:bottom w:val="single" w:sz="8" w:color="C3E6FF"/>
            </w:tcBorders>
          </w:tcPr>
          <w:p>
            <w:pPr>
              <w:spacing w:after="0"/>
              <w:rPr>
                <w:sz w:val="16"/>
                <w:szCs w:val="16"/>
                <w:color w:val="auto"/>
              </w:rPr>
            </w:pPr>
          </w:p>
        </w:tc>
        <w:tc>
          <w:tcPr>
            <w:tcW w:w="1040" w:type="dxa"/>
            <w:vAlign w:val="bottom"/>
            <w:tcBorders>
              <w:bottom w:val="single" w:sz="8" w:color="C3E6FF"/>
            </w:tcBorders>
            <w:gridSpan w:val="2"/>
          </w:tcPr>
          <w:p>
            <w:pPr>
              <w:jc w:val="right"/>
              <w:ind w:right="72"/>
              <w:spacing w:after="0"/>
              <w:rPr>
                <w:sz w:val="20"/>
                <w:szCs w:val="20"/>
                <w:color w:val="auto"/>
              </w:rPr>
            </w:pPr>
            <w:r>
              <w:rPr>
                <w:rFonts w:ascii="Arial" w:cs="Arial" w:eastAsia="Arial" w:hAnsi="Arial"/>
                <w:sz w:val="14"/>
                <w:szCs w:val="14"/>
                <w:color w:val="auto"/>
              </w:rPr>
              <w:t>28,910</w:t>
            </w:r>
          </w:p>
        </w:tc>
        <w:tc>
          <w:tcPr>
            <w:tcW w:w="300" w:type="dxa"/>
            <w:vAlign w:val="bottom"/>
            <w:tcBorders>
              <w:bottom w:val="single" w:sz="8" w:color="C3E6FF"/>
            </w:tcBorders>
            <w:gridSpan w:val="2"/>
          </w:tcPr>
          <w:p>
            <w:pPr>
              <w:jc w:val="right"/>
              <w:ind w:right="80"/>
              <w:spacing w:after="0"/>
              <w:rPr>
                <w:sz w:val="20"/>
                <w:szCs w:val="20"/>
                <w:color w:val="auto"/>
              </w:rPr>
            </w:pPr>
            <w:r>
              <w:rPr>
                <w:rFonts w:ascii="Arial" w:cs="Arial" w:eastAsia="Arial" w:hAnsi="Arial"/>
                <w:sz w:val="12"/>
                <w:szCs w:val="12"/>
                <w:color w:val="auto"/>
              </w:rPr>
              <w:t>(4)</w:t>
            </w:r>
          </w:p>
        </w:tc>
        <w:tc>
          <w:tcPr>
            <w:tcW w:w="96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1,859,780</w:t>
            </w:r>
          </w:p>
        </w:tc>
        <w:tc>
          <w:tcPr>
            <w:tcW w:w="120" w:type="dxa"/>
            <w:vAlign w:val="bottom"/>
            <w:tcBorders>
              <w:bottom w:val="single" w:sz="8" w:color="C3E6FF"/>
            </w:tcBorders>
          </w:tcPr>
          <w:p>
            <w:pPr>
              <w:spacing w:after="0"/>
              <w:rPr>
                <w:sz w:val="16"/>
                <w:szCs w:val="16"/>
                <w:color w:val="auto"/>
              </w:rPr>
            </w:pPr>
          </w:p>
        </w:tc>
        <w:tc>
          <w:tcPr>
            <w:tcW w:w="100" w:type="dxa"/>
            <w:vAlign w:val="bottom"/>
            <w:tcBorders>
              <w:bottom w:val="single" w:sz="8" w:color="C3E6FF"/>
              <w:right w:val="single" w:sz="8" w:color="C3E6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C3E6FF"/>
              <w:bottom w:val="single" w:sz="8" w:color="C3E6FF"/>
            </w:tcBorders>
          </w:tcPr>
          <w:p>
            <w:pPr>
              <w:spacing w:after="0"/>
              <w:rPr>
                <w:sz w:val="14"/>
                <w:szCs w:val="14"/>
                <w:color w:val="auto"/>
              </w:rPr>
            </w:pPr>
          </w:p>
        </w:tc>
        <w:tc>
          <w:tcPr>
            <w:tcW w:w="560" w:type="dxa"/>
            <w:vAlign w:val="bottom"/>
            <w:tcBorders>
              <w:bottom w:val="single" w:sz="8" w:color="C3E6FF"/>
            </w:tcBorders>
          </w:tcPr>
          <w:p>
            <w:pPr>
              <w:spacing w:after="0"/>
              <w:rPr>
                <w:sz w:val="14"/>
                <w:szCs w:val="14"/>
                <w:color w:val="auto"/>
              </w:rPr>
            </w:pPr>
          </w:p>
        </w:tc>
        <w:tc>
          <w:tcPr>
            <w:tcW w:w="100" w:type="dxa"/>
            <w:vAlign w:val="bottom"/>
            <w:tcBorders>
              <w:bottom w:val="single" w:sz="8" w:color="C3E6FF"/>
            </w:tcBorders>
          </w:tcPr>
          <w:p>
            <w:pPr>
              <w:spacing w:after="0"/>
              <w:rPr>
                <w:sz w:val="14"/>
                <w:szCs w:val="14"/>
                <w:color w:val="auto"/>
              </w:rPr>
            </w:pPr>
          </w:p>
        </w:tc>
        <w:tc>
          <w:tcPr>
            <w:tcW w:w="1020" w:type="dxa"/>
            <w:vAlign w:val="bottom"/>
            <w:tcBorders>
              <w:bottom w:val="single" w:sz="8" w:color="C3E6FF"/>
            </w:tcBorders>
            <w:gridSpan w:val="2"/>
          </w:tcPr>
          <w:p>
            <w:pPr>
              <w:jc w:val="right"/>
              <w:spacing w:after="0"/>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4"/>
                <w:szCs w:val="14"/>
                <w:color w:val="auto"/>
              </w:rPr>
            </w:pPr>
          </w:p>
        </w:tc>
        <w:tc>
          <w:tcPr>
            <w:tcW w:w="100" w:type="dxa"/>
            <w:vAlign w:val="bottom"/>
            <w:tcBorders>
              <w:bottom w:val="single" w:sz="8" w:color="C3E6FF"/>
            </w:tcBorders>
          </w:tcPr>
          <w:p>
            <w:pPr>
              <w:spacing w:after="0"/>
              <w:rPr>
                <w:sz w:val="14"/>
                <w:szCs w:val="14"/>
                <w:color w:val="auto"/>
              </w:rPr>
            </w:pPr>
          </w:p>
        </w:tc>
        <w:tc>
          <w:tcPr>
            <w:tcW w:w="800" w:type="dxa"/>
            <w:vAlign w:val="bottom"/>
            <w:tcBorders>
              <w:bottom w:val="single" w:sz="8" w:color="C3E6FF"/>
            </w:tcBorders>
          </w:tcPr>
          <w:p>
            <w:pPr>
              <w:spacing w:after="0"/>
              <w:rPr>
                <w:sz w:val="14"/>
                <w:szCs w:val="14"/>
                <w:color w:val="auto"/>
              </w:rPr>
            </w:pPr>
          </w:p>
        </w:tc>
        <w:tc>
          <w:tcPr>
            <w:tcW w:w="100" w:type="dxa"/>
            <w:vAlign w:val="bottom"/>
            <w:tcBorders>
              <w:bottom w:val="single" w:sz="8" w:color="C3E6FF"/>
            </w:tcBorders>
          </w:tcPr>
          <w:p>
            <w:pPr>
              <w:spacing w:after="0"/>
              <w:rPr>
                <w:sz w:val="14"/>
                <w:szCs w:val="14"/>
                <w:color w:val="auto"/>
              </w:rPr>
            </w:pPr>
          </w:p>
        </w:tc>
        <w:tc>
          <w:tcPr>
            <w:tcW w:w="100" w:type="dxa"/>
            <w:vAlign w:val="bottom"/>
            <w:tcBorders>
              <w:bottom w:val="single" w:sz="8" w:color="C3E6FF"/>
            </w:tcBorders>
          </w:tcPr>
          <w:p>
            <w:pPr>
              <w:spacing w:after="0"/>
              <w:rPr>
                <w:sz w:val="14"/>
                <w:szCs w:val="14"/>
                <w:color w:val="auto"/>
              </w:rPr>
            </w:pPr>
          </w:p>
        </w:tc>
        <w:tc>
          <w:tcPr>
            <w:tcW w:w="920" w:type="dxa"/>
            <w:vAlign w:val="bottom"/>
            <w:tcBorders>
              <w:bottom w:val="single" w:sz="8" w:color="C3E6FF"/>
            </w:tcBorders>
          </w:tcPr>
          <w:p>
            <w:pPr>
              <w:spacing w:after="0"/>
              <w:rPr>
                <w:sz w:val="14"/>
                <w:szCs w:val="14"/>
                <w:color w:val="auto"/>
              </w:rPr>
            </w:pPr>
          </w:p>
        </w:tc>
        <w:tc>
          <w:tcPr>
            <w:tcW w:w="200" w:type="dxa"/>
            <w:vAlign w:val="bottom"/>
            <w:tcBorders>
              <w:bottom w:val="single" w:sz="8" w:color="C3E6FF"/>
            </w:tcBorders>
          </w:tcPr>
          <w:p>
            <w:pPr>
              <w:spacing w:after="0"/>
              <w:rPr>
                <w:sz w:val="14"/>
                <w:szCs w:val="14"/>
                <w:color w:val="auto"/>
              </w:rPr>
            </w:pPr>
          </w:p>
        </w:tc>
        <w:tc>
          <w:tcPr>
            <w:tcW w:w="360" w:type="dxa"/>
            <w:vAlign w:val="bottom"/>
            <w:tcBorders>
              <w:bottom w:val="single" w:sz="8" w:color="C3E6FF"/>
            </w:tcBorders>
          </w:tcPr>
          <w:p>
            <w:pPr>
              <w:spacing w:after="0"/>
              <w:rPr>
                <w:sz w:val="14"/>
                <w:szCs w:val="14"/>
                <w:color w:val="auto"/>
              </w:rPr>
            </w:pPr>
          </w:p>
        </w:tc>
        <w:tc>
          <w:tcPr>
            <w:tcW w:w="560" w:type="dxa"/>
            <w:vAlign w:val="bottom"/>
            <w:tcBorders>
              <w:bottom w:val="single" w:sz="8" w:color="C3E6FF"/>
            </w:tcBorders>
          </w:tcPr>
          <w:p>
            <w:pPr>
              <w:spacing w:after="0"/>
              <w:rPr>
                <w:sz w:val="14"/>
                <w:szCs w:val="14"/>
                <w:color w:val="auto"/>
              </w:rPr>
            </w:pPr>
          </w:p>
        </w:tc>
        <w:tc>
          <w:tcPr>
            <w:tcW w:w="200" w:type="dxa"/>
            <w:vAlign w:val="bottom"/>
            <w:tcBorders>
              <w:bottom w:val="single" w:sz="8" w:color="C3E6FF"/>
            </w:tcBorders>
          </w:tcPr>
          <w:p>
            <w:pPr>
              <w:spacing w:after="0"/>
              <w:rPr>
                <w:sz w:val="14"/>
                <w:szCs w:val="14"/>
                <w:color w:val="auto"/>
              </w:rPr>
            </w:pPr>
          </w:p>
        </w:tc>
        <w:tc>
          <w:tcPr>
            <w:tcW w:w="740" w:type="dxa"/>
            <w:vAlign w:val="bottom"/>
            <w:tcBorders>
              <w:bottom w:val="single" w:sz="8" w:color="C3E6FF"/>
            </w:tcBorders>
          </w:tcPr>
          <w:p>
            <w:pPr>
              <w:spacing w:after="0"/>
              <w:rPr>
                <w:sz w:val="14"/>
                <w:szCs w:val="14"/>
                <w:color w:val="auto"/>
              </w:rPr>
            </w:pPr>
          </w:p>
        </w:tc>
        <w:tc>
          <w:tcPr>
            <w:tcW w:w="1260" w:type="dxa"/>
            <w:vAlign w:val="bottom"/>
            <w:tcBorders>
              <w:bottom w:val="single" w:sz="8" w:color="C3E6FF"/>
            </w:tcBorders>
            <w:gridSpan w:val="4"/>
          </w:tcPr>
          <w:p>
            <w:pPr>
              <w:jc w:val="right"/>
              <w:ind w:right="120"/>
              <w:spacing w:after="0"/>
              <w:rPr>
                <w:sz w:val="20"/>
                <w:szCs w:val="20"/>
                <w:color w:val="auto"/>
              </w:rPr>
            </w:pPr>
            <w:r>
              <w:rPr>
                <w:rFonts w:ascii="Arial" w:cs="Arial" w:eastAsia="Arial" w:hAnsi="Arial"/>
                <w:sz w:val="14"/>
                <w:szCs w:val="14"/>
                <w:color w:val="auto"/>
              </w:rPr>
              <w:t>14,455</w:t>
            </w:r>
          </w:p>
        </w:tc>
        <w:tc>
          <w:tcPr>
            <w:tcW w:w="420" w:type="dxa"/>
            <w:vAlign w:val="bottom"/>
            <w:tcBorders>
              <w:bottom w:val="single" w:sz="8" w:color="C3E6FF"/>
            </w:tcBorders>
          </w:tcPr>
          <w:p>
            <w:pPr>
              <w:jc w:val="right"/>
              <w:ind w:right="199"/>
              <w:spacing w:after="0"/>
              <w:rPr>
                <w:sz w:val="20"/>
                <w:szCs w:val="20"/>
                <w:color w:val="auto"/>
              </w:rPr>
            </w:pPr>
            <w:r>
              <w:rPr>
                <w:rFonts w:ascii="Arial" w:cs="Arial" w:eastAsia="Arial" w:hAnsi="Arial"/>
                <w:sz w:val="12"/>
                <w:szCs w:val="12"/>
                <w:color w:val="auto"/>
                <w:w w:val="95"/>
              </w:rPr>
              <w:t>(2)</w:t>
            </w:r>
          </w:p>
        </w:tc>
        <w:tc>
          <w:tcPr>
            <w:tcW w:w="64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28,910</w:t>
            </w:r>
          </w:p>
        </w:tc>
        <w:tc>
          <w:tcPr>
            <w:tcW w:w="100" w:type="dxa"/>
            <w:vAlign w:val="bottom"/>
            <w:tcBorders>
              <w:bottom w:val="single" w:sz="8" w:color="C3E6FF"/>
            </w:tcBorders>
          </w:tcPr>
          <w:p>
            <w:pPr>
              <w:spacing w:after="0"/>
              <w:rPr>
                <w:sz w:val="14"/>
                <w:szCs w:val="14"/>
                <w:color w:val="auto"/>
              </w:rPr>
            </w:pPr>
          </w:p>
        </w:tc>
        <w:tc>
          <w:tcPr>
            <w:tcW w:w="80" w:type="dxa"/>
            <w:vAlign w:val="bottom"/>
            <w:tcBorders>
              <w:bottom w:val="single" w:sz="8" w:color="C3E6FF"/>
            </w:tcBorders>
          </w:tcPr>
          <w:p>
            <w:pPr>
              <w:spacing w:after="0"/>
              <w:rPr>
                <w:sz w:val="14"/>
                <w:szCs w:val="14"/>
                <w:color w:val="auto"/>
              </w:rPr>
            </w:pPr>
          </w:p>
        </w:tc>
        <w:tc>
          <w:tcPr>
            <w:tcW w:w="960" w:type="dxa"/>
            <w:vAlign w:val="bottom"/>
            <w:tcBorders>
              <w:bottom w:val="single" w:sz="8" w:color="C3E6FF"/>
            </w:tcBorders>
          </w:tcPr>
          <w:p>
            <w:pPr>
              <w:spacing w:after="0"/>
              <w:rPr>
                <w:sz w:val="14"/>
                <w:szCs w:val="14"/>
                <w:color w:val="auto"/>
              </w:rPr>
            </w:pPr>
          </w:p>
        </w:tc>
        <w:tc>
          <w:tcPr>
            <w:tcW w:w="120" w:type="dxa"/>
            <w:vAlign w:val="bottom"/>
            <w:tcBorders>
              <w:bottom w:val="single" w:sz="8" w:color="C3E6FF"/>
            </w:tcBorders>
          </w:tcPr>
          <w:p>
            <w:pPr>
              <w:spacing w:after="0"/>
              <w:rPr>
                <w:sz w:val="14"/>
                <w:szCs w:val="14"/>
                <w:color w:val="auto"/>
              </w:rPr>
            </w:pPr>
          </w:p>
        </w:tc>
        <w:tc>
          <w:tcPr>
            <w:tcW w:w="180" w:type="dxa"/>
            <w:vAlign w:val="bottom"/>
            <w:tcBorders>
              <w:bottom w:val="single" w:sz="8" w:color="C3E6FF"/>
            </w:tcBorders>
          </w:tcPr>
          <w:p>
            <w:pPr>
              <w:spacing w:after="0"/>
              <w:rPr>
                <w:sz w:val="14"/>
                <w:szCs w:val="14"/>
                <w:color w:val="auto"/>
              </w:rPr>
            </w:pPr>
          </w:p>
        </w:tc>
        <w:tc>
          <w:tcPr>
            <w:tcW w:w="960" w:type="dxa"/>
            <w:vAlign w:val="bottom"/>
            <w:tcBorders>
              <w:bottom w:val="single" w:sz="8" w:color="C3E6FF"/>
            </w:tcBorders>
          </w:tcPr>
          <w:p>
            <w:pPr>
              <w:jc w:val="right"/>
              <w:spacing w:after="0"/>
              <w:rPr>
                <w:sz w:val="20"/>
                <w:szCs w:val="20"/>
                <w:color w:val="auto"/>
              </w:rPr>
            </w:pPr>
            <w:r>
              <w:rPr>
                <w:rFonts w:ascii="Arial" w:cs="Arial" w:eastAsia="Arial" w:hAnsi="Arial"/>
                <w:sz w:val="14"/>
                <w:szCs w:val="14"/>
                <w:color w:val="auto"/>
              </w:rPr>
              <w:t>929,890</w:t>
            </w:r>
          </w:p>
        </w:tc>
        <w:tc>
          <w:tcPr>
            <w:tcW w:w="120" w:type="dxa"/>
            <w:vAlign w:val="bottom"/>
            <w:tcBorders>
              <w:bottom w:val="single" w:sz="8" w:color="C3E6FF"/>
            </w:tcBorders>
          </w:tcPr>
          <w:p>
            <w:pPr>
              <w:spacing w:after="0"/>
              <w:rPr>
                <w:sz w:val="14"/>
                <w:szCs w:val="14"/>
                <w:color w:val="auto"/>
              </w:rPr>
            </w:pPr>
          </w:p>
        </w:tc>
        <w:tc>
          <w:tcPr>
            <w:tcW w:w="100" w:type="dxa"/>
            <w:vAlign w:val="bottom"/>
            <w:tcBorders>
              <w:bottom w:val="single" w:sz="8" w:color="C3E6FF"/>
              <w:right w:val="single" w:sz="8" w:color="C3E6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1260" w:type="dxa"/>
            <w:vAlign w:val="bottom"/>
            <w:tcBorders>
              <w:bottom w:val="single" w:sz="8" w:color="C3E6FF"/>
            </w:tcBorders>
            <w:gridSpan w:val="4"/>
          </w:tcPr>
          <w:p>
            <w:pPr>
              <w:jc w:val="right"/>
              <w:ind w:right="120"/>
              <w:spacing w:after="0" w:line="155" w:lineRule="exact"/>
              <w:rPr>
                <w:sz w:val="20"/>
                <w:szCs w:val="20"/>
                <w:color w:val="auto"/>
              </w:rPr>
            </w:pPr>
            <w:r>
              <w:rPr>
                <w:rFonts w:ascii="Arial" w:cs="Arial" w:eastAsia="Arial" w:hAnsi="Arial"/>
                <w:sz w:val="14"/>
                <w:szCs w:val="14"/>
                <w:color w:val="auto"/>
              </w:rPr>
              <w:t>14,455</w:t>
            </w:r>
          </w:p>
        </w:tc>
        <w:tc>
          <w:tcPr>
            <w:tcW w:w="420" w:type="dxa"/>
            <w:vAlign w:val="bottom"/>
            <w:tcBorders>
              <w:bottom w:val="single" w:sz="8" w:color="C3E6FF"/>
            </w:tcBorders>
          </w:tcPr>
          <w:p>
            <w:pPr>
              <w:jc w:val="right"/>
              <w:ind w:right="199"/>
              <w:spacing w:after="0"/>
              <w:rPr>
                <w:sz w:val="20"/>
                <w:szCs w:val="20"/>
                <w:color w:val="auto"/>
              </w:rPr>
            </w:pPr>
            <w:r>
              <w:rPr>
                <w:rFonts w:ascii="Arial" w:cs="Arial" w:eastAsia="Arial" w:hAnsi="Arial"/>
                <w:sz w:val="12"/>
                <w:szCs w:val="12"/>
                <w:color w:val="auto"/>
                <w:w w:val="95"/>
              </w:rPr>
              <w:t>(3)</w:t>
            </w:r>
          </w:p>
        </w:tc>
        <w:tc>
          <w:tcPr>
            <w:tcW w:w="64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28,910</w:t>
            </w: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1,331,739</w:t>
            </w:r>
          </w:p>
        </w:tc>
        <w:tc>
          <w:tcPr>
            <w:tcW w:w="220" w:type="dxa"/>
            <w:vAlign w:val="bottom"/>
            <w:tcBorders>
              <w:bottom w:val="single" w:sz="8" w:color="C3E6FF"/>
              <w:right w:val="single" w:sz="8" w:color="C3E6FF"/>
            </w:tcBorders>
            <w:gridSpan w:val="2"/>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6"/>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shd w:val="clear" w:color="auto" w:fill="F3F9FF"/>
          </w:tcPr>
          <w:p>
            <w:pPr>
              <w:ind w:left="120"/>
              <w:spacing w:after="0" w:line="155" w:lineRule="exact"/>
              <w:rPr>
                <w:sz w:val="20"/>
                <w:szCs w:val="20"/>
                <w:color w:val="auto"/>
              </w:rPr>
            </w:pPr>
            <w:r>
              <w:rPr>
                <w:rFonts w:ascii="Arial" w:cs="Arial" w:eastAsia="Arial" w:hAnsi="Arial"/>
                <w:sz w:val="14"/>
                <w:szCs w:val="14"/>
                <w:b w:val="1"/>
                <w:bCs w:val="1"/>
                <w:color w:val="auto"/>
              </w:rPr>
              <w:t>Vishal</w:t>
            </w: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337,500</w:t>
            </w: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696,600</w:t>
            </w: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Borders>
              <w:left w:val="single" w:sz="8" w:color="C3E6FF"/>
              <w:bottom w:val="single" w:sz="8" w:color="C3E6FF"/>
            </w:tcBorders>
            <w:gridSpan w:val="3"/>
            <w:shd w:val="clear" w:color="auto" w:fill="F3F9FF"/>
          </w:tcPr>
          <w:p>
            <w:pPr>
              <w:ind w:left="120"/>
              <w:spacing w:after="0" w:line="155" w:lineRule="exact"/>
              <w:rPr>
                <w:sz w:val="20"/>
                <w:szCs w:val="20"/>
                <w:color w:val="auto"/>
              </w:rPr>
            </w:pPr>
            <w:r>
              <w:rPr>
                <w:rFonts w:ascii="Arial" w:cs="Arial" w:eastAsia="Arial" w:hAnsi="Arial"/>
                <w:sz w:val="14"/>
                <w:szCs w:val="14"/>
                <w:b w:val="1"/>
                <w:bCs w:val="1"/>
                <w:color w:val="auto"/>
              </w:rPr>
              <w:t>Chhibbar</w:t>
            </w: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4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7,085</w:t>
            </w:r>
          </w:p>
        </w:tc>
        <w:tc>
          <w:tcPr>
            <w:tcW w:w="300" w:type="dxa"/>
            <w:vAlign w:val="bottom"/>
            <w:tcBorders>
              <w:bottom w:val="single" w:sz="8" w:color="C3E6FF"/>
            </w:tcBorders>
            <w:gridSpan w:val="2"/>
            <w:shd w:val="clear" w:color="auto" w:fill="F3F9FF"/>
          </w:tcPr>
          <w:p>
            <w:pPr>
              <w:jc w:val="right"/>
              <w:ind w:right="80"/>
              <w:spacing w:after="0"/>
              <w:rPr>
                <w:sz w:val="20"/>
                <w:szCs w:val="20"/>
                <w:color w:val="auto"/>
              </w:rPr>
            </w:pPr>
            <w:r>
              <w:rPr>
                <w:rFonts w:ascii="Arial" w:cs="Arial" w:eastAsia="Arial" w:hAnsi="Arial"/>
                <w:sz w:val="12"/>
                <w:szCs w:val="12"/>
                <w:color w:val="auto"/>
              </w:rPr>
              <w:t>(4)</w:t>
            </w: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455,778</w:t>
            </w: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1260" w:type="dxa"/>
            <w:vAlign w:val="bottom"/>
            <w:tcBorders>
              <w:bottom w:val="single" w:sz="8" w:color="C3E6FF"/>
            </w:tcBorders>
            <w:gridSpan w:val="4"/>
            <w:shd w:val="clear" w:color="auto" w:fill="F3F9FF"/>
          </w:tcPr>
          <w:p>
            <w:pPr>
              <w:jc w:val="right"/>
              <w:ind w:right="120"/>
              <w:spacing w:after="0" w:line="155" w:lineRule="exact"/>
              <w:rPr>
                <w:sz w:val="20"/>
                <w:szCs w:val="20"/>
                <w:color w:val="auto"/>
              </w:rPr>
            </w:pPr>
            <w:r>
              <w:rPr>
                <w:rFonts w:ascii="Arial" w:cs="Arial" w:eastAsia="Arial" w:hAnsi="Arial"/>
                <w:sz w:val="14"/>
                <w:szCs w:val="14"/>
                <w:color w:val="auto"/>
              </w:rPr>
              <w:t>3,543</w:t>
            </w:r>
          </w:p>
        </w:tc>
        <w:tc>
          <w:tcPr>
            <w:tcW w:w="420" w:type="dxa"/>
            <w:vAlign w:val="bottom"/>
            <w:tcBorders>
              <w:bottom w:val="single" w:sz="8" w:color="C3E6FF"/>
            </w:tcBorders>
            <w:shd w:val="clear" w:color="auto" w:fill="F3F9FF"/>
          </w:tcPr>
          <w:p>
            <w:pPr>
              <w:jc w:val="right"/>
              <w:ind w:right="199"/>
              <w:spacing w:after="0"/>
              <w:rPr>
                <w:sz w:val="20"/>
                <w:szCs w:val="20"/>
                <w:color w:val="auto"/>
              </w:rPr>
            </w:pPr>
            <w:r>
              <w:rPr>
                <w:rFonts w:ascii="Arial" w:cs="Arial" w:eastAsia="Arial" w:hAnsi="Arial"/>
                <w:sz w:val="12"/>
                <w:szCs w:val="12"/>
                <w:color w:val="auto"/>
                <w:w w:val="95"/>
              </w:rPr>
              <w:t>(2)</w:t>
            </w:r>
          </w:p>
        </w:tc>
        <w:tc>
          <w:tcPr>
            <w:tcW w:w="64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7,086</w:t>
            </w: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227,921</w:t>
            </w: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1260" w:type="dxa"/>
            <w:vAlign w:val="bottom"/>
            <w:tcBorders>
              <w:bottom w:val="single" w:sz="8" w:color="C3E6FF"/>
            </w:tcBorders>
            <w:gridSpan w:val="4"/>
            <w:shd w:val="clear" w:color="auto" w:fill="F3F9FF"/>
          </w:tcPr>
          <w:p>
            <w:pPr>
              <w:jc w:val="right"/>
              <w:ind w:right="120"/>
              <w:spacing w:after="0" w:line="155" w:lineRule="exact"/>
              <w:rPr>
                <w:sz w:val="20"/>
                <w:szCs w:val="20"/>
                <w:color w:val="auto"/>
              </w:rPr>
            </w:pPr>
            <w:r>
              <w:rPr>
                <w:rFonts w:ascii="Arial" w:cs="Arial" w:eastAsia="Arial" w:hAnsi="Arial"/>
                <w:sz w:val="14"/>
                <w:szCs w:val="14"/>
                <w:color w:val="auto"/>
              </w:rPr>
              <w:t>3,542</w:t>
            </w:r>
          </w:p>
        </w:tc>
        <w:tc>
          <w:tcPr>
            <w:tcW w:w="420" w:type="dxa"/>
            <w:vAlign w:val="bottom"/>
            <w:tcBorders>
              <w:bottom w:val="single" w:sz="8" w:color="C3E6FF"/>
            </w:tcBorders>
            <w:shd w:val="clear" w:color="auto" w:fill="F3F9FF"/>
          </w:tcPr>
          <w:p>
            <w:pPr>
              <w:jc w:val="right"/>
              <w:ind w:right="199"/>
              <w:spacing w:after="0"/>
              <w:rPr>
                <w:sz w:val="20"/>
                <w:szCs w:val="20"/>
                <w:color w:val="auto"/>
              </w:rPr>
            </w:pPr>
            <w:r>
              <w:rPr>
                <w:rFonts w:ascii="Arial" w:cs="Arial" w:eastAsia="Arial" w:hAnsi="Arial"/>
                <w:sz w:val="12"/>
                <w:szCs w:val="12"/>
                <w:color w:val="auto"/>
                <w:w w:val="95"/>
              </w:rPr>
              <w:t>(3)</w:t>
            </w:r>
          </w:p>
        </w:tc>
        <w:tc>
          <w:tcPr>
            <w:tcW w:w="64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7,084</w:t>
            </w: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326,324</w:t>
            </w:r>
          </w:p>
        </w:tc>
        <w:tc>
          <w:tcPr>
            <w:tcW w:w="220" w:type="dxa"/>
            <w:vAlign w:val="bottom"/>
            <w:tcBorders>
              <w:bottom w:val="single" w:sz="8" w:color="C3E6FF"/>
              <w:right w:val="single" w:sz="8" w:color="C3E6FF"/>
            </w:tcBorders>
            <w:gridSpan w:val="2"/>
            <w:shd w:val="clear" w:color="auto" w:fill="F3F9FF"/>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6"/>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Pavan</w:t>
            </w: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273,186</w:t>
            </w: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565,221</w:t>
            </w: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Borders>
              <w:left w:val="single" w:sz="8" w:color="C3E6FF"/>
              <w:bottom w:val="single" w:sz="8" w:color="C3E6FF"/>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Bagai</w:t>
            </w: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4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10,925</w:t>
            </w:r>
          </w:p>
        </w:tc>
        <w:tc>
          <w:tcPr>
            <w:tcW w:w="300" w:type="dxa"/>
            <w:vAlign w:val="bottom"/>
            <w:tcBorders>
              <w:bottom w:val="single" w:sz="8" w:color="C3E6FF"/>
            </w:tcBorders>
            <w:gridSpan w:val="2"/>
          </w:tcPr>
          <w:p>
            <w:pPr>
              <w:jc w:val="right"/>
              <w:ind w:right="80"/>
              <w:spacing w:after="0"/>
              <w:rPr>
                <w:sz w:val="20"/>
                <w:szCs w:val="20"/>
                <w:color w:val="auto"/>
              </w:rPr>
            </w:pPr>
            <w:r>
              <w:rPr>
                <w:rFonts w:ascii="Arial" w:cs="Arial" w:eastAsia="Arial" w:hAnsi="Arial"/>
                <w:sz w:val="12"/>
                <w:szCs w:val="12"/>
                <w:color w:val="auto"/>
              </w:rPr>
              <w:t>(4)</w:t>
            </w: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702,805</w:t>
            </w: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1260" w:type="dxa"/>
            <w:vAlign w:val="bottom"/>
            <w:tcBorders>
              <w:bottom w:val="single" w:sz="8" w:color="C3E6FF"/>
            </w:tcBorders>
            <w:gridSpan w:val="4"/>
          </w:tcPr>
          <w:p>
            <w:pPr>
              <w:jc w:val="right"/>
              <w:ind w:right="120"/>
              <w:spacing w:after="0" w:line="155" w:lineRule="exact"/>
              <w:rPr>
                <w:sz w:val="20"/>
                <w:szCs w:val="20"/>
                <w:color w:val="auto"/>
              </w:rPr>
            </w:pPr>
            <w:r>
              <w:rPr>
                <w:rFonts w:ascii="Arial" w:cs="Arial" w:eastAsia="Arial" w:hAnsi="Arial"/>
                <w:sz w:val="14"/>
                <w:szCs w:val="14"/>
                <w:color w:val="auto"/>
              </w:rPr>
              <w:t>5,463</w:t>
            </w:r>
          </w:p>
        </w:tc>
        <w:tc>
          <w:tcPr>
            <w:tcW w:w="420" w:type="dxa"/>
            <w:vAlign w:val="bottom"/>
            <w:tcBorders>
              <w:bottom w:val="single" w:sz="8" w:color="C3E6FF"/>
            </w:tcBorders>
          </w:tcPr>
          <w:p>
            <w:pPr>
              <w:jc w:val="right"/>
              <w:ind w:right="199"/>
              <w:spacing w:after="0"/>
              <w:rPr>
                <w:sz w:val="20"/>
                <w:szCs w:val="20"/>
                <w:color w:val="auto"/>
              </w:rPr>
            </w:pPr>
            <w:r>
              <w:rPr>
                <w:rFonts w:ascii="Arial" w:cs="Arial" w:eastAsia="Arial" w:hAnsi="Arial"/>
                <w:sz w:val="12"/>
                <w:szCs w:val="12"/>
                <w:color w:val="auto"/>
                <w:w w:val="95"/>
              </w:rPr>
              <w:t>(2)</w:t>
            </w:r>
          </w:p>
        </w:tc>
        <w:tc>
          <w:tcPr>
            <w:tcW w:w="64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10,926</w:t>
            </w: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351,435</w:t>
            </w: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1260" w:type="dxa"/>
            <w:vAlign w:val="bottom"/>
            <w:tcBorders>
              <w:bottom w:val="single" w:sz="8" w:color="C3E6FF"/>
            </w:tcBorders>
            <w:gridSpan w:val="4"/>
          </w:tcPr>
          <w:p>
            <w:pPr>
              <w:jc w:val="right"/>
              <w:ind w:right="120"/>
              <w:spacing w:after="0" w:line="155" w:lineRule="exact"/>
              <w:rPr>
                <w:sz w:val="20"/>
                <w:szCs w:val="20"/>
                <w:color w:val="auto"/>
              </w:rPr>
            </w:pPr>
            <w:r>
              <w:rPr>
                <w:rFonts w:ascii="Arial" w:cs="Arial" w:eastAsia="Arial" w:hAnsi="Arial"/>
                <w:sz w:val="14"/>
                <w:szCs w:val="14"/>
                <w:color w:val="auto"/>
              </w:rPr>
              <w:t>5,462</w:t>
            </w:r>
          </w:p>
        </w:tc>
        <w:tc>
          <w:tcPr>
            <w:tcW w:w="420" w:type="dxa"/>
            <w:vAlign w:val="bottom"/>
            <w:tcBorders>
              <w:bottom w:val="single" w:sz="8" w:color="C3E6FF"/>
            </w:tcBorders>
          </w:tcPr>
          <w:p>
            <w:pPr>
              <w:jc w:val="right"/>
              <w:ind w:right="199"/>
              <w:spacing w:after="0"/>
              <w:rPr>
                <w:sz w:val="20"/>
                <w:szCs w:val="20"/>
                <w:color w:val="auto"/>
              </w:rPr>
            </w:pPr>
            <w:r>
              <w:rPr>
                <w:rFonts w:ascii="Arial" w:cs="Arial" w:eastAsia="Arial" w:hAnsi="Arial"/>
                <w:sz w:val="12"/>
                <w:szCs w:val="12"/>
                <w:color w:val="auto"/>
                <w:w w:val="95"/>
              </w:rPr>
              <w:t>(3)</w:t>
            </w:r>
          </w:p>
        </w:tc>
        <w:tc>
          <w:tcPr>
            <w:tcW w:w="64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10,924</w:t>
            </w: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503,214</w:t>
            </w:r>
          </w:p>
        </w:tc>
        <w:tc>
          <w:tcPr>
            <w:tcW w:w="220" w:type="dxa"/>
            <w:vAlign w:val="bottom"/>
            <w:tcBorders>
              <w:bottom w:val="single" w:sz="8" w:color="C3E6FF"/>
              <w:right w:val="single" w:sz="8" w:color="C3E6FF"/>
            </w:tcBorders>
            <w:gridSpan w:val="2"/>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shd w:val="clear" w:color="auto" w:fill="F3F9FF"/>
          </w:tcPr>
          <w:p>
            <w:pPr>
              <w:ind w:left="120"/>
              <w:spacing w:after="0" w:line="155" w:lineRule="exact"/>
              <w:rPr>
                <w:sz w:val="20"/>
                <w:szCs w:val="20"/>
                <w:color w:val="auto"/>
              </w:rPr>
            </w:pPr>
            <w:r>
              <w:rPr>
                <w:rFonts w:ascii="Arial" w:cs="Arial" w:eastAsia="Arial" w:hAnsi="Arial"/>
                <w:sz w:val="14"/>
                <w:szCs w:val="14"/>
                <w:b w:val="1"/>
                <w:bCs w:val="1"/>
                <w:color w:val="auto"/>
              </w:rPr>
              <w:t>Nalin</w:t>
            </w: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337,500</w:t>
            </w: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696,600</w:t>
            </w: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shd w:val="clear" w:color="auto" w:fill="F3F9FF"/>
          </w:tcPr>
          <w:p>
            <w:pPr>
              <w:ind w:left="120"/>
              <w:spacing w:after="0" w:line="155" w:lineRule="exact"/>
              <w:rPr>
                <w:sz w:val="20"/>
                <w:szCs w:val="20"/>
                <w:color w:val="auto"/>
              </w:rPr>
            </w:pPr>
            <w:r>
              <w:rPr>
                <w:rFonts w:ascii="Arial" w:cs="Arial" w:eastAsia="Arial" w:hAnsi="Arial"/>
                <w:sz w:val="14"/>
                <w:szCs w:val="14"/>
                <w:b w:val="1"/>
                <w:bCs w:val="1"/>
                <w:color w:val="auto"/>
              </w:rPr>
              <w:t>Miglani</w:t>
            </w: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4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6,175</w:t>
            </w:r>
          </w:p>
        </w:tc>
        <w:tc>
          <w:tcPr>
            <w:tcW w:w="300" w:type="dxa"/>
            <w:vAlign w:val="bottom"/>
            <w:tcBorders>
              <w:bottom w:val="single" w:sz="8" w:color="C3E6FF"/>
            </w:tcBorders>
            <w:gridSpan w:val="2"/>
            <w:shd w:val="clear" w:color="auto" w:fill="F3F9FF"/>
          </w:tcPr>
          <w:p>
            <w:pPr>
              <w:jc w:val="right"/>
              <w:ind w:right="80"/>
              <w:spacing w:after="0"/>
              <w:rPr>
                <w:sz w:val="20"/>
                <w:szCs w:val="20"/>
                <w:color w:val="auto"/>
              </w:rPr>
            </w:pPr>
            <w:r>
              <w:rPr>
                <w:rFonts w:ascii="Arial" w:cs="Arial" w:eastAsia="Arial" w:hAnsi="Arial"/>
                <w:sz w:val="12"/>
                <w:szCs w:val="12"/>
                <w:color w:val="auto"/>
              </w:rPr>
              <w:t>(4)</w:t>
            </w: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397,238</w:t>
            </w: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1260" w:type="dxa"/>
            <w:vAlign w:val="bottom"/>
            <w:tcBorders>
              <w:bottom w:val="single" w:sz="8" w:color="C3E6FF"/>
            </w:tcBorders>
            <w:gridSpan w:val="4"/>
            <w:shd w:val="clear" w:color="auto" w:fill="F3F9FF"/>
          </w:tcPr>
          <w:p>
            <w:pPr>
              <w:jc w:val="right"/>
              <w:ind w:right="120"/>
              <w:spacing w:after="0" w:line="155" w:lineRule="exact"/>
              <w:rPr>
                <w:sz w:val="20"/>
                <w:szCs w:val="20"/>
                <w:color w:val="auto"/>
              </w:rPr>
            </w:pPr>
            <w:r>
              <w:rPr>
                <w:rFonts w:ascii="Arial" w:cs="Arial" w:eastAsia="Arial" w:hAnsi="Arial"/>
                <w:sz w:val="14"/>
                <w:szCs w:val="14"/>
                <w:color w:val="auto"/>
              </w:rPr>
              <w:t>3,088</w:t>
            </w:r>
          </w:p>
        </w:tc>
        <w:tc>
          <w:tcPr>
            <w:tcW w:w="420" w:type="dxa"/>
            <w:vAlign w:val="bottom"/>
            <w:tcBorders>
              <w:bottom w:val="single" w:sz="8" w:color="C3E6FF"/>
            </w:tcBorders>
            <w:shd w:val="clear" w:color="auto" w:fill="F3F9FF"/>
          </w:tcPr>
          <w:p>
            <w:pPr>
              <w:jc w:val="right"/>
              <w:ind w:right="199"/>
              <w:spacing w:after="0"/>
              <w:rPr>
                <w:sz w:val="20"/>
                <w:szCs w:val="20"/>
                <w:color w:val="auto"/>
              </w:rPr>
            </w:pPr>
            <w:r>
              <w:rPr>
                <w:rFonts w:ascii="Arial" w:cs="Arial" w:eastAsia="Arial" w:hAnsi="Arial"/>
                <w:sz w:val="12"/>
                <w:szCs w:val="12"/>
                <w:color w:val="auto"/>
                <w:w w:val="95"/>
              </w:rPr>
              <w:t>(2)</w:t>
            </w:r>
          </w:p>
        </w:tc>
        <w:tc>
          <w:tcPr>
            <w:tcW w:w="64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6,176</w:t>
            </w: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198,651</w:t>
            </w: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1260" w:type="dxa"/>
            <w:vAlign w:val="bottom"/>
            <w:tcBorders>
              <w:bottom w:val="single" w:sz="8" w:color="C3E6FF"/>
            </w:tcBorders>
            <w:gridSpan w:val="4"/>
            <w:shd w:val="clear" w:color="auto" w:fill="F3F9FF"/>
          </w:tcPr>
          <w:p>
            <w:pPr>
              <w:jc w:val="right"/>
              <w:ind w:right="120"/>
              <w:spacing w:after="0" w:line="155" w:lineRule="exact"/>
              <w:rPr>
                <w:sz w:val="20"/>
                <w:szCs w:val="20"/>
                <w:color w:val="auto"/>
              </w:rPr>
            </w:pPr>
            <w:r>
              <w:rPr>
                <w:rFonts w:ascii="Arial" w:cs="Arial" w:eastAsia="Arial" w:hAnsi="Arial"/>
                <w:sz w:val="14"/>
                <w:szCs w:val="14"/>
                <w:color w:val="auto"/>
              </w:rPr>
              <w:t>3,087</w:t>
            </w:r>
          </w:p>
        </w:tc>
        <w:tc>
          <w:tcPr>
            <w:tcW w:w="420" w:type="dxa"/>
            <w:vAlign w:val="bottom"/>
            <w:tcBorders>
              <w:bottom w:val="single" w:sz="8" w:color="C3E6FF"/>
            </w:tcBorders>
            <w:shd w:val="clear" w:color="auto" w:fill="F3F9FF"/>
          </w:tcPr>
          <w:p>
            <w:pPr>
              <w:jc w:val="right"/>
              <w:ind w:right="199"/>
              <w:spacing w:after="0"/>
              <w:rPr>
                <w:sz w:val="20"/>
                <w:szCs w:val="20"/>
                <w:color w:val="auto"/>
              </w:rPr>
            </w:pPr>
            <w:r>
              <w:rPr>
                <w:rFonts w:ascii="Arial" w:cs="Arial" w:eastAsia="Arial" w:hAnsi="Arial"/>
                <w:sz w:val="12"/>
                <w:szCs w:val="12"/>
                <w:color w:val="auto"/>
                <w:w w:val="95"/>
              </w:rPr>
              <w:t>(3)</w:t>
            </w:r>
          </w:p>
        </w:tc>
        <w:tc>
          <w:tcPr>
            <w:tcW w:w="64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6,174</w:t>
            </w: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284,405</w:t>
            </w:r>
          </w:p>
        </w:tc>
        <w:tc>
          <w:tcPr>
            <w:tcW w:w="220" w:type="dxa"/>
            <w:vAlign w:val="bottom"/>
            <w:tcBorders>
              <w:bottom w:val="single" w:sz="8" w:color="C3E6FF"/>
              <w:right w:val="single" w:sz="8" w:color="C3E6FF"/>
            </w:tcBorders>
            <w:gridSpan w:val="2"/>
            <w:shd w:val="clear" w:color="auto" w:fill="F3F9FF"/>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Vikas</w:t>
            </w: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231,157</w:t>
            </w: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473,410</w:t>
            </w: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Bhalla</w:t>
            </w: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4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6,830</w:t>
            </w:r>
          </w:p>
        </w:tc>
        <w:tc>
          <w:tcPr>
            <w:tcW w:w="300" w:type="dxa"/>
            <w:vAlign w:val="bottom"/>
            <w:tcBorders>
              <w:bottom w:val="single" w:sz="8" w:color="C3E6FF"/>
            </w:tcBorders>
            <w:gridSpan w:val="2"/>
          </w:tcPr>
          <w:p>
            <w:pPr>
              <w:jc w:val="right"/>
              <w:ind w:right="80"/>
              <w:spacing w:after="0"/>
              <w:rPr>
                <w:sz w:val="20"/>
                <w:szCs w:val="20"/>
                <w:color w:val="auto"/>
              </w:rPr>
            </w:pPr>
            <w:r>
              <w:rPr>
                <w:rFonts w:ascii="Arial" w:cs="Arial" w:eastAsia="Arial" w:hAnsi="Arial"/>
                <w:sz w:val="12"/>
                <w:szCs w:val="12"/>
                <w:color w:val="auto"/>
              </w:rPr>
              <w:t>(4)</w:t>
            </w: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439,374</w:t>
            </w: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1260" w:type="dxa"/>
            <w:vAlign w:val="bottom"/>
            <w:tcBorders>
              <w:bottom w:val="single" w:sz="8" w:color="C3E6FF"/>
            </w:tcBorders>
            <w:gridSpan w:val="4"/>
          </w:tcPr>
          <w:p>
            <w:pPr>
              <w:jc w:val="right"/>
              <w:ind w:right="120"/>
              <w:spacing w:after="0" w:line="155" w:lineRule="exact"/>
              <w:rPr>
                <w:sz w:val="20"/>
                <w:szCs w:val="20"/>
                <w:color w:val="auto"/>
              </w:rPr>
            </w:pPr>
            <w:r>
              <w:rPr>
                <w:rFonts w:ascii="Arial" w:cs="Arial" w:eastAsia="Arial" w:hAnsi="Arial"/>
                <w:sz w:val="14"/>
                <w:szCs w:val="14"/>
                <w:color w:val="auto"/>
              </w:rPr>
              <w:t>3,415</w:t>
            </w:r>
          </w:p>
        </w:tc>
        <w:tc>
          <w:tcPr>
            <w:tcW w:w="420" w:type="dxa"/>
            <w:vAlign w:val="bottom"/>
            <w:tcBorders>
              <w:bottom w:val="single" w:sz="8" w:color="C3E6FF"/>
            </w:tcBorders>
          </w:tcPr>
          <w:p>
            <w:pPr>
              <w:jc w:val="right"/>
              <w:ind w:right="199"/>
              <w:spacing w:after="0"/>
              <w:rPr>
                <w:sz w:val="20"/>
                <w:szCs w:val="20"/>
                <w:color w:val="auto"/>
              </w:rPr>
            </w:pPr>
            <w:r>
              <w:rPr>
                <w:rFonts w:ascii="Arial" w:cs="Arial" w:eastAsia="Arial" w:hAnsi="Arial"/>
                <w:sz w:val="12"/>
                <w:szCs w:val="12"/>
                <w:color w:val="auto"/>
                <w:w w:val="95"/>
              </w:rPr>
              <w:t>(2)</w:t>
            </w:r>
          </w:p>
        </w:tc>
        <w:tc>
          <w:tcPr>
            <w:tcW w:w="64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6,830</w:t>
            </w: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219,687</w:t>
            </w: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20" w:type="dxa"/>
            <w:vAlign w:val="bottom"/>
            <w:tcBorders>
              <w:bottom w:val="single" w:sz="8" w:color="C3E6FF"/>
            </w:tcBorders>
            <w:gridSpan w:val="2"/>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1260" w:type="dxa"/>
            <w:vAlign w:val="bottom"/>
            <w:tcBorders>
              <w:bottom w:val="single" w:sz="8" w:color="C3E6FF"/>
            </w:tcBorders>
            <w:gridSpan w:val="4"/>
          </w:tcPr>
          <w:p>
            <w:pPr>
              <w:jc w:val="right"/>
              <w:ind w:right="120"/>
              <w:spacing w:after="0" w:line="155" w:lineRule="exact"/>
              <w:rPr>
                <w:sz w:val="20"/>
                <w:szCs w:val="20"/>
                <w:color w:val="auto"/>
              </w:rPr>
            </w:pPr>
            <w:r>
              <w:rPr>
                <w:rFonts w:ascii="Arial" w:cs="Arial" w:eastAsia="Arial" w:hAnsi="Arial"/>
                <w:sz w:val="14"/>
                <w:szCs w:val="14"/>
                <w:color w:val="auto"/>
              </w:rPr>
              <w:t>3,415</w:t>
            </w:r>
          </w:p>
        </w:tc>
        <w:tc>
          <w:tcPr>
            <w:tcW w:w="420" w:type="dxa"/>
            <w:vAlign w:val="bottom"/>
            <w:tcBorders>
              <w:bottom w:val="single" w:sz="8" w:color="C3E6FF"/>
            </w:tcBorders>
          </w:tcPr>
          <w:p>
            <w:pPr>
              <w:jc w:val="right"/>
              <w:ind w:right="199"/>
              <w:spacing w:after="0"/>
              <w:rPr>
                <w:sz w:val="20"/>
                <w:szCs w:val="20"/>
                <w:color w:val="auto"/>
              </w:rPr>
            </w:pPr>
            <w:r>
              <w:rPr>
                <w:rFonts w:ascii="Arial" w:cs="Arial" w:eastAsia="Arial" w:hAnsi="Arial"/>
                <w:sz w:val="12"/>
                <w:szCs w:val="12"/>
                <w:color w:val="auto"/>
                <w:w w:val="95"/>
              </w:rPr>
              <w:t>(3)</w:t>
            </w:r>
          </w:p>
        </w:tc>
        <w:tc>
          <w:tcPr>
            <w:tcW w:w="64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6,830</w:t>
            </w: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jc w:val="right"/>
              <w:spacing w:after="0" w:line="155" w:lineRule="exact"/>
              <w:rPr>
                <w:sz w:val="20"/>
                <w:szCs w:val="20"/>
                <w:color w:val="auto"/>
              </w:rPr>
            </w:pPr>
            <w:r>
              <w:rPr>
                <w:rFonts w:ascii="Arial" w:cs="Arial" w:eastAsia="Arial" w:hAnsi="Arial"/>
                <w:sz w:val="14"/>
                <w:szCs w:val="14"/>
                <w:color w:val="auto"/>
              </w:rPr>
              <w:t>314,624</w:t>
            </w:r>
          </w:p>
        </w:tc>
        <w:tc>
          <w:tcPr>
            <w:tcW w:w="220" w:type="dxa"/>
            <w:vAlign w:val="bottom"/>
            <w:tcBorders>
              <w:bottom w:val="single" w:sz="8" w:color="C3E6FF"/>
              <w:right w:val="single" w:sz="8" w:color="C3E6FF"/>
            </w:tcBorders>
            <w:gridSpan w:val="2"/>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92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360" w:type="dxa"/>
            <w:vAlign w:val="bottom"/>
            <w:tcBorders>
              <w:bottom w:val="single" w:sz="8" w:color="C3E6FF"/>
            </w:tcBorders>
          </w:tcPr>
          <w:p>
            <w:pPr>
              <w:spacing w:after="0"/>
              <w:rPr>
                <w:sz w:val="13"/>
                <w:szCs w:val="13"/>
                <w:color w:val="auto"/>
              </w:rPr>
            </w:pPr>
          </w:p>
        </w:tc>
        <w:tc>
          <w:tcPr>
            <w:tcW w:w="5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740" w:type="dxa"/>
            <w:vAlign w:val="bottom"/>
            <w:tcBorders>
              <w:bottom w:val="single" w:sz="8" w:color="C3E6FF"/>
            </w:tcBorders>
          </w:tcPr>
          <w:p>
            <w:pPr>
              <w:spacing w:after="0"/>
              <w:rPr>
                <w:sz w:val="13"/>
                <w:szCs w:val="13"/>
                <w:color w:val="auto"/>
              </w:rPr>
            </w:pPr>
          </w:p>
        </w:tc>
        <w:tc>
          <w:tcPr>
            <w:tcW w:w="6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800" w:type="dxa"/>
            <w:vAlign w:val="bottom"/>
            <w:tcBorders>
              <w:bottom w:val="single" w:sz="8" w:color="C3E6FF"/>
            </w:tcBorders>
          </w:tcPr>
          <w:p>
            <w:pPr>
              <w:spacing w:after="0"/>
              <w:rPr>
                <w:sz w:val="13"/>
                <w:szCs w:val="13"/>
                <w:color w:val="auto"/>
              </w:rPr>
            </w:pPr>
          </w:p>
        </w:tc>
        <w:tc>
          <w:tcPr>
            <w:tcW w:w="200" w:type="dxa"/>
            <w:vAlign w:val="bottom"/>
            <w:tcBorders>
              <w:bottom w:val="single" w:sz="8" w:color="C3E6FF"/>
            </w:tcBorders>
          </w:tcPr>
          <w:p>
            <w:pPr>
              <w:spacing w:after="0"/>
              <w:rPr>
                <w:sz w:val="13"/>
                <w:szCs w:val="13"/>
                <w:color w:val="auto"/>
              </w:rPr>
            </w:pPr>
          </w:p>
        </w:tc>
        <w:tc>
          <w:tcPr>
            <w:tcW w:w="420" w:type="dxa"/>
            <w:vAlign w:val="bottom"/>
            <w:tcBorders>
              <w:bottom w:val="single" w:sz="8" w:color="C3E6FF"/>
            </w:tcBorders>
          </w:tcPr>
          <w:p>
            <w:pPr>
              <w:spacing w:after="0"/>
              <w:rPr>
                <w:sz w:val="13"/>
                <w:szCs w:val="13"/>
                <w:color w:val="auto"/>
              </w:rPr>
            </w:pPr>
          </w:p>
        </w:tc>
        <w:tc>
          <w:tcPr>
            <w:tcW w:w="64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tcBorders>
          </w:tcPr>
          <w:p>
            <w:pPr>
              <w:spacing w:after="0"/>
              <w:rPr>
                <w:sz w:val="13"/>
                <w:szCs w:val="13"/>
                <w:color w:val="auto"/>
              </w:rPr>
            </w:pPr>
          </w:p>
        </w:tc>
        <w:tc>
          <w:tcPr>
            <w:tcW w:w="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80" w:type="dxa"/>
            <w:vAlign w:val="bottom"/>
            <w:tcBorders>
              <w:bottom w:val="single" w:sz="8" w:color="C3E6FF"/>
            </w:tcBorders>
          </w:tcPr>
          <w:p>
            <w:pPr>
              <w:spacing w:after="0"/>
              <w:rPr>
                <w:sz w:val="13"/>
                <w:szCs w:val="13"/>
                <w:color w:val="auto"/>
              </w:rPr>
            </w:pPr>
          </w:p>
        </w:tc>
        <w:tc>
          <w:tcPr>
            <w:tcW w:w="960" w:type="dxa"/>
            <w:vAlign w:val="bottom"/>
            <w:tcBorders>
              <w:bottom w:val="single" w:sz="8" w:color="C3E6FF"/>
            </w:tcBorders>
          </w:tcPr>
          <w:p>
            <w:pPr>
              <w:spacing w:after="0"/>
              <w:rPr>
                <w:sz w:val="13"/>
                <w:szCs w:val="13"/>
                <w:color w:val="auto"/>
              </w:rPr>
            </w:pPr>
          </w:p>
        </w:tc>
        <w:tc>
          <w:tcPr>
            <w:tcW w:w="120" w:type="dxa"/>
            <w:vAlign w:val="bottom"/>
            <w:tcBorders>
              <w:bottom w:val="single" w:sz="8" w:color="C3E6FF"/>
            </w:tcBorders>
          </w:tcPr>
          <w:p>
            <w:pPr>
              <w:spacing w:after="0"/>
              <w:rPr>
                <w:sz w:val="13"/>
                <w:szCs w:val="13"/>
                <w:color w:val="auto"/>
              </w:rPr>
            </w:pPr>
          </w:p>
        </w:tc>
        <w:tc>
          <w:tcPr>
            <w:tcW w:w="100" w:type="dxa"/>
            <w:vAlign w:val="bottom"/>
            <w:tcBorders>
              <w:bottom w:val="single" w:sz="8" w:color="C3E6FF"/>
              <w:right w:val="single" w:sz="8" w:color="C3E6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C3E6FF"/>
              <w:bottom w:val="single" w:sz="8" w:color="C3E6FF"/>
            </w:tcBorders>
            <w:gridSpan w:val="3"/>
            <w:shd w:val="clear" w:color="auto" w:fill="F3F9FF"/>
          </w:tcPr>
          <w:p>
            <w:pPr>
              <w:ind w:left="120"/>
              <w:spacing w:after="0" w:line="155" w:lineRule="exact"/>
              <w:rPr>
                <w:sz w:val="20"/>
                <w:szCs w:val="20"/>
                <w:color w:val="auto"/>
              </w:rPr>
            </w:pPr>
            <w:r>
              <w:rPr>
                <w:rFonts w:ascii="Arial" w:cs="Arial" w:eastAsia="Arial" w:hAnsi="Arial"/>
                <w:sz w:val="14"/>
                <w:szCs w:val="14"/>
                <w:b w:val="1"/>
                <w:bCs w:val="1"/>
                <w:color w:val="auto"/>
              </w:rPr>
              <w:t>Samuel</w:t>
            </w: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318,750</w:t>
            </w: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652,800</w:t>
            </w: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420" w:type="dxa"/>
            <w:vAlign w:val="bottom"/>
            <w:tcBorders>
              <w:bottom w:val="single" w:sz="8" w:color="C3E6FF"/>
            </w:tcBorders>
            <w:shd w:val="clear" w:color="auto" w:fill="F3F9FF"/>
          </w:tcPr>
          <w:p>
            <w:pPr>
              <w:spacing w:after="0"/>
              <w:rPr>
                <w:sz w:val="13"/>
                <w:szCs w:val="13"/>
                <w:color w:val="auto"/>
              </w:rPr>
            </w:pPr>
          </w:p>
        </w:tc>
        <w:tc>
          <w:tcPr>
            <w:tcW w:w="64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C3E6FF"/>
              <w:bottom w:val="single" w:sz="8" w:color="C3E6FF"/>
            </w:tcBorders>
            <w:gridSpan w:val="3"/>
            <w:shd w:val="clear" w:color="auto" w:fill="F3F9FF"/>
          </w:tcPr>
          <w:p>
            <w:pPr>
              <w:ind w:left="120"/>
              <w:spacing w:after="0"/>
              <w:rPr>
                <w:sz w:val="20"/>
                <w:szCs w:val="20"/>
                <w:color w:val="auto"/>
              </w:rPr>
            </w:pPr>
            <w:r>
              <w:rPr>
                <w:rFonts w:ascii="Arial" w:cs="Arial" w:eastAsia="Arial" w:hAnsi="Arial"/>
                <w:sz w:val="14"/>
                <w:szCs w:val="14"/>
                <w:b w:val="1"/>
                <w:bCs w:val="1"/>
                <w:color w:val="auto"/>
              </w:rPr>
              <w:t>Meckey</w:t>
            </w:r>
          </w:p>
        </w:tc>
        <w:tc>
          <w:tcPr>
            <w:tcW w:w="1020" w:type="dxa"/>
            <w:vAlign w:val="bottom"/>
            <w:tcBorders>
              <w:bottom w:val="single" w:sz="8" w:color="C3E6FF"/>
            </w:tcBorders>
            <w:gridSpan w:val="2"/>
            <w:shd w:val="clear" w:color="auto" w:fill="F3F9FF"/>
          </w:tcPr>
          <w:p>
            <w:pPr>
              <w:jc w:val="right"/>
              <w:spacing w:after="0"/>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8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92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360" w:type="dxa"/>
            <w:vAlign w:val="bottom"/>
            <w:tcBorders>
              <w:bottom w:val="single" w:sz="8" w:color="C3E6FF"/>
            </w:tcBorders>
            <w:shd w:val="clear" w:color="auto" w:fill="F3F9FF"/>
          </w:tcPr>
          <w:p>
            <w:pPr>
              <w:spacing w:after="0"/>
              <w:rPr>
                <w:sz w:val="17"/>
                <w:szCs w:val="17"/>
                <w:color w:val="auto"/>
              </w:rPr>
            </w:pPr>
          </w:p>
        </w:tc>
        <w:tc>
          <w:tcPr>
            <w:tcW w:w="56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740" w:type="dxa"/>
            <w:vAlign w:val="bottom"/>
            <w:tcBorders>
              <w:bottom w:val="single" w:sz="8" w:color="C3E6FF"/>
            </w:tcBorders>
            <w:shd w:val="clear" w:color="auto" w:fill="F3F9FF"/>
          </w:tcPr>
          <w:p>
            <w:pPr>
              <w:spacing w:after="0"/>
              <w:rPr>
                <w:sz w:val="17"/>
                <w:szCs w:val="17"/>
                <w:color w:val="auto"/>
              </w:rPr>
            </w:pPr>
          </w:p>
        </w:tc>
        <w:tc>
          <w:tcPr>
            <w:tcW w:w="6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80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420" w:type="dxa"/>
            <w:vAlign w:val="bottom"/>
            <w:tcBorders>
              <w:bottom w:val="single" w:sz="8" w:color="C3E6FF"/>
            </w:tcBorders>
            <w:shd w:val="clear" w:color="auto" w:fill="F3F9FF"/>
          </w:tcPr>
          <w:p>
            <w:pPr>
              <w:spacing w:after="0"/>
              <w:rPr>
                <w:sz w:val="17"/>
                <w:szCs w:val="17"/>
                <w:color w:val="auto"/>
              </w:rPr>
            </w:pPr>
          </w:p>
        </w:tc>
        <w:tc>
          <w:tcPr>
            <w:tcW w:w="64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1040" w:type="dxa"/>
            <w:vAlign w:val="bottom"/>
            <w:tcBorders>
              <w:bottom w:val="single" w:sz="8" w:color="C3E6FF"/>
            </w:tcBorders>
            <w:gridSpan w:val="2"/>
            <w:shd w:val="clear" w:color="auto" w:fill="F3F9FF"/>
          </w:tcPr>
          <w:p>
            <w:pPr>
              <w:jc w:val="right"/>
              <w:spacing w:after="0" w:line="196" w:lineRule="exact"/>
              <w:rPr>
                <w:sz w:val="20"/>
                <w:szCs w:val="20"/>
                <w:color w:val="auto"/>
              </w:rPr>
            </w:pPr>
            <w:r>
              <w:rPr>
                <w:rFonts w:ascii="Arial" w:cs="Arial" w:eastAsia="Arial" w:hAnsi="Arial"/>
                <w:sz w:val="18"/>
                <w:szCs w:val="18"/>
                <w:color w:val="auto"/>
              </w:rPr>
              <w:t>5,370</w:t>
            </w:r>
          </w:p>
        </w:tc>
        <w:tc>
          <w:tcPr>
            <w:tcW w:w="300" w:type="dxa"/>
            <w:vAlign w:val="bottom"/>
            <w:tcBorders>
              <w:bottom w:val="single" w:sz="8" w:color="C3E6FF"/>
            </w:tcBorders>
            <w:gridSpan w:val="2"/>
            <w:shd w:val="clear" w:color="auto" w:fill="F3F9FF"/>
          </w:tcPr>
          <w:p>
            <w:pPr>
              <w:jc w:val="right"/>
              <w:ind w:right="80"/>
              <w:spacing w:after="0"/>
              <w:rPr>
                <w:sz w:val="20"/>
                <w:szCs w:val="20"/>
                <w:color w:val="auto"/>
              </w:rPr>
            </w:pPr>
            <w:r>
              <w:rPr>
                <w:rFonts w:ascii="Arial" w:cs="Arial" w:eastAsia="Arial" w:hAnsi="Arial"/>
                <w:sz w:val="12"/>
                <w:szCs w:val="12"/>
                <w:color w:val="auto"/>
              </w:rPr>
              <w:t>(4)</w:t>
            </w:r>
          </w:p>
        </w:tc>
        <w:tc>
          <w:tcPr>
            <w:tcW w:w="960" w:type="dxa"/>
            <w:vAlign w:val="bottom"/>
            <w:tcBorders>
              <w:bottom w:val="single" w:sz="8" w:color="C3E6FF"/>
            </w:tcBorders>
            <w:shd w:val="clear" w:color="auto" w:fill="F3F9FF"/>
          </w:tcPr>
          <w:p>
            <w:pPr>
              <w:jc w:val="right"/>
              <w:spacing w:after="0"/>
              <w:rPr>
                <w:sz w:val="20"/>
                <w:szCs w:val="20"/>
                <w:color w:val="auto"/>
              </w:rPr>
            </w:pPr>
            <w:r>
              <w:rPr>
                <w:rFonts w:ascii="Arial" w:cs="Arial" w:eastAsia="Arial" w:hAnsi="Arial"/>
                <w:sz w:val="14"/>
                <w:szCs w:val="14"/>
                <w:color w:val="auto"/>
              </w:rPr>
              <w:t>345,452</w:t>
            </w:r>
          </w:p>
        </w:tc>
        <w:tc>
          <w:tcPr>
            <w:tcW w:w="12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right w:val="single" w:sz="8" w:color="C3E6FF"/>
            </w:tcBorders>
            <w:shd w:val="clear" w:color="auto" w:fill="F3F9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1260" w:type="dxa"/>
            <w:vAlign w:val="bottom"/>
            <w:tcBorders>
              <w:bottom w:val="single" w:sz="8" w:color="C3E6FF"/>
            </w:tcBorders>
            <w:gridSpan w:val="4"/>
            <w:shd w:val="clear" w:color="auto" w:fill="F3F9FF"/>
          </w:tcPr>
          <w:p>
            <w:pPr>
              <w:jc w:val="right"/>
              <w:ind w:right="120"/>
              <w:spacing w:after="0" w:line="155" w:lineRule="exact"/>
              <w:rPr>
                <w:sz w:val="20"/>
                <w:szCs w:val="20"/>
                <w:color w:val="auto"/>
              </w:rPr>
            </w:pPr>
            <w:r>
              <w:rPr>
                <w:rFonts w:ascii="Arial" w:cs="Arial" w:eastAsia="Arial" w:hAnsi="Arial"/>
                <w:sz w:val="14"/>
                <w:szCs w:val="14"/>
                <w:color w:val="auto"/>
              </w:rPr>
              <w:t>2,685</w:t>
            </w:r>
          </w:p>
        </w:tc>
        <w:tc>
          <w:tcPr>
            <w:tcW w:w="420" w:type="dxa"/>
            <w:vAlign w:val="bottom"/>
            <w:tcBorders>
              <w:bottom w:val="single" w:sz="8" w:color="C3E6FF"/>
            </w:tcBorders>
            <w:shd w:val="clear" w:color="auto" w:fill="F3F9FF"/>
          </w:tcPr>
          <w:p>
            <w:pPr>
              <w:jc w:val="right"/>
              <w:ind w:right="199"/>
              <w:spacing w:after="0"/>
              <w:rPr>
                <w:sz w:val="20"/>
                <w:szCs w:val="20"/>
                <w:color w:val="auto"/>
              </w:rPr>
            </w:pPr>
            <w:r>
              <w:rPr>
                <w:rFonts w:ascii="Arial" w:cs="Arial" w:eastAsia="Arial" w:hAnsi="Arial"/>
                <w:sz w:val="12"/>
                <w:szCs w:val="12"/>
                <w:color w:val="auto"/>
                <w:w w:val="95"/>
              </w:rPr>
              <w:t>(2)</w:t>
            </w:r>
          </w:p>
        </w:tc>
        <w:tc>
          <w:tcPr>
            <w:tcW w:w="64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5,370</w:t>
            </w: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172,726</w:t>
            </w:r>
          </w:p>
        </w:tc>
        <w:tc>
          <w:tcPr>
            <w:tcW w:w="12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right w:val="single" w:sz="8" w:color="C3E6FF"/>
            </w:tcBorders>
            <w:shd w:val="clear" w:color="auto" w:fill="F3F9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C3E6FF"/>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20" w:type="dxa"/>
            <w:vAlign w:val="bottom"/>
            <w:tcBorders>
              <w:bottom w:val="single" w:sz="8" w:color="C3E6FF"/>
            </w:tcBorders>
            <w:gridSpan w:val="2"/>
            <w:shd w:val="clear" w:color="auto" w:fill="F3F9FF"/>
          </w:tcPr>
          <w:p>
            <w:pPr>
              <w:jc w:val="right"/>
              <w:spacing w:after="0" w:line="155" w:lineRule="exact"/>
              <w:rPr>
                <w:sz w:val="20"/>
                <w:szCs w:val="20"/>
                <w:color w:val="auto"/>
              </w:rPr>
            </w:pPr>
            <w:r>
              <w:rPr>
                <w:rFonts w:ascii="Arial" w:cs="Arial" w:eastAsia="Arial" w:hAnsi="Arial"/>
                <w:sz w:val="14"/>
                <w:szCs w:val="14"/>
                <w:color w:val="auto"/>
              </w:rPr>
              <w:t>2/20/2019</w:t>
            </w: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8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100" w:type="dxa"/>
            <w:vAlign w:val="bottom"/>
            <w:tcBorders>
              <w:bottom w:val="single" w:sz="8" w:color="C3E6FF"/>
            </w:tcBorders>
            <w:shd w:val="clear" w:color="auto" w:fill="F3F9FF"/>
          </w:tcPr>
          <w:p>
            <w:pPr>
              <w:spacing w:after="0"/>
              <w:rPr>
                <w:sz w:val="13"/>
                <w:szCs w:val="13"/>
                <w:color w:val="auto"/>
              </w:rPr>
            </w:pPr>
          </w:p>
        </w:tc>
        <w:tc>
          <w:tcPr>
            <w:tcW w:w="92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360" w:type="dxa"/>
            <w:vAlign w:val="bottom"/>
            <w:tcBorders>
              <w:bottom w:val="single" w:sz="8" w:color="C3E6FF"/>
            </w:tcBorders>
            <w:shd w:val="clear" w:color="auto" w:fill="F3F9FF"/>
          </w:tcPr>
          <w:p>
            <w:pPr>
              <w:spacing w:after="0"/>
              <w:rPr>
                <w:sz w:val="13"/>
                <w:szCs w:val="13"/>
                <w:color w:val="auto"/>
              </w:rPr>
            </w:pPr>
          </w:p>
        </w:tc>
        <w:tc>
          <w:tcPr>
            <w:tcW w:w="560" w:type="dxa"/>
            <w:vAlign w:val="bottom"/>
            <w:tcBorders>
              <w:bottom w:val="single" w:sz="8" w:color="C3E6FF"/>
            </w:tcBorders>
            <w:shd w:val="clear" w:color="auto" w:fill="F3F9FF"/>
          </w:tcPr>
          <w:p>
            <w:pPr>
              <w:spacing w:after="0"/>
              <w:rPr>
                <w:sz w:val="13"/>
                <w:szCs w:val="13"/>
                <w:color w:val="auto"/>
              </w:rPr>
            </w:pPr>
          </w:p>
        </w:tc>
        <w:tc>
          <w:tcPr>
            <w:tcW w:w="200" w:type="dxa"/>
            <w:vAlign w:val="bottom"/>
            <w:tcBorders>
              <w:bottom w:val="single" w:sz="8" w:color="C3E6FF"/>
            </w:tcBorders>
            <w:shd w:val="clear" w:color="auto" w:fill="F3F9FF"/>
          </w:tcPr>
          <w:p>
            <w:pPr>
              <w:spacing w:after="0"/>
              <w:rPr>
                <w:sz w:val="13"/>
                <w:szCs w:val="13"/>
                <w:color w:val="auto"/>
              </w:rPr>
            </w:pPr>
          </w:p>
        </w:tc>
        <w:tc>
          <w:tcPr>
            <w:tcW w:w="740" w:type="dxa"/>
            <w:vAlign w:val="bottom"/>
            <w:tcBorders>
              <w:bottom w:val="single" w:sz="8" w:color="C3E6FF"/>
            </w:tcBorders>
            <w:shd w:val="clear" w:color="auto" w:fill="F3F9FF"/>
          </w:tcPr>
          <w:p>
            <w:pPr>
              <w:spacing w:after="0"/>
              <w:rPr>
                <w:sz w:val="13"/>
                <w:szCs w:val="13"/>
                <w:color w:val="auto"/>
              </w:rPr>
            </w:pPr>
          </w:p>
        </w:tc>
        <w:tc>
          <w:tcPr>
            <w:tcW w:w="1260" w:type="dxa"/>
            <w:vAlign w:val="bottom"/>
            <w:tcBorders>
              <w:bottom w:val="single" w:sz="8" w:color="C3E6FF"/>
            </w:tcBorders>
            <w:gridSpan w:val="4"/>
            <w:shd w:val="clear" w:color="auto" w:fill="F3F9FF"/>
          </w:tcPr>
          <w:p>
            <w:pPr>
              <w:jc w:val="right"/>
              <w:ind w:right="120"/>
              <w:spacing w:after="0" w:line="155" w:lineRule="exact"/>
              <w:rPr>
                <w:sz w:val="20"/>
                <w:szCs w:val="20"/>
                <w:color w:val="auto"/>
              </w:rPr>
            </w:pPr>
            <w:r>
              <w:rPr>
                <w:rFonts w:ascii="Arial" w:cs="Arial" w:eastAsia="Arial" w:hAnsi="Arial"/>
                <w:sz w:val="14"/>
                <w:szCs w:val="14"/>
                <w:color w:val="auto"/>
              </w:rPr>
              <w:t>2,685</w:t>
            </w:r>
          </w:p>
        </w:tc>
        <w:tc>
          <w:tcPr>
            <w:tcW w:w="420" w:type="dxa"/>
            <w:vAlign w:val="bottom"/>
            <w:tcBorders>
              <w:bottom w:val="single" w:sz="8" w:color="C3E6FF"/>
            </w:tcBorders>
            <w:shd w:val="clear" w:color="auto" w:fill="F3F9FF"/>
          </w:tcPr>
          <w:p>
            <w:pPr>
              <w:jc w:val="right"/>
              <w:ind w:right="199"/>
              <w:spacing w:after="0"/>
              <w:rPr>
                <w:sz w:val="20"/>
                <w:szCs w:val="20"/>
                <w:color w:val="auto"/>
              </w:rPr>
            </w:pPr>
            <w:r>
              <w:rPr>
                <w:rFonts w:ascii="Arial" w:cs="Arial" w:eastAsia="Arial" w:hAnsi="Arial"/>
                <w:sz w:val="12"/>
                <w:szCs w:val="12"/>
                <w:color w:val="auto"/>
                <w:w w:val="95"/>
              </w:rPr>
              <w:t>(3)</w:t>
            </w:r>
          </w:p>
        </w:tc>
        <w:tc>
          <w:tcPr>
            <w:tcW w:w="64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,370</w:t>
            </w:r>
          </w:p>
        </w:tc>
        <w:tc>
          <w:tcPr>
            <w:tcW w:w="100" w:type="dxa"/>
            <w:vAlign w:val="bottom"/>
            <w:tcBorders>
              <w:bottom w:val="single" w:sz="8" w:color="C3E6FF"/>
            </w:tcBorders>
            <w:shd w:val="clear" w:color="auto" w:fill="F3F9FF"/>
          </w:tcPr>
          <w:p>
            <w:pPr>
              <w:spacing w:after="0"/>
              <w:rPr>
                <w:sz w:val="13"/>
                <w:szCs w:val="13"/>
                <w:color w:val="auto"/>
              </w:rPr>
            </w:pPr>
          </w:p>
        </w:tc>
        <w:tc>
          <w:tcPr>
            <w:tcW w:w="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spacing w:after="0"/>
              <w:rPr>
                <w:sz w:val="13"/>
                <w:szCs w:val="13"/>
                <w:color w:val="auto"/>
              </w:rPr>
            </w:pPr>
          </w:p>
        </w:tc>
        <w:tc>
          <w:tcPr>
            <w:tcW w:w="120" w:type="dxa"/>
            <w:vAlign w:val="bottom"/>
            <w:tcBorders>
              <w:bottom w:val="single" w:sz="8" w:color="C3E6FF"/>
            </w:tcBorders>
            <w:shd w:val="clear" w:color="auto" w:fill="F3F9FF"/>
          </w:tcPr>
          <w:p>
            <w:pPr>
              <w:spacing w:after="0"/>
              <w:rPr>
                <w:sz w:val="13"/>
                <w:szCs w:val="13"/>
                <w:color w:val="auto"/>
              </w:rPr>
            </w:pPr>
          </w:p>
        </w:tc>
        <w:tc>
          <w:tcPr>
            <w:tcW w:w="180" w:type="dxa"/>
            <w:vAlign w:val="bottom"/>
            <w:tcBorders>
              <w:bottom w:val="single" w:sz="8" w:color="C3E6FF"/>
            </w:tcBorders>
            <w:shd w:val="clear" w:color="auto" w:fill="F3F9FF"/>
          </w:tcPr>
          <w:p>
            <w:pPr>
              <w:spacing w:after="0"/>
              <w:rPr>
                <w:sz w:val="13"/>
                <w:szCs w:val="13"/>
                <w:color w:val="auto"/>
              </w:rPr>
            </w:pPr>
          </w:p>
        </w:tc>
        <w:tc>
          <w:tcPr>
            <w:tcW w:w="960" w:type="dxa"/>
            <w:vAlign w:val="bottom"/>
            <w:tcBorders>
              <w:bottom w:val="single" w:sz="8" w:color="C3E6FF"/>
            </w:tcBorders>
            <w:shd w:val="clear" w:color="auto" w:fill="F3F9FF"/>
          </w:tcPr>
          <w:p>
            <w:pPr>
              <w:jc w:val="right"/>
              <w:spacing w:after="0" w:line="155" w:lineRule="exact"/>
              <w:rPr>
                <w:sz w:val="20"/>
                <w:szCs w:val="20"/>
                <w:color w:val="auto"/>
              </w:rPr>
            </w:pPr>
            <w:r>
              <w:rPr>
                <w:rFonts w:ascii="Arial" w:cs="Arial" w:eastAsia="Arial" w:hAnsi="Arial"/>
                <w:sz w:val="14"/>
                <w:szCs w:val="14"/>
                <w:color w:val="auto"/>
              </w:rPr>
              <w:t>247,369</w:t>
            </w:r>
          </w:p>
        </w:tc>
        <w:tc>
          <w:tcPr>
            <w:tcW w:w="220" w:type="dxa"/>
            <w:vAlign w:val="bottom"/>
            <w:tcBorders>
              <w:bottom w:val="single" w:sz="8" w:color="C3E6FF"/>
              <w:right w:val="single" w:sz="8" w:color="C3E6FF"/>
            </w:tcBorders>
            <w:gridSpan w:val="2"/>
            <w:shd w:val="clear" w:color="auto" w:fill="F3F9FF"/>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96"/>
        </w:trPr>
        <w:tc>
          <w:tcPr>
            <w:tcW w:w="440" w:type="dxa"/>
            <w:vAlign w:val="bottom"/>
            <w:tcBorders>
              <w:left w:val="single" w:sz="8" w:color="C3E6FF"/>
              <w:bottom w:val="single" w:sz="8" w:color="C3E6FF"/>
            </w:tcBorders>
            <w:shd w:val="clear" w:color="auto" w:fill="F3F9FF"/>
          </w:tcPr>
          <w:p>
            <w:pPr>
              <w:spacing w:after="0"/>
              <w:rPr>
                <w:sz w:val="17"/>
                <w:szCs w:val="17"/>
                <w:color w:val="auto"/>
              </w:rPr>
            </w:pPr>
          </w:p>
        </w:tc>
        <w:tc>
          <w:tcPr>
            <w:tcW w:w="56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92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8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92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360" w:type="dxa"/>
            <w:vAlign w:val="bottom"/>
            <w:tcBorders>
              <w:bottom w:val="single" w:sz="8" w:color="C3E6FF"/>
            </w:tcBorders>
            <w:shd w:val="clear" w:color="auto" w:fill="F3F9FF"/>
          </w:tcPr>
          <w:p>
            <w:pPr>
              <w:spacing w:after="0"/>
              <w:rPr>
                <w:sz w:val="17"/>
                <w:szCs w:val="17"/>
                <w:color w:val="auto"/>
              </w:rPr>
            </w:pPr>
          </w:p>
        </w:tc>
        <w:tc>
          <w:tcPr>
            <w:tcW w:w="56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740" w:type="dxa"/>
            <w:vAlign w:val="bottom"/>
            <w:tcBorders>
              <w:bottom w:val="single" w:sz="8" w:color="C3E6FF"/>
            </w:tcBorders>
            <w:shd w:val="clear" w:color="auto" w:fill="F3F9FF"/>
          </w:tcPr>
          <w:p>
            <w:pPr>
              <w:spacing w:after="0"/>
              <w:rPr>
                <w:sz w:val="17"/>
                <w:szCs w:val="17"/>
                <w:color w:val="auto"/>
              </w:rPr>
            </w:pPr>
          </w:p>
        </w:tc>
        <w:tc>
          <w:tcPr>
            <w:tcW w:w="6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800" w:type="dxa"/>
            <w:vAlign w:val="bottom"/>
            <w:tcBorders>
              <w:bottom w:val="single" w:sz="8" w:color="C3E6FF"/>
            </w:tcBorders>
            <w:shd w:val="clear" w:color="auto" w:fill="F3F9FF"/>
          </w:tcPr>
          <w:p>
            <w:pPr>
              <w:spacing w:after="0"/>
              <w:rPr>
                <w:sz w:val="17"/>
                <w:szCs w:val="17"/>
                <w:color w:val="auto"/>
              </w:rPr>
            </w:pPr>
          </w:p>
        </w:tc>
        <w:tc>
          <w:tcPr>
            <w:tcW w:w="200" w:type="dxa"/>
            <w:vAlign w:val="bottom"/>
            <w:tcBorders>
              <w:bottom w:val="single" w:sz="8" w:color="C3E6FF"/>
            </w:tcBorders>
            <w:shd w:val="clear" w:color="auto" w:fill="F3F9FF"/>
          </w:tcPr>
          <w:p>
            <w:pPr>
              <w:spacing w:after="0"/>
              <w:rPr>
                <w:sz w:val="17"/>
                <w:szCs w:val="17"/>
                <w:color w:val="auto"/>
              </w:rPr>
            </w:pPr>
          </w:p>
        </w:tc>
        <w:tc>
          <w:tcPr>
            <w:tcW w:w="420" w:type="dxa"/>
            <w:vAlign w:val="bottom"/>
            <w:tcBorders>
              <w:bottom w:val="single" w:sz="8" w:color="C3E6FF"/>
            </w:tcBorders>
            <w:shd w:val="clear" w:color="auto" w:fill="F3F9FF"/>
          </w:tcPr>
          <w:p>
            <w:pPr>
              <w:spacing w:after="0"/>
              <w:rPr>
                <w:sz w:val="17"/>
                <w:szCs w:val="17"/>
                <w:color w:val="auto"/>
              </w:rPr>
            </w:pPr>
          </w:p>
        </w:tc>
        <w:tc>
          <w:tcPr>
            <w:tcW w:w="64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tcBorders>
            <w:shd w:val="clear" w:color="auto" w:fill="F3F9FF"/>
          </w:tcPr>
          <w:p>
            <w:pPr>
              <w:spacing w:after="0"/>
              <w:rPr>
                <w:sz w:val="17"/>
                <w:szCs w:val="17"/>
                <w:color w:val="auto"/>
              </w:rPr>
            </w:pPr>
          </w:p>
        </w:tc>
        <w:tc>
          <w:tcPr>
            <w:tcW w:w="80" w:type="dxa"/>
            <w:vAlign w:val="bottom"/>
            <w:tcBorders>
              <w:bottom w:val="single" w:sz="8" w:color="C3E6FF"/>
            </w:tcBorders>
            <w:shd w:val="clear" w:color="auto" w:fill="F3F9FF"/>
          </w:tcPr>
          <w:p>
            <w:pPr>
              <w:spacing w:after="0"/>
              <w:rPr>
                <w:sz w:val="17"/>
                <w:szCs w:val="17"/>
                <w:color w:val="auto"/>
              </w:rPr>
            </w:pPr>
          </w:p>
        </w:tc>
        <w:tc>
          <w:tcPr>
            <w:tcW w:w="960" w:type="dxa"/>
            <w:vAlign w:val="bottom"/>
            <w:tcBorders>
              <w:bottom w:val="single" w:sz="8" w:color="C3E6FF"/>
            </w:tcBorders>
            <w:shd w:val="clear" w:color="auto" w:fill="F3F9FF"/>
          </w:tcPr>
          <w:p>
            <w:pPr>
              <w:spacing w:after="0"/>
              <w:rPr>
                <w:sz w:val="17"/>
                <w:szCs w:val="17"/>
                <w:color w:val="auto"/>
              </w:rPr>
            </w:pPr>
          </w:p>
        </w:tc>
        <w:tc>
          <w:tcPr>
            <w:tcW w:w="120" w:type="dxa"/>
            <w:vAlign w:val="bottom"/>
            <w:tcBorders>
              <w:bottom w:val="single" w:sz="8" w:color="C3E6FF"/>
            </w:tcBorders>
            <w:shd w:val="clear" w:color="auto" w:fill="F3F9FF"/>
          </w:tcPr>
          <w:p>
            <w:pPr>
              <w:spacing w:after="0"/>
              <w:rPr>
                <w:sz w:val="17"/>
                <w:szCs w:val="17"/>
                <w:color w:val="auto"/>
              </w:rPr>
            </w:pPr>
          </w:p>
        </w:tc>
        <w:tc>
          <w:tcPr>
            <w:tcW w:w="180" w:type="dxa"/>
            <w:vAlign w:val="bottom"/>
            <w:tcBorders>
              <w:bottom w:val="single" w:sz="8" w:color="C3E6FF"/>
            </w:tcBorders>
            <w:shd w:val="clear" w:color="auto" w:fill="F3F9FF"/>
          </w:tcPr>
          <w:p>
            <w:pPr>
              <w:spacing w:after="0"/>
              <w:rPr>
                <w:sz w:val="17"/>
                <w:szCs w:val="17"/>
                <w:color w:val="auto"/>
              </w:rPr>
            </w:pPr>
          </w:p>
        </w:tc>
        <w:tc>
          <w:tcPr>
            <w:tcW w:w="960" w:type="dxa"/>
            <w:vAlign w:val="bottom"/>
            <w:tcBorders>
              <w:bottom w:val="single" w:sz="8" w:color="C3E6FF"/>
            </w:tcBorders>
            <w:shd w:val="clear" w:color="auto" w:fill="F3F9FF"/>
          </w:tcPr>
          <w:p>
            <w:pPr>
              <w:spacing w:after="0"/>
              <w:rPr>
                <w:sz w:val="17"/>
                <w:szCs w:val="17"/>
                <w:color w:val="auto"/>
              </w:rPr>
            </w:pPr>
          </w:p>
        </w:tc>
        <w:tc>
          <w:tcPr>
            <w:tcW w:w="120" w:type="dxa"/>
            <w:vAlign w:val="bottom"/>
            <w:tcBorders>
              <w:bottom w:val="single" w:sz="8" w:color="C3E6FF"/>
            </w:tcBorders>
            <w:shd w:val="clear" w:color="auto" w:fill="F3F9FF"/>
          </w:tcPr>
          <w:p>
            <w:pPr>
              <w:spacing w:after="0"/>
              <w:rPr>
                <w:sz w:val="17"/>
                <w:szCs w:val="17"/>
                <w:color w:val="auto"/>
              </w:rPr>
            </w:pPr>
          </w:p>
        </w:tc>
        <w:tc>
          <w:tcPr>
            <w:tcW w:w="100" w:type="dxa"/>
            <w:vAlign w:val="bottom"/>
            <w:tcBorders>
              <w:bottom w:val="single" w:sz="8" w:color="C3E6FF"/>
              <w:right w:val="single" w:sz="8" w:color="C3E6FF"/>
            </w:tcBorders>
            <w:shd w:val="clear" w:color="auto" w:fill="F3F9FF"/>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360" w:firstLine="8"/>
        <w:spacing w:after="0" w:line="258" w:lineRule="auto"/>
        <w:tabs>
          <w:tab w:leader="none" w:pos="213" w:val="left"/>
        </w:tabs>
        <w:numPr>
          <w:ilvl w:val="0"/>
          <w:numId w:val="92"/>
        </w:numPr>
        <w:rPr>
          <w:rFonts w:ascii="Arial" w:cs="Arial" w:eastAsia="Arial" w:hAnsi="Arial"/>
          <w:sz w:val="14"/>
          <w:szCs w:val="14"/>
          <w:color w:val="262626"/>
        </w:rPr>
      </w:pPr>
      <w:r>
        <w:rPr>
          <w:rFonts w:ascii="Arial" w:cs="Arial" w:eastAsia="Arial" w:hAnsi="Arial"/>
          <w:sz w:val="14"/>
          <w:szCs w:val="14"/>
          <w:color w:val="262626"/>
        </w:rPr>
        <w:t>These amounts reflect the target and maximum cash incentive bonuses set for 2019. For details of our annual incentive bonus program, see “Compensation Discussion and Analysis – Incentive Bonus” beginning on page 53.</w:t>
      </w:r>
    </w:p>
    <w:p>
      <w:pPr>
        <w:spacing w:after="0" w:line="139" w:lineRule="exact"/>
        <w:rPr>
          <w:rFonts w:ascii="Arial" w:cs="Arial" w:eastAsia="Arial" w:hAnsi="Arial"/>
          <w:sz w:val="14"/>
          <w:szCs w:val="14"/>
          <w:color w:val="262626"/>
        </w:rPr>
      </w:pPr>
    </w:p>
    <w:p>
      <w:pPr>
        <w:ind w:left="220" w:hanging="212"/>
        <w:spacing w:after="0"/>
        <w:tabs>
          <w:tab w:leader="none" w:pos="220" w:val="left"/>
        </w:tabs>
        <w:numPr>
          <w:ilvl w:val="0"/>
          <w:numId w:val="92"/>
        </w:numPr>
        <w:rPr>
          <w:rFonts w:ascii="Arial" w:cs="Arial" w:eastAsia="Arial" w:hAnsi="Arial"/>
          <w:sz w:val="14"/>
          <w:szCs w:val="14"/>
          <w:color w:val="262626"/>
        </w:rPr>
      </w:pPr>
      <w:r>
        <w:rPr>
          <w:rFonts w:ascii="Arial" w:cs="Arial" w:eastAsia="Arial" w:hAnsi="Arial"/>
          <w:sz w:val="14"/>
          <w:szCs w:val="14"/>
          <w:color w:val="262626"/>
        </w:rPr>
        <w:t>Represents annual awards of Revenue-Linked PRSUs granted under the 2018 Plan, subject to the vesting set forth in footnote 7.</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92"/>
        </w:numPr>
        <w:rPr>
          <w:rFonts w:ascii="Arial" w:cs="Arial" w:eastAsia="Arial" w:hAnsi="Arial"/>
          <w:sz w:val="14"/>
          <w:szCs w:val="14"/>
          <w:color w:val="262626"/>
        </w:rPr>
      </w:pPr>
      <w:r>
        <w:rPr>
          <w:rFonts w:ascii="Arial" w:cs="Arial" w:eastAsia="Arial" w:hAnsi="Arial"/>
          <w:sz w:val="14"/>
          <w:szCs w:val="14"/>
          <w:color w:val="262626"/>
        </w:rPr>
        <w:t>Represents annual awards of Relative TSR-Linked PRSUs granted under the 2018 Plan, subject to the vesting set forth in footnote 7.</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92"/>
        </w:numPr>
        <w:rPr>
          <w:rFonts w:ascii="Arial" w:cs="Arial" w:eastAsia="Arial" w:hAnsi="Arial"/>
          <w:sz w:val="14"/>
          <w:szCs w:val="14"/>
          <w:color w:val="262626"/>
        </w:rPr>
      </w:pPr>
      <w:r>
        <w:rPr>
          <w:rFonts w:ascii="Arial" w:cs="Arial" w:eastAsia="Arial" w:hAnsi="Arial"/>
          <w:sz w:val="14"/>
          <w:szCs w:val="14"/>
          <w:color w:val="262626"/>
        </w:rPr>
        <w:t>Represents annual awards of restricted stock units granted under the 2018 Plan, subject to the vesting set forth in footnote 7.</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92"/>
        </w:numPr>
        <w:rPr>
          <w:rFonts w:ascii="Arial" w:cs="Arial" w:eastAsia="Arial" w:hAnsi="Arial"/>
          <w:sz w:val="14"/>
          <w:szCs w:val="14"/>
          <w:color w:val="262626"/>
        </w:rPr>
      </w:pPr>
      <w:r>
        <w:rPr>
          <w:rFonts w:ascii="Arial" w:cs="Arial" w:eastAsia="Arial" w:hAnsi="Arial"/>
          <w:sz w:val="14"/>
          <w:szCs w:val="14"/>
          <w:color w:val="262626"/>
        </w:rPr>
        <w:t>Represents one-time special retention awards of restricted stock units granted under the 2018 plan, subject to the vesting set forth in footnote 7.</w:t>
      </w:r>
    </w:p>
    <w:p>
      <w:pPr>
        <w:spacing w:after="0" w:line="29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457835</wp:posOffset>
            </wp:positionV>
            <wp:extent cx="600075" cy="411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left="220" w:hanging="212"/>
        <w:spacing w:after="0"/>
        <w:tabs>
          <w:tab w:leader="none" w:pos="220" w:val="left"/>
        </w:tabs>
        <w:numPr>
          <w:ilvl w:val="0"/>
          <w:numId w:val="93"/>
        </w:numPr>
        <w:rPr>
          <w:rFonts w:ascii="Arial" w:cs="Arial" w:eastAsia="Arial" w:hAnsi="Arial"/>
          <w:sz w:val="14"/>
          <w:szCs w:val="14"/>
          <w:color w:val="262626"/>
        </w:rPr>
      </w:pPr>
      <w:r>
        <w:rPr>
          <w:rFonts w:ascii="Arial" w:cs="Arial" w:eastAsia="Arial" w:hAnsi="Arial"/>
          <w:sz w:val="14"/>
          <w:szCs w:val="14"/>
          <w:color w:val="262626"/>
        </w:rPr>
        <w:t>The grant date fair value of the estimated future payouts for the Relative TSR-Linked PRSUs are based on the Monte Carlo value.</w:t>
      </w:r>
    </w:p>
    <w:p>
      <w:pPr>
        <w:spacing w:after="0" w:line="163" w:lineRule="exact"/>
        <w:rPr>
          <w:rFonts w:ascii="Arial" w:cs="Arial" w:eastAsia="Arial" w:hAnsi="Arial"/>
          <w:sz w:val="14"/>
          <w:szCs w:val="14"/>
          <w:color w:val="262626"/>
        </w:rPr>
      </w:pPr>
    </w:p>
    <w:p>
      <w:pPr>
        <w:ind w:right="100" w:firstLine="8"/>
        <w:spacing w:after="0" w:line="258" w:lineRule="auto"/>
        <w:tabs>
          <w:tab w:leader="none" w:pos="213" w:val="left"/>
        </w:tabs>
        <w:numPr>
          <w:ilvl w:val="0"/>
          <w:numId w:val="93"/>
        </w:numPr>
        <w:rPr>
          <w:rFonts w:ascii="Arial" w:cs="Arial" w:eastAsia="Arial" w:hAnsi="Arial"/>
          <w:sz w:val="14"/>
          <w:szCs w:val="14"/>
          <w:color w:val="262626"/>
        </w:rPr>
      </w:pPr>
      <w:r>
        <w:rPr>
          <w:rFonts w:ascii="Arial" w:cs="Arial" w:eastAsia="Arial" w:hAnsi="Arial"/>
          <w:sz w:val="14"/>
          <w:szCs w:val="14"/>
          <w:color w:val="262626"/>
        </w:rPr>
        <w:t>The vesting schedules of the stock grants mentioned in the table are as follows for each named executive officer (subject to continued employment through each applicable vesting date):</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100" w:type="dxa"/>
            <w:vAlign w:val="bottom"/>
            <w:tcBorders>
              <w:left w:val="single" w:sz="8" w:color="C3E6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Grant Date</w:t>
            </w:r>
          </w:p>
        </w:tc>
        <w:tc>
          <w:tcPr>
            <w:tcW w:w="3140" w:type="dxa"/>
            <w:vAlign w:val="bottom"/>
            <w:shd w:val="clear" w:color="auto" w:fill="0093FF"/>
          </w:tcPr>
          <w:p>
            <w:pPr>
              <w:jc w:val="center"/>
              <w:ind w:left="404"/>
              <w:spacing w:after="0"/>
              <w:rPr>
                <w:sz w:val="20"/>
                <w:szCs w:val="20"/>
                <w:color w:val="auto"/>
              </w:rPr>
            </w:pPr>
            <w:r>
              <w:rPr>
                <w:rFonts w:ascii="Arial" w:cs="Arial" w:eastAsia="Arial" w:hAnsi="Arial"/>
                <w:sz w:val="18"/>
                <w:szCs w:val="18"/>
                <w:b w:val="1"/>
                <w:bCs w:val="1"/>
                <w:color w:val="FFFFFF"/>
                <w:w w:val="99"/>
              </w:rPr>
              <w:t>Vesting Start Date</w:t>
            </w:r>
          </w:p>
        </w:tc>
        <w:tc>
          <w:tcPr>
            <w:tcW w:w="3760" w:type="dxa"/>
            <w:vAlign w:val="bottom"/>
            <w:tcBorders>
              <w:right w:val="single" w:sz="8" w:color="C3E6FF"/>
            </w:tcBorders>
            <w:shd w:val="clear" w:color="auto" w:fill="0093FF"/>
          </w:tcPr>
          <w:p>
            <w:pPr>
              <w:jc w:val="center"/>
              <w:ind w:left="245"/>
              <w:spacing w:after="0"/>
              <w:rPr>
                <w:sz w:val="20"/>
                <w:szCs w:val="20"/>
                <w:color w:val="auto"/>
              </w:rPr>
            </w:pPr>
            <w:r>
              <w:rPr>
                <w:rFonts w:ascii="Arial" w:cs="Arial" w:eastAsia="Arial" w:hAnsi="Arial"/>
                <w:sz w:val="18"/>
                <w:szCs w:val="18"/>
                <w:b w:val="1"/>
                <w:bCs w:val="1"/>
                <w:color w:val="FFFFFF"/>
                <w:w w:val="98"/>
              </w:rPr>
              <w:t>Vesting Schedule</w:t>
            </w:r>
          </w:p>
        </w:tc>
      </w:tr>
      <w:tr>
        <w:trPr>
          <w:trHeight w:val="108"/>
        </w:trPr>
        <w:tc>
          <w:tcPr>
            <w:tcW w:w="2100" w:type="dxa"/>
            <w:vAlign w:val="bottom"/>
            <w:tcBorders>
              <w:left w:val="single" w:sz="8" w:color="C3E6FF"/>
            </w:tcBorders>
            <w:shd w:val="clear" w:color="auto" w:fill="0093FF"/>
          </w:tcPr>
          <w:p>
            <w:pPr>
              <w:spacing w:after="0"/>
              <w:rPr>
                <w:sz w:val="9"/>
                <w:szCs w:val="9"/>
                <w:color w:val="auto"/>
              </w:rPr>
            </w:pPr>
          </w:p>
        </w:tc>
        <w:tc>
          <w:tcPr>
            <w:tcW w:w="3140" w:type="dxa"/>
            <w:vAlign w:val="bottom"/>
            <w:shd w:val="clear" w:color="auto" w:fill="0093FF"/>
          </w:tcPr>
          <w:p>
            <w:pPr>
              <w:spacing w:after="0"/>
              <w:rPr>
                <w:sz w:val="9"/>
                <w:szCs w:val="9"/>
                <w:color w:val="auto"/>
              </w:rPr>
            </w:pPr>
          </w:p>
        </w:tc>
        <w:tc>
          <w:tcPr>
            <w:tcW w:w="3760" w:type="dxa"/>
            <w:vAlign w:val="bottom"/>
            <w:tcBorders>
              <w:right w:val="single" w:sz="8" w:color="C3E6FF"/>
            </w:tcBorders>
            <w:shd w:val="clear" w:color="auto" w:fill="0093FF"/>
          </w:tcPr>
          <w:p>
            <w:pPr>
              <w:spacing w:after="0"/>
              <w:rPr>
                <w:sz w:val="9"/>
                <w:szCs w:val="9"/>
                <w:color w:val="auto"/>
              </w:rPr>
            </w:pPr>
          </w:p>
        </w:tc>
      </w:tr>
      <w:tr>
        <w:trPr>
          <w:trHeight w:val="275"/>
        </w:trPr>
        <w:tc>
          <w:tcPr>
            <w:tcW w:w="2100" w:type="dxa"/>
            <w:vAlign w:val="bottom"/>
            <w:tcBorders>
              <w:left w:val="single" w:sz="8" w:color="C3E6FF"/>
            </w:tcBorders>
          </w:tcPr>
          <w:p>
            <w:pPr>
              <w:ind w:left="120"/>
              <w:spacing w:after="0"/>
              <w:rPr>
                <w:sz w:val="20"/>
                <w:szCs w:val="20"/>
                <w:color w:val="auto"/>
              </w:rPr>
            </w:pPr>
            <w:r>
              <w:rPr>
                <w:rFonts w:ascii="Arial" w:cs="Arial" w:eastAsia="Arial" w:hAnsi="Arial"/>
                <w:sz w:val="14"/>
                <w:szCs w:val="14"/>
                <w:b w:val="1"/>
                <w:bCs w:val="1"/>
                <w:color w:val="auto"/>
              </w:rPr>
              <w:t>2/20/2019</w:t>
            </w:r>
          </w:p>
        </w:tc>
        <w:tc>
          <w:tcPr>
            <w:tcW w:w="3140" w:type="dxa"/>
            <w:vAlign w:val="bottom"/>
          </w:tcPr>
          <w:p>
            <w:pPr>
              <w:jc w:val="center"/>
              <w:ind w:left="424"/>
              <w:spacing w:after="0"/>
              <w:rPr>
                <w:sz w:val="20"/>
                <w:szCs w:val="20"/>
                <w:color w:val="auto"/>
              </w:rPr>
            </w:pPr>
            <w:r>
              <w:rPr>
                <w:rFonts w:ascii="Arial" w:cs="Arial" w:eastAsia="Arial" w:hAnsi="Arial"/>
                <w:sz w:val="14"/>
                <w:szCs w:val="14"/>
                <w:color w:val="auto"/>
              </w:rPr>
              <w:t>2/20/2019</w:t>
            </w:r>
          </w:p>
        </w:tc>
        <w:tc>
          <w:tcPr>
            <w:tcW w:w="3760" w:type="dxa"/>
            <w:vAlign w:val="bottom"/>
            <w:tcBorders>
              <w:right w:val="single" w:sz="8" w:color="C3E6FF"/>
            </w:tcBorders>
          </w:tcPr>
          <w:p>
            <w:pPr>
              <w:jc w:val="center"/>
              <w:ind w:left="265"/>
              <w:spacing w:after="0"/>
              <w:rPr>
                <w:sz w:val="20"/>
                <w:szCs w:val="20"/>
                <w:color w:val="auto"/>
              </w:rPr>
            </w:pPr>
            <w:r>
              <w:rPr>
                <w:rFonts w:ascii="Arial" w:cs="Arial" w:eastAsia="Arial" w:hAnsi="Arial"/>
                <w:sz w:val="14"/>
                <w:szCs w:val="14"/>
                <w:color w:val="auto"/>
              </w:rPr>
              <w:t>Revenue Linked PRSUs: 100% vesting on</w:t>
            </w:r>
          </w:p>
        </w:tc>
      </w:tr>
      <w:tr>
        <w:trPr>
          <w:trHeight w:val="172"/>
        </w:trPr>
        <w:tc>
          <w:tcPr>
            <w:tcW w:w="2100" w:type="dxa"/>
            <w:vAlign w:val="bottom"/>
            <w:tcBorders>
              <w:left w:val="single" w:sz="8" w:color="C3E6FF"/>
            </w:tcBorders>
          </w:tcPr>
          <w:p>
            <w:pPr>
              <w:spacing w:after="0"/>
              <w:rPr>
                <w:sz w:val="14"/>
                <w:szCs w:val="14"/>
                <w:color w:val="auto"/>
              </w:rPr>
            </w:pPr>
          </w:p>
        </w:tc>
        <w:tc>
          <w:tcPr>
            <w:tcW w:w="3140" w:type="dxa"/>
            <w:vAlign w:val="bottom"/>
          </w:tcPr>
          <w:p>
            <w:pPr>
              <w:spacing w:after="0"/>
              <w:rPr>
                <w:sz w:val="14"/>
                <w:szCs w:val="14"/>
                <w:color w:val="auto"/>
              </w:rPr>
            </w:pPr>
          </w:p>
        </w:tc>
        <w:tc>
          <w:tcPr>
            <w:tcW w:w="3760" w:type="dxa"/>
            <w:vAlign w:val="bottom"/>
            <w:tcBorders>
              <w:right w:val="single" w:sz="8" w:color="C3E6FF"/>
            </w:tcBorders>
          </w:tcPr>
          <w:p>
            <w:pPr>
              <w:jc w:val="center"/>
              <w:ind w:left="245"/>
              <w:spacing w:after="0"/>
              <w:rPr>
                <w:sz w:val="20"/>
                <w:szCs w:val="20"/>
                <w:color w:val="auto"/>
              </w:rPr>
            </w:pPr>
            <w:r>
              <w:rPr>
                <w:rFonts w:ascii="Arial" w:cs="Arial" w:eastAsia="Arial" w:hAnsi="Arial"/>
                <w:sz w:val="14"/>
                <w:szCs w:val="14"/>
                <w:color w:val="auto"/>
              </w:rPr>
              <w:t>12/31/2021</w:t>
            </w:r>
          </w:p>
        </w:tc>
      </w:tr>
      <w:tr>
        <w:trPr>
          <w:trHeight w:val="93"/>
        </w:trPr>
        <w:tc>
          <w:tcPr>
            <w:tcW w:w="2100" w:type="dxa"/>
            <w:vAlign w:val="bottom"/>
            <w:tcBorders>
              <w:left w:val="single" w:sz="8" w:color="C3E6FF"/>
              <w:bottom w:val="single" w:sz="8" w:color="C3E6FF"/>
            </w:tcBorders>
          </w:tcPr>
          <w:p>
            <w:pPr>
              <w:spacing w:after="0"/>
              <w:rPr>
                <w:sz w:val="8"/>
                <w:szCs w:val="8"/>
                <w:color w:val="auto"/>
              </w:rPr>
            </w:pPr>
          </w:p>
        </w:tc>
        <w:tc>
          <w:tcPr>
            <w:tcW w:w="3140" w:type="dxa"/>
            <w:vAlign w:val="bottom"/>
            <w:tcBorders>
              <w:bottom w:val="single" w:sz="8" w:color="C3E6FF"/>
            </w:tcBorders>
          </w:tcPr>
          <w:p>
            <w:pPr>
              <w:spacing w:after="0"/>
              <w:rPr>
                <w:sz w:val="8"/>
                <w:szCs w:val="8"/>
                <w:color w:val="auto"/>
              </w:rPr>
            </w:pPr>
          </w:p>
        </w:tc>
        <w:tc>
          <w:tcPr>
            <w:tcW w:w="3760" w:type="dxa"/>
            <w:vAlign w:val="bottom"/>
            <w:tcBorders>
              <w:bottom w:val="single" w:sz="8" w:color="C3E6FF"/>
              <w:right w:val="single" w:sz="8" w:color="C3E6FF"/>
            </w:tcBorders>
          </w:tcPr>
          <w:p>
            <w:pPr>
              <w:spacing w:after="0"/>
              <w:rPr>
                <w:sz w:val="8"/>
                <w:szCs w:val="8"/>
                <w:color w:val="auto"/>
              </w:rPr>
            </w:pPr>
          </w:p>
        </w:tc>
      </w:tr>
      <w:tr>
        <w:trPr>
          <w:trHeight w:val="268"/>
        </w:trPr>
        <w:tc>
          <w:tcPr>
            <w:tcW w:w="210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4"/>
                <w:szCs w:val="14"/>
                <w:b w:val="1"/>
                <w:bCs w:val="1"/>
                <w:color w:val="auto"/>
              </w:rPr>
              <w:t>2/20/2019</w:t>
            </w:r>
          </w:p>
        </w:tc>
        <w:tc>
          <w:tcPr>
            <w:tcW w:w="3140" w:type="dxa"/>
            <w:vAlign w:val="bottom"/>
            <w:shd w:val="clear" w:color="auto" w:fill="F3F9FF"/>
          </w:tcPr>
          <w:p>
            <w:pPr>
              <w:jc w:val="center"/>
              <w:ind w:left="424"/>
              <w:spacing w:after="0"/>
              <w:rPr>
                <w:sz w:val="20"/>
                <w:szCs w:val="20"/>
                <w:color w:val="auto"/>
              </w:rPr>
            </w:pPr>
            <w:r>
              <w:rPr>
                <w:rFonts w:ascii="Arial" w:cs="Arial" w:eastAsia="Arial" w:hAnsi="Arial"/>
                <w:sz w:val="14"/>
                <w:szCs w:val="14"/>
                <w:color w:val="auto"/>
              </w:rPr>
              <w:t>2/29/2019</w:t>
            </w:r>
          </w:p>
        </w:tc>
        <w:tc>
          <w:tcPr>
            <w:tcW w:w="3760" w:type="dxa"/>
            <w:vAlign w:val="bottom"/>
            <w:tcBorders>
              <w:right w:val="single" w:sz="8" w:color="C3E6FF"/>
            </w:tcBorders>
            <w:shd w:val="clear" w:color="auto" w:fill="F3F9FF"/>
          </w:tcPr>
          <w:p>
            <w:pPr>
              <w:jc w:val="center"/>
              <w:ind w:left="265"/>
              <w:spacing w:after="0"/>
              <w:rPr>
                <w:sz w:val="20"/>
                <w:szCs w:val="20"/>
                <w:color w:val="auto"/>
              </w:rPr>
            </w:pPr>
            <w:r>
              <w:rPr>
                <w:rFonts w:ascii="Arial" w:cs="Arial" w:eastAsia="Arial" w:hAnsi="Arial"/>
                <w:sz w:val="14"/>
                <w:szCs w:val="14"/>
                <w:color w:val="auto"/>
              </w:rPr>
              <w:t>Relative TSR-Linked PRSUs: 100% vesting on</w:t>
            </w:r>
          </w:p>
        </w:tc>
      </w:tr>
      <w:tr>
        <w:trPr>
          <w:trHeight w:val="172"/>
        </w:trPr>
        <w:tc>
          <w:tcPr>
            <w:tcW w:w="2100" w:type="dxa"/>
            <w:vAlign w:val="bottom"/>
            <w:tcBorders>
              <w:left w:val="single" w:sz="8" w:color="C3E6FF"/>
            </w:tcBorders>
            <w:shd w:val="clear" w:color="auto" w:fill="F3F9FF"/>
          </w:tcPr>
          <w:p>
            <w:pPr>
              <w:spacing w:after="0"/>
              <w:rPr>
                <w:sz w:val="14"/>
                <w:szCs w:val="14"/>
                <w:color w:val="auto"/>
              </w:rPr>
            </w:pPr>
          </w:p>
        </w:tc>
        <w:tc>
          <w:tcPr>
            <w:tcW w:w="3140" w:type="dxa"/>
            <w:vAlign w:val="bottom"/>
            <w:shd w:val="clear" w:color="auto" w:fill="F3F9FF"/>
          </w:tcPr>
          <w:p>
            <w:pPr>
              <w:spacing w:after="0"/>
              <w:rPr>
                <w:sz w:val="14"/>
                <w:szCs w:val="14"/>
                <w:color w:val="auto"/>
              </w:rPr>
            </w:pPr>
          </w:p>
        </w:tc>
        <w:tc>
          <w:tcPr>
            <w:tcW w:w="3760" w:type="dxa"/>
            <w:vAlign w:val="bottom"/>
            <w:tcBorders>
              <w:right w:val="single" w:sz="8" w:color="C3E6FF"/>
            </w:tcBorders>
            <w:shd w:val="clear" w:color="auto" w:fill="F3F9FF"/>
          </w:tcPr>
          <w:p>
            <w:pPr>
              <w:jc w:val="center"/>
              <w:ind w:left="245"/>
              <w:spacing w:after="0"/>
              <w:rPr>
                <w:sz w:val="20"/>
                <w:szCs w:val="20"/>
                <w:color w:val="auto"/>
              </w:rPr>
            </w:pPr>
            <w:r>
              <w:rPr>
                <w:rFonts w:ascii="Arial" w:cs="Arial" w:eastAsia="Arial" w:hAnsi="Arial"/>
                <w:sz w:val="14"/>
                <w:szCs w:val="14"/>
                <w:color w:val="auto"/>
              </w:rPr>
              <w:t>12/31/2021</w:t>
            </w:r>
          </w:p>
        </w:tc>
      </w:tr>
      <w:tr>
        <w:trPr>
          <w:trHeight w:val="93"/>
        </w:trPr>
        <w:tc>
          <w:tcPr>
            <w:tcW w:w="2100" w:type="dxa"/>
            <w:vAlign w:val="bottom"/>
            <w:tcBorders>
              <w:left w:val="single" w:sz="8" w:color="C3E6FF"/>
              <w:bottom w:val="single" w:sz="8" w:color="C3E6FF"/>
            </w:tcBorders>
            <w:shd w:val="clear" w:color="auto" w:fill="F3F9FF"/>
          </w:tcPr>
          <w:p>
            <w:pPr>
              <w:spacing w:after="0"/>
              <w:rPr>
                <w:sz w:val="8"/>
                <w:szCs w:val="8"/>
                <w:color w:val="auto"/>
              </w:rPr>
            </w:pPr>
          </w:p>
        </w:tc>
        <w:tc>
          <w:tcPr>
            <w:tcW w:w="3140" w:type="dxa"/>
            <w:vAlign w:val="bottom"/>
            <w:tcBorders>
              <w:bottom w:val="single" w:sz="8" w:color="C3E6FF"/>
            </w:tcBorders>
            <w:shd w:val="clear" w:color="auto" w:fill="F3F9FF"/>
          </w:tcPr>
          <w:p>
            <w:pPr>
              <w:spacing w:after="0"/>
              <w:rPr>
                <w:sz w:val="8"/>
                <w:szCs w:val="8"/>
                <w:color w:val="auto"/>
              </w:rPr>
            </w:pPr>
          </w:p>
        </w:tc>
        <w:tc>
          <w:tcPr>
            <w:tcW w:w="3760" w:type="dxa"/>
            <w:vAlign w:val="bottom"/>
            <w:tcBorders>
              <w:bottom w:val="single" w:sz="8" w:color="C3E6FF"/>
              <w:right w:val="single" w:sz="8" w:color="C3E6FF"/>
            </w:tcBorders>
            <w:shd w:val="clear" w:color="auto" w:fill="F3F9FF"/>
          </w:tcPr>
          <w:p>
            <w:pPr>
              <w:spacing w:after="0"/>
              <w:rPr>
                <w:sz w:val="8"/>
                <w:szCs w:val="8"/>
                <w:color w:val="auto"/>
              </w:rPr>
            </w:pPr>
          </w:p>
        </w:tc>
      </w:tr>
      <w:tr>
        <w:trPr>
          <w:trHeight w:val="268"/>
        </w:trPr>
        <w:tc>
          <w:tcPr>
            <w:tcW w:w="2100" w:type="dxa"/>
            <w:vAlign w:val="bottom"/>
            <w:tcBorders>
              <w:left w:val="single" w:sz="8" w:color="C3E6FF"/>
            </w:tcBorders>
          </w:tcPr>
          <w:p>
            <w:pPr>
              <w:ind w:left="120"/>
              <w:spacing w:after="0"/>
              <w:rPr>
                <w:sz w:val="20"/>
                <w:szCs w:val="20"/>
                <w:color w:val="auto"/>
              </w:rPr>
            </w:pPr>
            <w:r>
              <w:rPr>
                <w:rFonts w:ascii="Arial" w:cs="Arial" w:eastAsia="Arial" w:hAnsi="Arial"/>
                <w:sz w:val="14"/>
                <w:szCs w:val="14"/>
                <w:b w:val="1"/>
                <w:bCs w:val="1"/>
                <w:color w:val="auto"/>
              </w:rPr>
              <w:t>2/20/2019</w:t>
            </w:r>
          </w:p>
        </w:tc>
        <w:tc>
          <w:tcPr>
            <w:tcW w:w="3140" w:type="dxa"/>
            <w:vAlign w:val="bottom"/>
          </w:tcPr>
          <w:p>
            <w:pPr>
              <w:jc w:val="center"/>
              <w:ind w:left="424"/>
              <w:spacing w:after="0"/>
              <w:rPr>
                <w:sz w:val="20"/>
                <w:szCs w:val="20"/>
                <w:color w:val="auto"/>
              </w:rPr>
            </w:pPr>
            <w:r>
              <w:rPr>
                <w:rFonts w:ascii="Arial" w:cs="Arial" w:eastAsia="Arial" w:hAnsi="Arial"/>
                <w:sz w:val="14"/>
                <w:szCs w:val="14"/>
                <w:color w:val="auto"/>
              </w:rPr>
              <w:t>2/20/2019</w:t>
            </w:r>
          </w:p>
        </w:tc>
        <w:tc>
          <w:tcPr>
            <w:tcW w:w="3760" w:type="dxa"/>
            <w:vAlign w:val="bottom"/>
            <w:tcBorders>
              <w:right w:val="single" w:sz="8" w:color="C3E6FF"/>
            </w:tcBorders>
          </w:tcPr>
          <w:p>
            <w:pPr>
              <w:jc w:val="center"/>
              <w:ind w:left="245"/>
              <w:spacing w:after="0"/>
              <w:rPr>
                <w:sz w:val="20"/>
                <w:szCs w:val="20"/>
                <w:color w:val="auto"/>
              </w:rPr>
            </w:pPr>
            <w:r>
              <w:rPr>
                <w:rFonts w:ascii="Arial" w:cs="Arial" w:eastAsia="Arial" w:hAnsi="Arial"/>
                <w:sz w:val="14"/>
                <w:szCs w:val="14"/>
                <w:color w:val="auto"/>
              </w:rPr>
              <w:t>Restricted Stock Units: Vesting over 4 years –</w:t>
            </w:r>
          </w:p>
        </w:tc>
      </w:tr>
      <w:tr>
        <w:trPr>
          <w:trHeight w:val="172"/>
        </w:trPr>
        <w:tc>
          <w:tcPr>
            <w:tcW w:w="2100" w:type="dxa"/>
            <w:vAlign w:val="bottom"/>
            <w:tcBorders>
              <w:left w:val="single" w:sz="8" w:color="C3E6FF"/>
            </w:tcBorders>
          </w:tcPr>
          <w:p>
            <w:pPr>
              <w:spacing w:after="0"/>
              <w:rPr>
                <w:sz w:val="14"/>
                <w:szCs w:val="14"/>
                <w:color w:val="auto"/>
              </w:rPr>
            </w:pPr>
          </w:p>
        </w:tc>
        <w:tc>
          <w:tcPr>
            <w:tcW w:w="3140" w:type="dxa"/>
            <w:vAlign w:val="bottom"/>
          </w:tcPr>
          <w:p>
            <w:pPr>
              <w:spacing w:after="0"/>
              <w:rPr>
                <w:sz w:val="14"/>
                <w:szCs w:val="14"/>
                <w:color w:val="auto"/>
              </w:rPr>
            </w:pPr>
          </w:p>
        </w:tc>
        <w:tc>
          <w:tcPr>
            <w:tcW w:w="3760" w:type="dxa"/>
            <w:vAlign w:val="bottom"/>
            <w:tcBorders>
              <w:right w:val="single" w:sz="8" w:color="C3E6FF"/>
            </w:tcBorders>
          </w:tcPr>
          <w:p>
            <w:pPr>
              <w:jc w:val="center"/>
              <w:ind w:left="245"/>
              <w:spacing w:after="0"/>
              <w:rPr>
                <w:sz w:val="20"/>
                <w:szCs w:val="20"/>
                <w:color w:val="auto"/>
              </w:rPr>
            </w:pPr>
            <w:r>
              <w:rPr>
                <w:rFonts w:ascii="Arial" w:cs="Arial" w:eastAsia="Arial" w:hAnsi="Arial"/>
                <w:sz w:val="14"/>
                <w:szCs w:val="14"/>
                <w:color w:val="auto"/>
              </w:rPr>
              <w:t>25% each year</w:t>
            </w:r>
          </w:p>
        </w:tc>
      </w:tr>
      <w:tr>
        <w:trPr>
          <w:trHeight w:val="93"/>
        </w:trPr>
        <w:tc>
          <w:tcPr>
            <w:tcW w:w="2100" w:type="dxa"/>
            <w:vAlign w:val="bottom"/>
            <w:tcBorders>
              <w:left w:val="single" w:sz="8" w:color="C3E6FF"/>
              <w:bottom w:val="single" w:sz="8" w:color="C3E6FF"/>
            </w:tcBorders>
          </w:tcPr>
          <w:p>
            <w:pPr>
              <w:spacing w:after="0"/>
              <w:rPr>
                <w:sz w:val="8"/>
                <w:szCs w:val="8"/>
                <w:color w:val="auto"/>
              </w:rPr>
            </w:pPr>
          </w:p>
        </w:tc>
        <w:tc>
          <w:tcPr>
            <w:tcW w:w="3140" w:type="dxa"/>
            <w:vAlign w:val="bottom"/>
            <w:tcBorders>
              <w:bottom w:val="single" w:sz="8" w:color="C3E6FF"/>
            </w:tcBorders>
          </w:tcPr>
          <w:p>
            <w:pPr>
              <w:spacing w:after="0"/>
              <w:rPr>
                <w:sz w:val="8"/>
                <w:szCs w:val="8"/>
                <w:color w:val="auto"/>
              </w:rPr>
            </w:pPr>
          </w:p>
        </w:tc>
        <w:tc>
          <w:tcPr>
            <w:tcW w:w="3760" w:type="dxa"/>
            <w:vAlign w:val="bottom"/>
            <w:tcBorders>
              <w:bottom w:val="single" w:sz="8" w:color="C3E6FF"/>
              <w:right w:val="single" w:sz="8" w:color="C3E6FF"/>
            </w:tcBorders>
          </w:tcPr>
          <w:p>
            <w:pPr>
              <w:spacing w:after="0"/>
              <w:rPr>
                <w:sz w:val="8"/>
                <w:szCs w:val="8"/>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Employment Agreements</w:t>
      </w:r>
    </w:p>
    <w:p>
      <w:pPr>
        <w:spacing w:after="0" w:line="224" w:lineRule="exact"/>
        <w:rPr>
          <w:sz w:val="20"/>
          <w:szCs w:val="20"/>
          <w:color w:val="auto"/>
        </w:rPr>
      </w:pPr>
    </w:p>
    <w:p>
      <w:pPr>
        <w:ind w:right="560"/>
        <w:spacing w:after="0"/>
        <w:rPr>
          <w:sz w:val="20"/>
          <w:szCs w:val="20"/>
          <w:color w:val="auto"/>
        </w:rPr>
      </w:pPr>
      <w:r>
        <w:rPr>
          <w:rFonts w:ascii="Arial" w:cs="Arial" w:eastAsia="Arial" w:hAnsi="Arial"/>
          <w:sz w:val="18"/>
          <w:szCs w:val="18"/>
          <w:color w:val="262626"/>
        </w:rPr>
        <w:t>In addition to the terms described below, the employment and severance agreements for each of our named executive officers include severance, termination and/or noncompetition provisions, which are described below under “Potential Payments upon Termination or Change in Control at Fiscal 2019 Year-End” beginning on page 71.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Rohit Kapoor</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262626"/>
        </w:rPr>
        <w:t>Mr. Kapoor serves as our Vice Chairman and CEO, and is based at our executive offices in New York, New York. Our engagement of Mr. Kapoor has been under the terms of employment agreements for over 14 years. On September 19, 2017, we entered into an amended and restated employment agreement with Mr. Kapoor that became effective on January 1, 2018. That employment agreement provides for an initial term from January 1, 2018 until December 31, 2020, and automatically renews for successive one-year periods unless terminated with 120 days’ prior notice.</w:t>
      </w:r>
    </w:p>
    <w:p>
      <w:pPr>
        <w:spacing w:after="0" w:line="167" w:lineRule="exact"/>
        <w:rPr>
          <w:sz w:val="20"/>
          <w:szCs w:val="20"/>
          <w:color w:val="auto"/>
        </w:rPr>
      </w:pPr>
    </w:p>
    <w:p>
      <w:pPr>
        <w:ind w:left="660" w:right="80" w:hanging="328"/>
        <w:spacing w:after="0" w:line="242" w:lineRule="auto"/>
        <w:tabs>
          <w:tab w:leader="none" w:pos="660" w:val="left"/>
        </w:tabs>
        <w:numPr>
          <w:ilvl w:val="0"/>
          <w:numId w:val="94"/>
        </w:numPr>
        <w:rPr>
          <w:rFonts w:ascii="Arial" w:cs="Arial" w:eastAsia="Arial" w:hAnsi="Arial"/>
          <w:sz w:val="18"/>
          <w:szCs w:val="18"/>
          <w:color w:val="FF6503"/>
        </w:rPr>
      </w:pPr>
      <w:r>
        <w:rPr>
          <w:rFonts w:ascii="Arial" w:cs="Arial" w:eastAsia="Arial" w:hAnsi="Arial"/>
          <w:sz w:val="18"/>
          <w:szCs w:val="18"/>
          <w:b w:val="1"/>
          <w:bCs w:val="1"/>
          <w:color w:val="262626"/>
        </w:rPr>
        <w:t xml:space="preserve">Salary, Bonus and Equity: </w:t>
      </w:r>
      <w:r>
        <w:rPr>
          <w:rFonts w:ascii="Arial" w:cs="Arial" w:eastAsia="Arial" w:hAnsi="Arial"/>
          <w:sz w:val="18"/>
          <w:szCs w:val="18"/>
          <w:color w:val="262626"/>
        </w:rPr>
        <w:t>Mr. Kapoor’s base salary increased to $720,000, effective April 1, 2018 and was held constant in 2019.</w:t>
      </w:r>
      <w:r>
        <w:rPr>
          <w:rFonts w:ascii="Arial" w:cs="Arial" w:eastAsia="Arial" w:hAnsi="Arial"/>
          <w:sz w:val="18"/>
          <w:szCs w:val="18"/>
          <w:b w:val="1"/>
          <w:bCs w:val="1"/>
          <w:color w:val="262626"/>
        </w:rPr>
        <w:t xml:space="preserve"> </w:t>
      </w:r>
      <w:r>
        <w:rPr>
          <w:rFonts w:ascii="Arial" w:cs="Arial" w:eastAsia="Arial" w:hAnsi="Arial"/>
          <w:sz w:val="18"/>
          <w:szCs w:val="18"/>
          <w:color w:val="262626"/>
        </w:rPr>
        <w:t>Mr. Kapoor’s base salary can be increased at our sole discretion and cannot be decreased unless a Company-wide decrease in pay is implemented. Mr. Kapoor can earn an annual cash bonus, with a target of 150% of base salary and a maximum of 326%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65" w:lineRule="exact"/>
        <w:rPr>
          <w:rFonts w:ascii="Arial" w:cs="Arial" w:eastAsia="Arial" w:hAnsi="Arial"/>
          <w:sz w:val="18"/>
          <w:szCs w:val="18"/>
          <w:color w:val="FF6503"/>
        </w:rPr>
      </w:pPr>
    </w:p>
    <w:p>
      <w:pPr>
        <w:ind w:left="660" w:hanging="328"/>
        <w:spacing w:after="0"/>
        <w:tabs>
          <w:tab w:leader="none" w:pos="660" w:val="left"/>
        </w:tabs>
        <w:numPr>
          <w:ilvl w:val="0"/>
          <w:numId w:val="94"/>
        </w:numPr>
        <w:rPr>
          <w:rFonts w:ascii="Arial" w:cs="Arial" w:eastAsia="Arial" w:hAnsi="Arial"/>
          <w:sz w:val="18"/>
          <w:szCs w:val="18"/>
          <w:color w:val="FF6503"/>
        </w:rPr>
      </w:pPr>
      <w:r>
        <w:rPr>
          <w:rFonts w:ascii="Arial" w:cs="Arial" w:eastAsia="Arial" w:hAnsi="Arial"/>
          <w:sz w:val="18"/>
          <w:szCs w:val="18"/>
          <w:b w:val="1"/>
          <w:bCs w:val="1"/>
          <w:color w:val="262626"/>
        </w:rPr>
        <w:t xml:space="preserve">Personal Benefits: </w:t>
      </w:r>
      <w:r>
        <w:rPr>
          <w:rFonts w:ascii="Arial" w:cs="Arial" w:eastAsia="Arial" w:hAnsi="Arial"/>
          <w:sz w:val="18"/>
          <w:szCs w:val="18"/>
          <w:color w:val="262626"/>
        </w:rPr>
        <w:t>We provide Mr. Kapoor with certain personal benefits, including certain club memberships, home office supplies,</w:t>
      </w:r>
      <w:r>
        <w:rPr>
          <w:rFonts w:ascii="Arial" w:cs="Arial" w:eastAsia="Arial" w:hAnsi="Arial"/>
          <w:sz w:val="18"/>
          <w:szCs w:val="18"/>
          <w:b w:val="1"/>
          <w:bCs w:val="1"/>
          <w:color w:val="262626"/>
        </w:rPr>
        <w:t xml:space="preserve"> </w:t>
      </w:r>
      <w:r>
        <w:rPr>
          <w:rFonts w:ascii="Arial" w:cs="Arial" w:eastAsia="Arial" w:hAnsi="Arial"/>
          <w:sz w:val="18"/>
          <w:szCs w:val="18"/>
          <w:color w:val="262626"/>
        </w:rPr>
        <w:t>term life insurance policy (with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9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62626"/>
        </w:rPr>
        <w:t>Mr. Kapoor’s employment agreement also includes severance, termination and noncompetition provisions which are described below under “Potential Payments upon Termination or Change in Control at Fiscal 2019 Year-End” beginning on page 71.</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F6503"/>
        </w:rPr>
        <w:t>Vishal Chhibbar</w:t>
      </w:r>
    </w:p>
    <w:p>
      <w:pPr>
        <w:spacing w:after="0" w:line="18" w:lineRule="exact"/>
        <w:rPr>
          <w:sz w:val="20"/>
          <w:szCs w:val="20"/>
          <w:color w:val="auto"/>
        </w:rPr>
      </w:pPr>
    </w:p>
    <w:p>
      <w:pPr>
        <w:ind w:right="300"/>
        <w:spacing w:after="0"/>
        <w:rPr>
          <w:sz w:val="20"/>
          <w:szCs w:val="20"/>
          <w:color w:val="auto"/>
        </w:rPr>
      </w:pPr>
      <w:r>
        <w:rPr>
          <w:rFonts w:ascii="Arial" w:cs="Arial" w:eastAsia="Arial" w:hAnsi="Arial"/>
          <w:sz w:val="18"/>
          <w:szCs w:val="18"/>
          <w:color w:val="262626"/>
        </w:rPr>
        <w:t>Mr. Chhibbar served as our Executive Vice President and CFO until his last day of employment on December 13, 2019. Mr. Chhibbar was subject to confidentiality restrictions at all times, as well as noncompetition, nondisparagement and nonsolicitation restrictions during his employment and for one year thereafter.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Pavan Bagai</w:t>
      </w:r>
    </w:p>
    <w:p>
      <w:pPr>
        <w:spacing w:after="0" w:line="18" w:lineRule="exact"/>
        <w:rPr>
          <w:sz w:val="20"/>
          <w:szCs w:val="20"/>
          <w:color w:val="auto"/>
        </w:rPr>
      </w:pPr>
    </w:p>
    <w:p>
      <w:pPr>
        <w:ind w:right="280"/>
        <w:spacing w:after="0"/>
        <w:rPr>
          <w:sz w:val="20"/>
          <w:szCs w:val="20"/>
          <w:color w:val="auto"/>
        </w:rPr>
      </w:pPr>
      <w:r>
        <w:rPr>
          <w:rFonts w:ascii="Arial" w:cs="Arial" w:eastAsia="Arial" w:hAnsi="Arial"/>
          <w:sz w:val="18"/>
          <w:szCs w:val="18"/>
          <w:color w:val="262626"/>
        </w:rPr>
        <w:t>Mr. Bagai serves as our President and Chief Operating Officer, and is based in India. We entered into two employment agreements with him, effective July 31, 2002 and August 1, 2002, respectively and a severance letter, effective March 15, 2011, each of which will continue throughout Mr. Bagai’s employment with the Company.</w:t>
      </w:r>
    </w:p>
    <w:p>
      <w:pPr>
        <w:spacing w:after="0" w:line="167"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FF6503"/>
        </w:rPr>
      </w:pPr>
      <w:r>
        <w:rPr>
          <w:rFonts w:ascii="Arial" w:cs="Arial" w:eastAsia="Arial" w:hAnsi="Arial"/>
          <w:sz w:val="18"/>
          <w:szCs w:val="18"/>
          <w:b w:val="1"/>
          <w:bCs w:val="1"/>
          <w:color w:val="262626"/>
        </w:rPr>
        <w:t xml:space="preserve">Salary, Bonus and Equity: </w:t>
      </w:r>
      <w:r>
        <w:rPr>
          <w:rFonts w:ascii="Arial" w:cs="Arial" w:eastAsia="Arial" w:hAnsi="Arial"/>
          <w:sz w:val="18"/>
          <w:szCs w:val="18"/>
          <w:color w:val="262626"/>
        </w:rPr>
        <w:t>Mr. Bagai’s annual fixed compensation, measured in U.S. dollars rather than his home currency of</w:t>
      </w:r>
      <w:r>
        <w:rPr>
          <w:rFonts w:ascii="Arial" w:cs="Arial" w:eastAsia="Arial" w:hAnsi="Arial"/>
          <w:sz w:val="18"/>
          <w:szCs w:val="18"/>
          <w:b w:val="1"/>
          <w:bCs w:val="1"/>
          <w:color w:val="262626"/>
        </w:rPr>
        <w:t xml:space="preserve"> </w:t>
      </w:r>
      <w:r>
        <w:rPr>
          <w:rFonts w:ascii="Arial" w:cs="Arial" w:eastAsia="Arial" w:hAnsi="Arial"/>
          <w:sz w:val="18"/>
          <w:szCs w:val="18"/>
          <w:color w:val="262626"/>
        </w:rPr>
        <w:t>Indian rupees (using an exchange rate of 71.38 INR to 1 USD, which was the exchange rate on December 31, 2019), was decreased to $364,248 effective April 1, 2019.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163% of annual fixed compensation,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8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262626"/>
        </w:rPr>
        <w:t>Mr. Bagai’s agreements also includes severance, termination and noncompetition provisions which are described below under “Potential Payments upon Termination or Change in Control at Fiscal 2019 Year-End” beginning on page 71.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Nalin Miglani</w:t>
      </w:r>
    </w:p>
    <w:p>
      <w:pPr>
        <w:spacing w:after="0" w:line="18" w:lineRule="exact"/>
        <w:rPr>
          <w:sz w:val="20"/>
          <w:szCs w:val="20"/>
          <w:color w:val="auto"/>
        </w:rPr>
      </w:pPr>
    </w:p>
    <w:p>
      <w:pPr>
        <w:ind w:right="220"/>
        <w:spacing w:after="0"/>
        <w:rPr>
          <w:sz w:val="20"/>
          <w:szCs w:val="20"/>
          <w:color w:val="auto"/>
        </w:rPr>
      </w:pPr>
      <w:r>
        <w:rPr>
          <w:rFonts w:ascii="Arial" w:cs="Arial" w:eastAsia="Arial" w:hAnsi="Arial"/>
          <w:sz w:val="18"/>
          <w:szCs w:val="18"/>
          <w:color w:val="262626"/>
        </w:rPr>
        <w:t>Mr. Miglani serves as our Executive Vice President and Chief Human Resources Officer, and is based at our executive offices in New York, New York. We entered into an employment agreement with him, effective December 1, 2014, which will continue throughout Mr. Miglani’s employment with the Company.</w:t>
      </w:r>
    </w:p>
    <w:p>
      <w:pPr>
        <w:spacing w:after="0" w:line="167" w:lineRule="exact"/>
        <w:rPr>
          <w:sz w:val="20"/>
          <w:szCs w:val="20"/>
          <w:color w:val="auto"/>
        </w:rPr>
      </w:pPr>
    </w:p>
    <w:p>
      <w:pPr>
        <w:ind w:left="660" w:right="20" w:hanging="328"/>
        <w:spacing w:after="0" w:line="239" w:lineRule="auto"/>
        <w:tabs>
          <w:tab w:leader="none" w:pos="660" w:val="left"/>
        </w:tabs>
        <w:numPr>
          <w:ilvl w:val="0"/>
          <w:numId w:val="96"/>
        </w:numPr>
        <w:rPr>
          <w:rFonts w:ascii="Arial" w:cs="Arial" w:eastAsia="Arial" w:hAnsi="Arial"/>
          <w:sz w:val="18"/>
          <w:szCs w:val="18"/>
          <w:color w:val="FF6503"/>
        </w:rPr>
      </w:pPr>
      <w:r>
        <w:rPr>
          <w:rFonts w:ascii="Arial" w:cs="Arial" w:eastAsia="Arial" w:hAnsi="Arial"/>
          <w:sz w:val="18"/>
          <w:szCs w:val="18"/>
          <w:b w:val="1"/>
          <w:bCs w:val="1"/>
          <w:color w:val="262626"/>
        </w:rPr>
        <w:t xml:space="preserve">Salary, Bonus and Equity: </w:t>
      </w:r>
      <w:r>
        <w:rPr>
          <w:rFonts w:ascii="Arial" w:cs="Arial" w:eastAsia="Arial" w:hAnsi="Arial"/>
          <w:sz w:val="18"/>
          <w:szCs w:val="18"/>
          <w:color w:val="262626"/>
        </w:rPr>
        <w:t>Mr. Miglani’s base salary was held constant at $450,000 in 2019 but may be increased from time to time</w:t>
      </w:r>
      <w:r>
        <w:rPr>
          <w:rFonts w:ascii="Arial" w:cs="Arial" w:eastAsia="Arial" w:hAnsi="Arial"/>
          <w:sz w:val="18"/>
          <w:szCs w:val="18"/>
          <w:b w:val="1"/>
          <w:bCs w:val="1"/>
          <w:color w:val="262626"/>
        </w:rPr>
        <w:t xml:space="preserve"> </w:t>
      </w:r>
      <w:r>
        <w:rPr>
          <w:rFonts w:ascii="Arial" w:cs="Arial" w:eastAsia="Arial" w:hAnsi="Arial"/>
          <w:sz w:val="18"/>
          <w:szCs w:val="18"/>
          <w:color w:val="262626"/>
        </w:rPr>
        <w:t>by our Board. While employed, Mr. Miglani can earn an annual cash bonus, with a target of 75% of base salary and a maximum of 162%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2019 Year-End” beginning on page 68 and (ii) a one-time joining bonus of $200,000 half of which was paid on the commencement of his employment and the other half paid in March 2015, based on his continued service with the Company. Mr. Miglani received $100,000 in connection with his relocation from Amsterdam to New York in 2014.</w:t>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262626"/>
        </w:rPr>
        <w:t>Mr. Miglani’s employment agreement also includes severance, termination and noncompetition provisions which are described below under “Potential Payments upon Termination or Change in Control at Fiscal 2019 Year-End” beginning on page 71.</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F6503"/>
        </w:rPr>
        <w:t>Vikas Bhalla</w:t>
      </w:r>
    </w:p>
    <w:p>
      <w:pPr>
        <w:spacing w:after="0" w:line="18"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262626"/>
        </w:rPr>
        <w:t>Mr. Bhalla serves as our Executive Vice President and Business Head, Insurance, and is based in India. We entered into an employment agreement with him, effective April 28, 2001 and a severance letter, effective March 15, 2011, each of which will continue throughout Mr. Bhalla’s employment with the Company.</w:t>
      </w:r>
    </w:p>
    <w:p>
      <w:pPr>
        <w:spacing w:after="0" w:line="167"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FF6503"/>
        </w:rPr>
      </w:pPr>
      <w:r>
        <w:rPr>
          <w:rFonts w:ascii="Arial" w:cs="Arial" w:eastAsia="Arial" w:hAnsi="Arial"/>
          <w:sz w:val="18"/>
          <w:szCs w:val="18"/>
          <w:b w:val="1"/>
          <w:bCs w:val="1"/>
          <w:color w:val="262626"/>
        </w:rPr>
        <w:t>Salary, Bonus and Equity</w:t>
      </w:r>
      <w:r>
        <w:rPr>
          <w:rFonts w:ascii="Arial" w:cs="Arial" w:eastAsia="Arial" w:hAnsi="Arial"/>
          <w:sz w:val="18"/>
          <w:szCs w:val="18"/>
          <w:color w:val="262626"/>
        </w:rPr>
        <w:t>: Mr. Bhalla’s annual fixed compensation, measured in U.S. dollars rather than his home currency of</w:t>
      </w:r>
      <w:r>
        <w:rPr>
          <w:rFonts w:ascii="Arial" w:cs="Arial" w:eastAsia="Arial" w:hAnsi="Arial"/>
          <w:sz w:val="18"/>
          <w:szCs w:val="18"/>
          <w:b w:val="1"/>
          <w:bCs w:val="1"/>
          <w:color w:val="262626"/>
        </w:rPr>
        <w:t xml:space="preserve"> </w:t>
      </w:r>
      <w:r>
        <w:rPr>
          <w:rFonts w:ascii="Arial" w:cs="Arial" w:eastAsia="Arial" w:hAnsi="Arial"/>
          <w:sz w:val="18"/>
          <w:szCs w:val="18"/>
          <w:color w:val="262626"/>
        </w:rPr>
        <w:t>Indian rupees (using an exchange rate of 71.38 INR to 1 USD, which was the exchange rate on December 31, 2019), was decreased from $344,450 to $308,210 effective April 1, 2019. Mr. Bhalla’s annual fixed compensation includes base salary, as well as amounts available as a leave travel allowance, a housing allowance, an automobile allowance, a medical allowance and a cash supplementary allowance. In addition, Mr. Bhalla can earn an annual cash bonus, with a target of 75% of annual fixed compensation and a maximum of 162% of annual fixed compensation, based upon the attainment of performance criteria determined by our Compensation Committee. Mr. Bhalla is also eligible, subject to performance and other conditions, to receive annual equity awards at the discretion of the Compensation Committee.</w:t>
      </w:r>
    </w:p>
    <w:p>
      <w:pPr>
        <w:spacing w:after="0" w:line="18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62626"/>
        </w:rPr>
        <w:t>Mr. Bhalla’s agreements also includes severance, termination and noncompetition provisions which are described below under “Potential Payments upon Termination or Change in Control at Fiscal 2019 Year-End” beginning on page 71.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Samuel Meckey</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262626"/>
        </w:rPr>
        <w:t>Mr. Meckey serves as our Executive Vice President and Business Head, Healthcare, and is based at our executive offices in New York, New York. We entered into an employment agreement with him, effective November 5, 2018, which will continue throughout Mr. Meckey’s employment with the Company.</w:t>
      </w:r>
    </w:p>
    <w:p>
      <w:pPr>
        <w:spacing w:after="0" w:line="167" w:lineRule="exact"/>
        <w:rPr>
          <w:sz w:val="20"/>
          <w:szCs w:val="20"/>
          <w:color w:val="auto"/>
        </w:rPr>
      </w:pPr>
    </w:p>
    <w:p>
      <w:pPr>
        <w:ind w:left="660" w:right="60" w:hanging="328"/>
        <w:spacing w:after="0" w:line="244" w:lineRule="auto"/>
        <w:tabs>
          <w:tab w:leader="none" w:pos="660" w:val="left"/>
        </w:tabs>
        <w:numPr>
          <w:ilvl w:val="0"/>
          <w:numId w:val="98"/>
        </w:numPr>
        <w:rPr>
          <w:rFonts w:ascii="Arial" w:cs="Arial" w:eastAsia="Arial" w:hAnsi="Arial"/>
          <w:sz w:val="18"/>
          <w:szCs w:val="18"/>
          <w:color w:val="FF6503"/>
        </w:rPr>
      </w:pPr>
      <w:r>
        <w:rPr>
          <w:rFonts w:ascii="Arial" w:cs="Arial" w:eastAsia="Arial" w:hAnsi="Arial"/>
          <w:sz w:val="18"/>
          <w:szCs w:val="18"/>
          <w:b w:val="1"/>
          <w:bCs w:val="1"/>
          <w:color w:val="262626"/>
        </w:rPr>
        <w:t xml:space="preserve">Salary, Bonus and Equity: </w:t>
      </w:r>
      <w:r>
        <w:rPr>
          <w:rFonts w:ascii="Arial" w:cs="Arial" w:eastAsia="Arial" w:hAnsi="Arial"/>
          <w:sz w:val="18"/>
          <w:szCs w:val="18"/>
          <w:color w:val="262626"/>
        </w:rPr>
        <w:t>Mr. Meckey’s annual fixed compensation was held constant at $425,000 in 2019. In addition, Mr.</w:t>
      </w:r>
      <w:r>
        <w:rPr>
          <w:rFonts w:ascii="Arial" w:cs="Arial" w:eastAsia="Arial" w:hAnsi="Arial"/>
          <w:sz w:val="18"/>
          <w:szCs w:val="18"/>
          <w:b w:val="1"/>
          <w:bCs w:val="1"/>
          <w:color w:val="262626"/>
        </w:rPr>
        <w:t xml:space="preserve"> </w:t>
      </w:r>
      <w:r>
        <w:rPr>
          <w:rFonts w:ascii="Arial" w:cs="Arial" w:eastAsia="Arial" w:hAnsi="Arial"/>
          <w:sz w:val="18"/>
          <w:szCs w:val="18"/>
          <w:color w:val="262626"/>
        </w:rPr>
        <w:t>Meckey can earn an annual cash bonus, with a target of 75% of annual fixed compensation and a maximum of 162% of annual fixed compensation, based upon the attainment of performance criteria determined by our Compensation Committee. Mr. Meckey is also eligible, subject to performance and other conditions, to receive annual equity awards at the discretion of the Compensation Committee.</w:t>
      </w:r>
    </w:p>
    <w:p>
      <w:pPr>
        <w:spacing w:after="0" w:line="18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262626"/>
        </w:rPr>
        <w:t>Mr. Meckey’s agreements also includes severance, termination and noncompetition provisions which are described below under “Potential Payments upon Termination or Change in Control at Fiscal 2019 Year-End” beginning on page 71.</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0093FF"/>
        </w:rPr>
        <w:drawing>
          <wp:anchor simplePos="0" relativeHeight="251657728" behindDoc="1" locked="0" layoutInCell="0" allowOverlap="1">
            <wp:simplePos x="0" y="0"/>
            <wp:positionH relativeFrom="page">
              <wp:posOffset>6706235</wp:posOffset>
            </wp:positionH>
            <wp:positionV relativeFrom="page">
              <wp:posOffset>363220</wp:posOffset>
            </wp:positionV>
            <wp:extent cx="600075" cy="411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t>Outstanding Equity Awards at Fiscal 2019 Year-End</w:t>
      </w:r>
    </w:p>
    <w:p>
      <w:pPr>
        <w:spacing w:after="0" w:line="184" w:lineRule="exact"/>
        <w:rPr>
          <w:sz w:val="20"/>
          <w:szCs w:val="20"/>
          <w:color w:val="auto"/>
        </w:rPr>
      </w:pPr>
    </w:p>
    <w:p>
      <w:pPr>
        <w:ind w:right="320"/>
        <w:spacing w:after="0"/>
        <w:rPr>
          <w:sz w:val="20"/>
          <w:szCs w:val="20"/>
          <w:color w:val="auto"/>
        </w:rPr>
      </w:pPr>
      <w:r>
        <w:rPr>
          <w:rFonts w:ascii="Arial" w:cs="Arial" w:eastAsia="Arial" w:hAnsi="Arial"/>
          <w:sz w:val="18"/>
          <w:szCs w:val="18"/>
          <w:color w:val="262626"/>
        </w:rPr>
        <w:t>The following table sets forth the equity awards we have made to our named executive officers that were outstanding as of December 31, 2019. The market values set forth in the table are based on a price of $69.46, which was the closing price of our stock on December 31, 2019.</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0" w:type="dxa"/>
            <w:vAlign w:val="bottom"/>
            <w:tcBorders>
              <w:left w:val="single" w:sz="8" w:color="CCE9FF"/>
              <w:bottom w:val="single" w:sz="8" w:color="102C5E"/>
            </w:tcBorders>
            <w:shd w:val="clear" w:color="auto" w:fill="102C5E"/>
          </w:tcPr>
          <w:p>
            <w:pPr>
              <w:spacing w:after="0"/>
              <w:rPr>
                <w:sz w:val="24"/>
                <w:szCs w:val="24"/>
                <w:color w:val="auto"/>
              </w:rPr>
            </w:pPr>
          </w:p>
        </w:tc>
        <w:tc>
          <w:tcPr>
            <w:tcW w:w="1060" w:type="dxa"/>
            <w:vAlign w:val="bottom"/>
            <w:tcBorders>
              <w:bottom w:val="single" w:sz="8" w:color="102C5E"/>
            </w:tcBorders>
            <w:shd w:val="clear" w:color="auto" w:fill="102C5E"/>
          </w:tcPr>
          <w:p>
            <w:pPr>
              <w:spacing w:after="0"/>
              <w:rPr>
                <w:sz w:val="24"/>
                <w:szCs w:val="24"/>
                <w:color w:val="auto"/>
              </w:rPr>
            </w:pPr>
          </w:p>
        </w:tc>
        <w:tc>
          <w:tcPr>
            <w:tcW w:w="20" w:type="dxa"/>
            <w:vAlign w:val="bottom"/>
            <w:tcBorders>
              <w:bottom w:val="single" w:sz="8" w:color="102C5E"/>
            </w:tcBorders>
            <w:shd w:val="clear" w:color="auto" w:fill="102C5E"/>
          </w:tcPr>
          <w:p>
            <w:pPr>
              <w:spacing w:after="0"/>
              <w:rPr>
                <w:sz w:val="24"/>
                <w:szCs w:val="24"/>
                <w:color w:val="auto"/>
              </w:rPr>
            </w:pPr>
          </w:p>
        </w:tc>
        <w:tc>
          <w:tcPr>
            <w:tcW w:w="1080" w:type="dxa"/>
            <w:vAlign w:val="bottom"/>
            <w:tcBorders>
              <w:bottom w:val="single" w:sz="8" w:color="auto"/>
            </w:tcBorders>
            <w:shd w:val="clear" w:color="auto" w:fill="102C5E"/>
          </w:tcPr>
          <w:p>
            <w:pPr>
              <w:spacing w:after="0"/>
              <w:rPr>
                <w:sz w:val="24"/>
                <w:szCs w:val="24"/>
                <w:color w:val="auto"/>
              </w:rPr>
            </w:pPr>
          </w:p>
        </w:tc>
        <w:tc>
          <w:tcPr>
            <w:tcW w:w="40" w:type="dxa"/>
            <w:vAlign w:val="bottom"/>
            <w:tcBorders>
              <w:bottom w:val="single" w:sz="8" w:color="auto"/>
            </w:tcBorders>
            <w:shd w:val="clear" w:color="auto" w:fill="102C5E"/>
          </w:tcPr>
          <w:p>
            <w:pPr>
              <w:spacing w:after="0"/>
              <w:rPr>
                <w:sz w:val="24"/>
                <w:szCs w:val="24"/>
                <w:color w:val="auto"/>
              </w:rPr>
            </w:pPr>
          </w:p>
        </w:tc>
        <w:tc>
          <w:tcPr>
            <w:tcW w:w="2240" w:type="dxa"/>
            <w:vAlign w:val="bottom"/>
            <w:tcBorders>
              <w:bottom w:val="single" w:sz="8" w:color="auto"/>
            </w:tcBorders>
            <w:gridSpan w:val="4"/>
            <w:shd w:val="clear" w:color="auto" w:fill="102C5E"/>
          </w:tcPr>
          <w:p>
            <w:pPr>
              <w:ind w:left="600"/>
              <w:spacing w:after="0"/>
              <w:rPr>
                <w:sz w:val="20"/>
                <w:szCs w:val="20"/>
                <w:color w:val="auto"/>
              </w:rPr>
            </w:pPr>
            <w:r>
              <w:rPr>
                <w:rFonts w:ascii="Arial" w:cs="Arial" w:eastAsia="Arial" w:hAnsi="Arial"/>
                <w:sz w:val="14"/>
                <w:szCs w:val="14"/>
                <w:b w:val="1"/>
                <w:bCs w:val="1"/>
                <w:color w:val="FFFFFF"/>
              </w:rPr>
              <w:t>Option Awards</w:t>
            </w:r>
          </w:p>
        </w:tc>
        <w:tc>
          <w:tcPr>
            <w:tcW w:w="1080" w:type="dxa"/>
            <w:vAlign w:val="bottom"/>
            <w:tcBorders>
              <w:bottom w:val="single" w:sz="8" w:color="auto"/>
            </w:tcBorders>
            <w:shd w:val="clear" w:color="auto" w:fill="102C5E"/>
          </w:tcPr>
          <w:p>
            <w:pPr>
              <w:spacing w:after="0"/>
              <w:rPr>
                <w:sz w:val="24"/>
                <w:szCs w:val="24"/>
                <w:color w:val="auto"/>
              </w:rPr>
            </w:pPr>
          </w:p>
        </w:tc>
        <w:tc>
          <w:tcPr>
            <w:tcW w:w="40" w:type="dxa"/>
            <w:vAlign w:val="bottom"/>
            <w:tcBorders>
              <w:bottom w:val="single" w:sz="8" w:color="auto"/>
            </w:tcBorders>
            <w:shd w:val="clear" w:color="auto" w:fill="102C5E"/>
          </w:tcPr>
          <w:p>
            <w:pPr>
              <w:spacing w:after="0"/>
              <w:rPr>
                <w:sz w:val="24"/>
                <w:szCs w:val="24"/>
                <w:color w:val="auto"/>
              </w:rPr>
            </w:pPr>
          </w:p>
        </w:tc>
        <w:tc>
          <w:tcPr>
            <w:tcW w:w="1100" w:type="dxa"/>
            <w:vAlign w:val="bottom"/>
            <w:tcBorders>
              <w:bottom w:val="single" w:sz="8" w:color="auto"/>
            </w:tcBorders>
            <w:shd w:val="clear" w:color="auto" w:fill="102C5E"/>
          </w:tcPr>
          <w:p>
            <w:pPr>
              <w:spacing w:after="0"/>
              <w:rPr>
                <w:sz w:val="24"/>
                <w:szCs w:val="24"/>
                <w:color w:val="auto"/>
              </w:rPr>
            </w:pPr>
          </w:p>
        </w:tc>
        <w:tc>
          <w:tcPr>
            <w:tcW w:w="20" w:type="dxa"/>
            <w:vAlign w:val="bottom"/>
            <w:tcBorders>
              <w:bottom w:val="single" w:sz="8" w:color="auto"/>
            </w:tcBorders>
            <w:shd w:val="clear" w:color="auto" w:fill="102C5E"/>
          </w:tcPr>
          <w:p>
            <w:pPr>
              <w:spacing w:after="0"/>
              <w:rPr>
                <w:sz w:val="24"/>
                <w:szCs w:val="24"/>
                <w:color w:val="auto"/>
              </w:rPr>
            </w:pPr>
          </w:p>
        </w:tc>
        <w:tc>
          <w:tcPr>
            <w:tcW w:w="1100" w:type="dxa"/>
            <w:vAlign w:val="bottom"/>
            <w:tcBorders>
              <w:bottom w:val="single" w:sz="8" w:color="auto"/>
            </w:tcBorders>
            <w:shd w:val="clear" w:color="auto" w:fill="102C5E"/>
          </w:tcPr>
          <w:p>
            <w:pPr>
              <w:spacing w:after="0"/>
              <w:rPr>
                <w:sz w:val="24"/>
                <w:szCs w:val="24"/>
                <w:color w:val="auto"/>
              </w:rPr>
            </w:pPr>
          </w:p>
        </w:tc>
        <w:tc>
          <w:tcPr>
            <w:tcW w:w="20" w:type="dxa"/>
            <w:vAlign w:val="bottom"/>
            <w:tcBorders>
              <w:bottom w:val="single" w:sz="8" w:color="auto"/>
            </w:tcBorders>
            <w:shd w:val="clear" w:color="auto" w:fill="102C5E"/>
          </w:tcPr>
          <w:p>
            <w:pPr>
              <w:spacing w:after="0"/>
              <w:rPr>
                <w:sz w:val="24"/>
                <w:szCs w:val="24"/>
                <w:color w:val="auto"/>
              </w:rPr>
            </w:pPr>
          </w:p>
        </w:tc>
        <w:tc>
          <w:tcPr>
            <w:tcW w:w="1120" w:type="dxa"/>
            <w:vAlign w:val="bottom"/>
            <w:tcBorders>
              <w:bottom w:val="single" w:sz="8" w:color="auto"/>
            </w:tcBorders>
            <w:gridSpan w:val="2"/>
            <w:shd w:val="clear" w:color="auto" w:fill="102C5E"/>
          </w:tcPr>
          <w:p>
            <w:pPr>
              <w:jc w:val="right"/>
              <w:ind w:right="80"/>
              <w:spacing w:after="0"/>
              <w:rPr>
                <w:sz w:val="20"/>
                <w:szCs w:val="20"/>
                <w:color w:val="auto"/>
              </w:rPr>
            </w:pPr>
            <w:r>
              <w:rPr>
                <w:rFonts w:ascii="Arial" w:cs="Arial" w:eastAsia="Arial" w:hAnsi="Arial"/>
                <w:sz w:val="14"/>
                <w:szCs w:val="14"/>
                <w:b w:val="1"/>
                <w:bCs w:val="1"/>
                <w:color w:val="FFFFFF"/>
              </w:rPr>
              <w:t>Stock Awards</w:t>
            </w:r>
          </w:p>
        </w:tc>
        <w:tc>
          <w:tcPr>
            <w:tcW w:w="1100" w:type="dxa"/>
            <w:vAlign w:val="bottom"/>
            <w:tcBorders>
              <w:bottom w:val="single" w:sz="8" w:color="auto"/>
            </w:tcBorders>
            <w:shd w:val="clear" w:color="auto" w:fill="102C5E"/>
          </w:tcPr>
          <w:p>
            <w:pPr>
              <w:spacing w:after="0"/>
              <w:rPr>
                <w:sz w:val="24"/>
                <w:szCs w:val="24"/>
                <w:color w:val="auto"/>
              </w:rPr>
            </w:pPr>
          </w:p>
        </w:tc>
        <w:tc>
          <w:tcPr>
            <w:tcW w:w="20" w:type="dxa"/>
            <w:vAlign w:val="bottom"/>
            <w:tcBorders>
              <w:bottom w:val="single" w:sz="8" w:color="auto"/>
            </w:tcBorders>
            <w:shd w:val="clear" w:color="auto" w:fill="102C5E"/>
          </w:tcPr>
          <w:p>
            <w:pPr>
              <w:spacing w:after="0"/>
              <w:rPr>
                <w:sz w:val="24"/>
                <w:szCs w:val="24"/>
                <w:color w:val="auto"/>
              </w:rPr>
            </w:pPr>
          </w:p>
        </w:tc>
        <w:tc>
          <w:tcPr>
            <w:tcW w:w="1160" w:type="dxa"/>
            <w:vAlign w:val="bottom"/>
            <w:tcBorders>
              <w:bottom w:val="single" w:sz="8" w:color="auto"/>
              <w:right w:val="single" w:sz="8" w:color="CCE9FF"/>
            </w:tcBorders>
            <w:shd w:val="clear" w:color="auto" w:fill="102C5E"/>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Borders>
              <w:left w:val="single" w:sz="8" w:color="CCE9FF"/>
            </w:tcBorders>
            <w:shd w:val="clear" w:color="auto" w:fill="102C5E"/>
          </w:tcPr>
          <w:p>
            <w:pPr>
              <w:spacing w:after="0"/>
              <w:rPr>
                <w:sz w:val="8"/>
                <w:szCs w:val="8"/>
                <w:color w:val="auto"/>
              </w:rPr>
            </w:pPr>
          </w:p>
        </w:tc>
        <w:tc>
          <w:tcPr>
            <w:tcW w:w="1060" w:type="dxa"/>
            <w:vAlign w:val="bottom"/>
            <w:shd w:val="clear" w:color="auto" w:fill="102C5E"/>
          </w:tcPr>
          <w:p>
            <w:pPr>
              <w:spacing w:after="0"/>
              <w:rPr>
                <w:sz w:val="8"/>
                <w:szCs w:val="8"/>
                <w:color w:val="auto"/>
              </w:rPr>
            </w:pPr>
          </w:p>
        </w:tc>
        <w:tc>
          <w:tcPr>
            <w:tcW w:w="20" w:type="dxa"/>
            <w:vAlign w:val="bottom"/>
            <w:shd w:val="clear" w:color="auto" w:fill="102C5E"/>
          </w:tcPr>
          <w:p>
            <w:pPr>
              <w:spacing w:after="0"/>
              <w:rPr>
                <w:sz w:val="8"/>
                <w:szCs w:val="8"/>
                <w:color w:val="auto"/>
              </w:rPr>
            </w:pPr>
          </w:p>
        </w:tc>
        <w:tc>
          <w:tcPr>
            <w:tcW w:w="1080" w:type="dxa"/>
            <w:vAlign w:val="bottom"/>
            <w:shd w:val="clear" w:color="auto" w:fill="102C5E"/>
          </w:tcPr>
          <w:p>
            <w:pPr>
              <w:spacing w:after="0"/>
              <w:rPr>
                <w:sz w:val="8"/>
                <w:szCs w:val="8"/>
                <w:color w:val="auto"/>
              </w:rPr>
            </w:pPr>
          </w:p>
        </w:tc>
        <w:tc>
          <w:tcPr>
            <w:tcW w:w="40" w:type="dxa"/>
            <w:vAlign w:val="bottom"/>
            <w:shd w:val="clear" w:color="auto" w:fill="102C5E"/>
          </w:tcPr>
          <w:p>
            <w:pPr>
              <w:spacing w:after="0"/>
              <w:rPr>
                <w:sz w:val="8"/>
                <w:szCs w:val="8"/>
                <w:color w:val="auto"/>
              </w:rPr>
            </w:pPr>
          </w:p>
        </w:tc>
        <w:tc>
          <w:tcPr>
            <w:tcW w:w="1080" w:type="dxa"/>
            <w:vAlign w:val="bottom"/>
            <w:shd w:val="clear" w:color="auto" w:fill="102C5E"/>
          </w:tcPr>
          <w:p>
            <w:pPr>
              <w:spacing w:after="0"/>
              <w:rPr>
                <w:sz w:val="8"/>
                <w:szCs w:val="8"/>
                <w:color w:val="auto"/>
              </w:rPr>
            </w:pPr>
          </w:p>
        </w:tc>
        <w:tc>
          <w:tcPr>
            <w:tcW w:w="40" w:type="dxa"/>
            <w:vAlign w:val="bottom"/>
            <w:shd w:val="clear" w:color="auto" w:fill="102C5E"/>
          </w:tcPr>
          <w:p>
            <w:pPr>
              <w:spacing w:after="0"/>
              <w:rPr>
                <w:sz w:val="8"/>
                <w:szCs w:val="8"/>
                <w:color w:val="auto"/>
              </w:rPr>
            </w:pPr>
          </w:p>
        </w:tc>
        <w:tc>
          <w:tcPr>
            <w:tcW w:w="1080" w:type="dxa"/>
            <w:vAlign w:val="bottom"/>
            <w:shd w:val="clear" w:color="auto" w:fill="102C5E"/>
          </w:tcPr>
          <w:p>
            <w:pPr>
              <w:spacing w:after="0"/>
              <w:rPr>
                <w:sz w:val="8"/>
                <w:szCs w:val="8"/>
                <w:color w:val="auto"/>
              </w:rPr>
            </w:pPr>
          </w:p>
        </w:tc>
        <w:tc>
          <w:tcPr>
            <w:tcW w:w="40" w:type="dxa"/>
            <w:vAlign w:val="bottom"/>
            <w:shd w:val="clear" w:color="auto" w:fill="102C5E"/>
          </w:tcPr>
          <w:p>
            <w:pPr>
              <w:spacing w:after="0"/>
              <w:rPr>
                <w:sz w:val="8"/>
                <w:szCs w:val="8"/>
                <w:color w:val="auto"/>
              </w:rPr>
            </w:pPr>
          </w:p>
        </w:tc>
        <w:tc>
          <w:tcPr>
            <w:tcW w:w="1080" w:type="dxa"/>
            <w:vAlign w:val="bottom"/>
            <w:shd w:val="clear" w:color="auto" w:fill="102C5E"/>
          </w:tcPr>
          <w:p>
            <w:pPr>
              <w:spacing w:after="0"/>
              <w:rPr>
                <w:sz w:val="8"/>
                <w:szCs w:val="8"/>
                <w:color w:val="auto"/>
              </w:rPr>
            </w:pPr>
          </w:p>
        </w:tc>
        <w:tc>
          <w:tcPr>
            <w:tcW w:w="40" w:type="dxa"/>
            <w:vAlign w:val="bottom"/>
            <w:shd w:val="clear" w:color="auto" w:fill="102C5E"/>
          </w:tcPr>
          <w:p>
            <w:pPr>
              <w:spacing w:after="0"/>
              <w:rPr>
                <w:sz w:val="8"/>
                <w:szCs w:val="8"/>
                <w:color w:val="auto"/>
              </w:rPr>
            </w:pPr>
          </w:p>
        </w:tc>
        <w:tc>
          <w:tcPr>
            <w:tcW w:w="1100" w:type="dxa"/>
            <w:vAlign w:val="bottom"/>
            <w:shd w:val="clear" w:color="auto" w:fill="102C5E"/>
          </w:tcPr>
          <w:p>
            <w:pPr>
              <w:spacing w:after="0"/>
              <w:rPr>
                <w:sz w:val="8"/>
                <w:szCs w:val="8"/>
                <w:color w:val="auto"/>
              </w:rPr>
            </w:pPr>
          </w:p>
        </w:tc>
        <w:tc>
          <w:tcPr>
            <w:tcW w:w="20" w:type="dxa"/>
            <w:vAlign w:val="bottom"/>
            <w:shd w:val="clear" w:color="auto" w:fill="102C5E"/>
          </w:tcPr>
          <w:p>
            <w:pPr>
              <w:spacing w:after="0"/>
              <w:rPr>
                <w:sz w:val="8"/>
                <w:szCs w:val="8"/>
                <w:color w:val="auto"/>
              </w:rPr>
            </w:pPr>
          </w:p>
        </w:tc>
        <w:tc>
          <w:tcPr>
            <w:tcW w:w="1100" w:type="dxa"/>
            <w:vAlign w:val="bottom"/>
            <w:shd w:val="clear" w:color="auto" w:fill="102C5E"/>
          </w:tcPr>
          <w:p>
            <w:pPr>
              <w:spacing w:after="0"/>
              <w:rPr>
                <w:sz w:val="8"/>
                <w:szCs w:val="8"/>
                <w:color w:val="auto"/>
              </w:rPr>
            </w:pPr>
          </w:p>
        </w:tc>
        <w:tc>
          <w:tcPr>
            <w:tcW w:w="20" w:type="dxa"/>
            <w:vAlign w:val="bottom"/>
            <w:shd w:val="clear" w:color="auto" w:fill="102C5E"/>
          </w:tcPr>
          <w:p>
            <w:pPr>
              <w:spacing w:after="0"/>
              <w:rPr>
                <w:sz w:val="8"/>
                <w:szCs w:val="8"/>
                <w:color w:val="auto"/>
              </w:rPr>
            </w:pPr>
          </w:p>
        </w:tc>
        <w:tc>
          <w:tcPr>
            <w:tcW w:w="1100" w:type="dxa"/>
            <w:vAlign w:val="bottom"/>
            <w:shd w:val="clear" w:color="auto" w:fill="102C5E"/>
          </w:tcPr>
          <w:p>
            <w:pPr>
              <w:spacing w:after="0"/>
              <w:rPr>
                <w:sz w:val="8"/>
                <w:szCs w:val="8"/>
                <w:color w:val="auto"/>
              </w:rPr>
            </w:pPr>
          </w:p>
        </w:tc>
        <w:tc>
          <w:tcPr>
            <w:tcW w:w="20" w:type="dxa"/>
            <w:vAlign w:val="bottom"/>
            <w:shd w:val="clear" w:color="auto" w:fill="102C5E"/>
          </w:tcPr>
          <w:p>
            <w:pPr>
              <w:spacing w:after="0"/>
              <w:rPr>
                <w:sz w:val="8"/>
                <w:szCs w:val="8"/>
                <w:color w:val="auto"/>
              </w:rPr>
            </w:pPr>
          </w:p>
        </w:tc>
        <w:tc>
          <w:tcPr>
            <w:tcW w:w="1100" w:type="dxa"/>
            <w:vAlign w:val="bottom"/>
            <w:shd w:val="clear" w:color="auto" w:fill="102C5E"/>
          </w:tcPr>
          <w:p>
            <w:pPr>
              <w:spacing w:after="0"/>
              <w:rPr>
                <w:sz w:val="8"/>
                <w:szCs w:val="8"/>
                <w:color w:val="auto"/>
              </w:rPr>
            </w:pPr>
          </w:p>
        </w:tc>
        <w:tc>
          <w:tcPr>
            <w:tcW w:w="20" w:type="dxa"/>
            <w:vAlign w:val="bottom"/>
            <w:shd w:val="clear" w:color="auto" w:fill="102C5E"/>
          </w:tcPr>
          <w:p>
            <w:pPr>
              <w:spacing w:after="0"/>
              <w:rPr>
                <w:sz w:val="8"/>
                <w:szCs w:val="8"/>
                <w:color w:val="auto"/>
              </w:rPr>
            </w:pPr>
          </w:p>
        </w:tc>
        <w:tc>
          <w:tcPr>
            <w:tcW w:w="1160" w:type="dxa"/>
            <w:vAlign w:val="bottom"/>
            <w:tcBorders>
              <w:right w:val="single" w:sz="8" w:color="CCE9FF"/>
            </w:tcBorders>
            <w:shd w:val="clear" w:color="auto" w:fill="102C5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CCE9FF"/>
            </w:tcBorders>
            <w:shd w:val="clear" w:color="auto" w:fill="0093FF"/>
          </w:tcPr>
          <w:p>
            <w:pPr>
              <w:spacing w:after="0"/>
              <w:rPr>
                <w:sz w:val="22"/>
                <w:szCs w:val="22"/>
                <w:color w:val="auto"/>
              </w:rPr>
            </w:pPr>
          </w:p>
        </w:tc>
        <w:tc>
          <w:tcPr>
            <w:tcW w:w="1060" w:type="dxa"/>
            <w:vAlign w:val="bottom"/>
            <w:shd w:val="clear" w:color="auto" w:fill="0093FF"/>
          </w:tcPr>
          <w:p>
            <w:pPr>
              <w:spacing w:after="0"/>
              <w:rPr>
                <w:sz w:val="22"/>
                <w:szCs w:val="22"/>
                <w:color w:val="auto"/>
              </w:rPr>
            </w:pPr>
          </w:p>
        </w:tc>
        <w:tc>
          <w:tcPr>
            <w:tcW w:w="20" w:type="dxa"/>
            <w:vAlign w:val="bottom"/>
            <w:shd w:val="clear" w:color="auto" w:fill="0093FF"/>
          </w:tcPr>
          <w:p>
            <w:pPr>
              <w:spacing w:after="0"/>
              <w:rPr>
                <w:sz w:val="22"/>
                <w:szCs w:val="22"/>
                <w:color w:val="auto"/>
              </w:rPr>
            </w:pPr>
          </w:p>
        </w:tc>
        <w:tc>
          <w:tcPr>
            <w:tcW w:w="1080" w:type="dxa"/>
            <w:vAlign w:val="bottom"/>
            <w:shd w:val="clear" w:color="auto" w:fill="0093FF"/>
          </w:tcPr>
          <w:p>
            <w:pPr>
              <w:spacing w:after="0"/>
              <w:rPr>
                <w:sz w:val="22"/>
                <w:szCs w:val="22"/>
                <w:color w:val="auto"/>
              </w:rPr>
            </w:pPr>
          </w:p>
        </w:tc>
        <w:tc>
          <w:tcPr>
            <w:tcW w:w="40" w:type="dxa"/>
            <w:vAlign w:val="bottom"/>
            <w:shd w:val="clear" w:color="auto" w:fill="0093FF"/>
          </w:tcPr>
          <w:p>
            <w:pPr>
              <w:spacing w:after="0"/>
              <w:rPr>
                <w:sz w:val="22"/>
                <w:szCs w:val="22"/>
                <w:color w:val="auto"/>
              </w:rPr>
            </w:pPr>
          </w:p>
        </w:tc>
        <w:tc>
          <w:tcPr>
            <w:tcW w:w="1080" w:type="dxa"/>
            <w:vAlign w:val="bottom"/>
            <w:shd w:val="clear" w:color="auto" w:fill="0093FF"/>
          </w:tcPr>
          <w:p>
            <w:pPr>
              <w:spacing w:after="0"/>
              <w:rPr>
                <w:sz w:val="22"/>
                <w:szCs w:val="22"/>
                <w:color w:val="auto"/>
              </w:rPr>
            </w:pPr>
          </w:p>
        </w:tc>
        <w:tc>
          <w:tcPr>
            <w:tcW w:w="40" w:type="dxa"/>
            <w:vAlign w:val="bottom"/>
            <w:shd w:val="clear" w:color="auto" w:fill="0093FF"/>
          </w:tcPr>
          <w:p>
            <w:pPr>
              <w:spacing w:after="0"/>
              <w:rPr>
                <w:sz w:val="22"/>
                <w:szCs w:val="22"/>
                <w:color w:val="auto"/>
              </w:rPr>
            </w:pPr>
          </w:p>
        </w:tc>
        <w:tc>
          <w:tcPr>
            <w:tcW w:w="1080" w:type="dxa"/>
            <w:vAlign w:val="bottom"/>
            <w:shd w:val="clear" w:color="auto" w:fill="0093FF"/>
          </w:tcPr>
          <w:p>
            <w:pPr>
              <w:spacing w:after="0"/>
              <w:rPr>
                <w:sz w:val="22"/>
                <w:szCs w:val="22"/>
                <w:color w:val="auto"/>
              </w:rPr>
            </w:pPr>
          </w:p>
        </w:tc>
        <w:tc>
          <w:tcPr>
            <w:tcW w:w="40" w:type="dxa"/>
            <w:vAlign w:val="bottom"/>
            <w:shd w:val="clear" w:color="auto" w:fill="0093FF"/>
          </w:tcPr>
          <w:p>
            <w:pPr>
              <w:spacing w:after="0"/>
              <w:rPr>
                <w:sz w:val="22"/>
                <w:szCs w:val="22"/>
                <w:color w:val="auto"/>
              </w:rPr>
            </w:pPr>
          </w:p>
        </w:tc>
        <w:tc>
          <w:tcPr>
            <w:tcW w:w="1080" w:type="dxa"/>
            <w:vAlign w:val="bottom"/>
            <w:shd w:val="clear" w:color="auto" w:fill="0093FF"/>
          </w:tcPr>
          <w:p>
            <w:pPr>
              <w:spacing w:after="0"/>
              <w:rPr>
                <w:sz w:val="22"/>
                <w:szCs w:val="22"/>
                <w:color w:val="auto"/>
              </w:rPr>
            </w:pPr>
          </w:p>
        </w:tc>
        <w:tc>
          <w:tcPr>
            <w:tcW w:w="40" w:type="dxa"/>
            <w:vAlign w:val="bottom"/>
            <w:shd w:val="clear" w:color="auto" w:fill="0093FF"/>
          </w:tcPr>
          <w:p>
            <w:pPr>
              <w:spacing w:after="0"/>
              <w:rPr>
                <w:sz w:val="22"/>
                <w:szCs w:val="22"/>
                <w:color w:val="auto"/>
              </w:rPr>
            </w:pPr>
          </w:p>
        </w:tc>
        <w:tc>
          <w:tcPr>
            <w:tcW w:w="1100" w:type="dxa"/>
            <w:vAlign w:val="bottom"/>
            <w:shd w:val="clear" w:color="auto" w:fill="0093FF"/>
          </w:tcPr>
          <w:p>
            <w:pPr>
              <w:spacing w:after="0"/>
              <w:rPr>
                <w:sz w:val="22"/>
                <w:szCs w:val="22"/>
                <w:color w:val="auto"/>
              </w:rPr>
            </w:pPr>
          </w:p>
        </w:tc>
        <w:tc>
          <w:tcPr>
            <w:tcW w:w="20" w:type="dxa"/>
            <w:vAlign w:val="bottom"/>
            <w:shd w:val="clear" w:color="auto" w:fill="0093FF"/>
          </w:tcPr>
          <w:p>
            <w:pPr>
              <w:spacing w:after="0"/>
              <w:rPr>
                <w:sz w:val="22"/>
                <w:szCs w:val="22"/>
                <w:color w:val="auto"/>
              </w:rPr>
            </w:pPr>
          </w:p>
        </w:tc>
        <w:tc>
          <w:tcPr>
            <w:tcW w:w="1100" w:type="dxa"/>
            <w:vAlign w:val="bottom"/>
            <w:shd w:val="clear" w:color="auto" w:fill="0093FF"/>
          </w:tcPr>
          <w:p>
            <w:pPr>
              <w:spacing w:after="0"/>
              <w:rPr>
                <w:sz w:val="22"/>
                <w:szCs w:val="22"/>
                <w:color w:val="auto"/>
              </w:rPr>
            </w:pPr>
          </w:p>
        </w:tc>
        <w:tc>
          <w:tcPr>
            <w:tcW w:w="20" w:type="dxa"/>
            <w:vAlign w:val="bottom"/>
            <w:shd w:val="clear" w:color="auto" w:fill="0093FF"/>
          </w:tcPr>
          <w:p>
            <w:pPr>
              <w:spacing w:after="0"/>
              <w:rPr>
                <w:sz w:val="22"/>
                <w:szCs w:val="22"/>
                <w:color w:val="auto"/>
              </w:rPr>
            </w:pPr>
          </w:p>
        </w:tc>
        <w:tc>
          <w:tcPr>
            <w:tcW w:w="1100" w:type="dxa"/>
            <w:vAlign w:val="bottom"/>
            <w:shd w:val="clear" w:color="auto" w:fill="0093FF"/>
          </w:tcPr>
          <w:p>
            <w:pPr>
              <w:spacing w:after="0"/>
              <w:rPr>
                <w:sz w:val="22"/>
                <w:szCs w:val="22"/>
                <w:color w:val="auto"/>
              </w:rPr>
            </w:pPr>
          </w:p>
        </w:tc>
        <w:tc>
          <w:tcPr>
            <w:tcW w:w="20" w:type="dxa"/>
            <w:vAlign w:val="bottom"/>
            <w:shd w:val="clear" w:color="auto" w:fill="0093FF"/>
          </w:tcPr>
          <w:p>
            <w:pPr>
              <w:spacing w:after="0"/>
              <w:rPr>
                <w:sz w:val="22"/>
                <w:szCs w:val="22"/>
                <w:color w:val="auto"/>
              </w:rPr>
            </w:pP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Equity</w:t>
            </w:r>
          </w:p>
        </w:tc>
        <w:tc>
          <w:tcPr>
            <w:tcW w:w="1160" w:type="dxa"/>
            <w:vAlign w:val="bottom"/>
            <w:tcBorders>
              <w:right w:val="single" w:sz="8" w:color="CCE9FF"/>
            </w:tcBorders>
            <w:shd w:val="clear" w:color="auto" w:fill="0093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Incentive</w:t>
            </w:r>
          </w:p>
        </w:tc>
        <w:tc>
          <w:tcPr>
            <w:tcW w:w="1160" w:type="dxa"/>
            <w:vAlign w:val="bottom"/>
            <w:tcBorders>
              <w:right w:val="single" w:sz="8" w:color="CCE9FF"/>
            </w:tcBorders>
            <w:shd w:val="clear" w:color="auto" w:fill="0093FF"/>
          </w:tcPr>
          <w:p>
            <w:pPr>
              <w:jc w:val="right"/>
              <w:ind w:right="308"/>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Market</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Plan Awards:</w:t>
            </w:r>
          </w:p>
        </w:tc>
        <w:tc>
          <w:tcPr>
            <w:tcW w:w="1160" w:type="dxa"/>
            <w:vAlign w:val="bottom"/>
            <w:tcBorders>
              <w:right w:val="single" w:sz="8" w:color="CCE9FF"/>
            </w:tcBorders>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Incentive Plan</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Number of</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Value of</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Number of</w:t>
            </w:r>
          </w:p>
        </w:tc>
        <w:tc>
          <w:tcPr>
            <w:tcW w:w="1160" w:type="dxa"/>
            <w:vAlign w:val="bottom"/>
            <w:tcBorders>
              <w:right w:val="single" w:sz="8" w:color="CCE9FF"/>
            </w:tcBorders>
            <w:shd w:val="clear" w:color="auto" w:fill="0093FF"/>
          </w:tcPr>
          <w:p>
            <w:pPr>
              <w:jc w:val="center"/>
              <w:spacing w:after="0"/>
              <w:rPr>
                <w:sz w:val="20"/>
                <w:szCs w:val="20"/>
                <w:color w:val="auto"/>
              </w:rPr>
            </w:pPr>
            <w:r>
              <w:rPr>
                <w:rFonts w:ascii="Arial" w:cs="Arial" w:eastAsia="Arial" w:hAnsi="Arial"/>
                <w:sz w:val="14"/>
                <w:szCs w:val="14"/>
                <w:b w:val="1"/>
                <w:bCs w:val="1"/>
                <w:color w:val="FFFFFF"/>
              </w:rPr>
              <w:t>Awards: Market</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right"/>
              <w:ind w:right="360"/>
              <w:spacing w:after="0"/>
              <w:rPr>
                <w:sz w:val="20"/>
                <w:szCs w:val="20"/>
                <w:color w:val="auto"/>
              </w:rPr>
            </w:pPr>
            <w:r>
              <w:rPr>
                <w:rFonts w:ascii="Arial" w:cs="Arial" w:eastAsia="Arial" w:hAnsi="Arial"/>
                <w:sz w:val="14"/>
                <w:szCs w:val="14"/>
                <w:b w:val="1"/>
                <w:bCs w:val="1"/>
                <w:color w:val="FFFFFF"/>
              </w:rPr>
              <w:t>Shares</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Shares or</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Unearned</w:t>
            </w:r>
          </w:p>
        </w:tc>
        <w:tc>
          <w:tcPr>
            <w:tcW w:w="1160" w:type="dxa"/>
            <w:vAlign w:val="bottom"/>
            <w:tcBorders>
              <w:right w:val="single" w:sz="8" w:color="CCE9FF"/>
            </w:tcBorders>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or Payout Value</w:t>
            </w:r>
          </w:p>
        </w:tc>
        <w:tc>
          <w:tcPr>
            <w:tcW w:w="0" w:type="dxa"/>
            <w:vAlign w:val="bottom"/>
          </w:tcPr>
          <w:p>
            <w:pPr>
              <w:spacing w:after="0"/>
              <w:rPr>
                <w:sz w:val="1"/>
                <w:szCs w:val="1"/>
                <w:color w:val="auto"/>
              </w:rPr>
            </w:pPr>
          </w:p>
        </w:tc>
      </w:tr>
      <w:tr>
        <w:trPr>
          <w:trHeight w:val="175"/>
        </w:trPr>
        <w:tc>
          <w:tcPr>
            <w:tcW w:w="40" w:type="dxa"/>
            <w:vAlign w:val="bottom"/>
            <w:tcBorders>
              <w:left w:val="single" w:sz="8" w:color="CCE9FF"/>
            </w:tcBorders>
            <w:shd w:val="clear" w:color="auto" w:fill="0093FF"/>
          </w:tcPr>
          <w:p>
            <w:pPr>
              <w:spacing w:after="0"/>
              <w:rPr>
                <w:sz w:val="15"/>
                <w:szCs w:val="15"/>
                <w:color w:val="auto"/>
              </w:rPr>
            </w:pPr>
          </w:p>
        </w:tc>
        <w:tc>
          <w:tcPr>
            <w:tcW w:w="1060" w:type="dxa"/>
            <w:vAlign w:val="bottom"/>
            <w:shd w:val="clear" w:color="auto" w:fill="0093FF"/>
          </w:tcPr>
          <w:p>
            <w:pPr>
              <w:spacing w:after="0"/>
              <w:rPr>
                <w:sz w:val="15"/>
                <w:szCs w:val="15"/>
                <w:color w:val="auto"/>
              </w:rPr>
            </w:pPr>
          </w:p>
        </w:tc>
        <w:tc>
          <w:tcPr>
            <w:tcW w:w="20" w:type="dxa"/>
            <w:vAlign w:val="bottom"/>
            <w:shd w:val="clear" w:color="auto" w:fill="0093FF"/>
          </w:tcPr>
          <w:p>
            <w:pPr>
              <w:spacing w:after="0"/>
              <w:rPr>
                <w:sz w:val="15"/>
                <w:szCs w:val="15"/>
                <w:color w:val="auto"/>
              </w:rPr>
            </w:pPr>
          </w:p>
        </w:tc>
        <w:tc>
          <w:tcPr>
            <w:tcW w:w="1080" w:type="dxa"/>
            <w:vAlign w:val="bottom"/>
            <w:shd w:val="clear" w:color="auto" w:fill="0093FF"/>
          </w:tcPr>
          <w:p>
            <w:pPr>
              <w:spacing w:after="0"/>
              <w:rPr>
                <w:sz w:val="15"/>
                <w:szCs w:val="15"/>
                <w:color w:val="auto"/>
              </w:rPr>
            </w:pPr>
          </w:p>
        </w:tc>
        <w:tc>
          <w:tcPr>
            <w:tcW w:w="40" w:type="dxa"/>
            <w:vAlign w:val="bottom"/>
            <w:shd w:val="clear" w:color="auto" w:fill="0093FF"/>
          </w:tcPr>
          <w:p>
            <w:pPr>
              <w:spacing w:after="0"/>
              <w:rPr>
                <w:sz w:val="15"/>
                <w:szCs w:val="15"/>
                <w:color w:val="auto"/>
              </w:rPr>
            </w:pP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Number of</w:t>
            </w: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Number of</w:t>
            </w:r>
          </w:p>
        </w:tc>
        <w:tc>
          <w:tcPr>
            <w:tcW w:w="1080" w:type="dxa"/>
            <w:vAlign w:val="bottom"/>
            <w:shd w:val="clear" w:color="auto" w:fill="0093FF"/>
          </w:tcPr>
          <w:p>
            <w:pPr>
              <w:spacing w:after="0"/>
              <w:rPr>
                <w:sz w:val="15"/>
                <w:szCs w:val="15"/>
                <w:color w:val="auto"/>
              </w:rPr>
            </w:pPr>
          </w:p>
        </w:tc>
        <w:tc>
          <w:tcPr>
            <w:tcW w:w="40" w:type="dxa"/>
            <w:vAlign w:val="bottom"/>
            <w:shd w:val="clear" w:color="auto" w:fill="0093FF"/>
          </w:tcPr>
          <w:p>
            <w:pPr>
              <w:spacing w:after="0"/>
              <w:rPr>
                <w:sz w:val="15"/>
                <w:szCs w:val="15"/>
                <w:color w:val="auto"/>
              </w:rPr>
            </w:pPr>
          </w:p>
        </w:tc>
        <w:tc>
          <w:tcPr>
            <w:tcW w:w="1100" w:type="dxa"/>
            <w:vAlign w:val="bottom"/>
            <w:shd w:val="clear" w:color="auto" w:fill="0093FF"/>
          </w:tcPr>
          <w:p>
            <w:pPr>
              <w:spacing w:after="0"/>
              <w:rPr>
                <w:sz w:val="15"/>
                <w:szCs w:val="15"/>
                <w:color w:val="auto"/>
              </w:rPr>
            </w:pPr>
          </w:p>
        </w:tc>
        <w:tc>
          <w:tcPr>
            <w:tcW w:w="20" w:type="dxa"/>
            <w:vAlign w:val="bottom"/>
            <w:shd w:val="clear" w:color="auto" w:fill="0093FF"/>
          </w:tcPr>
          <w:p>
            <w:pPr>
              <w:spacing w:after="0"/>
              <w:rPr>
                <w:sz w:val="15"/>
                <w:szCs w:val="15"/>
                <w:color w:val="auto"/>
              </w:rPr>
            </w:pP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or Units</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Units of</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Shares, Units</w:t>
            </w:r>
          </w:p>
        </w:tc>
        <w:tc>
          <w:tcPr>
            <w:tcW w:w="1160" w:type="dxa"/>
            <w:vAlign w:val="bottom"/>
            <w:tcBorders>
              <w:right w:val="single" w:sz="8" w:color="CCE9FF"/>
            </w:tcBorders>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Securities</w:t>
            </w: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Securities</w:t>
            </w: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right"/>
              <w:ind w:right="320"/>
              <w:spacing w:after="0"/>
              <w:rPr>
                <w:sz w:val="20"/>
                <w:szCs w:val="20"/>
                <w:color w:val="auto"/>
              </w:rPr>
            </w:pPr>
            <w:r>
              <w:rPr>
                <w:rFonts w:ascii="Arial" w:cs="Arial" w:eastAsia="Arial" w:hAnsi="Arial"/>
                <w:sz w:val="14"/>
                <w:szCs w:val="14"/>
                <w:b w:val="1"/>
                <w:bCs w:val="1"/>
                <w:color w:val="FFFFFF"/>
              </w:rPr>
              <w:t>of Stock</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Stock</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or Other</w:t>
            </w:r>
          </w:p>
        </w:tc>
        <w:tc>
          <w:tcPr>
            <w:tcW w:w="1160" w:type="dxa"/>
            <w:vAlign w:val="bottom"/>
            <w:tcBorders>
              <w:right w:val="single" w:sz="8" w:color="CCE9FF"/>
            </w:tcBorders>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Option /</w:t>
            </w:r>
          </w:p>
        </w:tc>
        <w:tc>
          <w:tcPr>
            <w:tcW w:w="1120" w:type="dxa"/>
            <w:vAlign w:val="bottom"/>
            <w:gridSpan w:val="2"/>
            <w:shd w:val="clear" w:color="auto" w:fill="0093FF"/>
          </w:tcPr>
          <w:p>
            <w:pPr>
              <w:jc w:val="right"/>
              <w:ind w:right="220"/>
              <w:spacing w:after="0"/>
              <w:rPr>
                <w:sz w:val="20"/>
                <w:szCs w:val="20"/>
                <w:color w:val="auto"/>
              </w:rPr>
            </w:pPr>
            <w:r>
              <w:rPr>
                <w:rFonts w:ascii="Arial" w:cs="Arial" w:eastAsia="Arial" w:hAnsi="Arial"/>
                <w:sz w:val="14"/>
                <w:szCs w:val="14"/>
                <w:b w:val="1"/>
                <w:bCs w:val="1"/>
                <w:color w:val="FFFFFF"/>
              </w:rPr>
              <w:t>Underlying</w:t>
            </w: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Underlying</w:t>
            </w:r>
          </w:p>
        </w:tc>
        <w:tc>
          <w:tcPr>
            <w:tcW w:w="1080" w:type="dxa"/>
            <w:vAlign w:val="bottom"/>
            <w:shd w:val="clear" w:color="auto" w:fill="0093FF"/>
          </w:tcPr>
          <w:p>
            <w:pPr>
              <w:spacing w:after="0"/>
              <w:rPr>
                <w:sz w:val="14"/>
                <w:szCs w:val="14"/>
                <w:color w:val="auto"/>
              </w:rPr>
            </w:pPr>
          </w:p>
        </w:tc>
        <w:tc>
          <w:tcPr>
            <w:tcW w:w="40" w:type="dxa"/>
            <w:vAlign w:val="bottom"/>
            <w:shd w:val="clear" w:color="auto" w:fill="0093FF"/>
          </w:tcPr>
          <w:p>
            <w:pPr>
              <w:spacing w:after="0"/>
              <w:rPr>
                <w:sz w:val="14"/>
                <w:szCs w:val="14"/>
                <w:color w:val="auto"/>
              </w:rPr>
            </w:pPr>
          </w:p>
        </w:tc>
        <w:tc>
          <w:tcPr>
            <w:tcW w:w="110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That</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That Have</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Rights That</w:t>
            </w:r>
          </w:p>
        </w:tc>
        <w:tc>
          <w:tcPr>
            <w:tcW w:w="1160" w:type="dxa"/>
            <w:vAlign w:val="bottom"/>
            <w:tcBorders>
              <w:right w:val="single" w:sz="8" w:color="CCE9FF"/>
            </w:tcBorders>
            <w:shd w:val="clear" w:color="auto" w:fill="0093FF"/>
          </w:tcPr>
          <w:p>
            <w:pPr>
              <w:jc w:val="center"/>
              <w:spacing w:after="0"/>
              <w:rPr>
                <w:sz w:val="20"/>
                <w:szCs w:val="20"/>
                <w:color w:val="auto"/>
              </w:rPr>
            </w:pPr>
            <w:r>
              <w:rPr>
                <w:rFonts w:ascii="Arial" w:cs="Arial" w:eastAsia="Arial" w:hAnsi="Arial"/>
                <w:sz w:val="14"/>
                <w:szCs w:val="14"/>
                <w:b w:val="1"/>
                <w:bCs w:val="1"/>
                <w:color w:val="FFFFFF"/>
              </w:rPr>
              <w:t>or Other Rights</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w w:val="99"/>
              </w:rPr>
              <w:t>Stock</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Unexercised</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Unexercised</w:t>
            </w:r>
          </w:p>
        </w:tc>
        <w:tc>
          <w:tcPr>
            <w:tcW w:w="1120" w:type="dxa"/>
            <w:vAlign w:val="bottom"/>
            <w:gridSpan w:val="2"/>
            <w:shd w:val="clear" w:color="auto" w:fill="0093FF"/>
          </w:tcPr>
          <w:p>
            <w:pPr>
              <w:ind w:left="300"/>
              <w:spacing w:after="0"/>
              <w:rPr>
                <w:sz w:val="20"/>
                <w:szCs w:val="20"/>
                <w:color w:val="auto"/>
              </w:rPr>
            </w:pPr>
            <w:r>
              <w:rPr>
                <w:rFonts w:ascii="Arial" w:cs="Arial" w:eastAsia="Arial" w:hAnsi="Arial"/>
                <w:sz w:val="14"/>
                <w:szCs w:val="14"/>
                <w:b w:val="1"/>
                <w:bCs w:val="1"/>
                <w:color w:val="FFFFFF"/>
              </w:rPr>
              <w:t>Option</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Option</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Have Not</w:t>
            </w:r>
          </w:p>
        </w:tc>
        <w:tc>
          <w:tcPr>
            <w:tcW w:w="1120" w:type="dxa"/>
            <w:vAlign w:val="bottom"/>
            <w:gridSpan w:val="2"/>
            <w:shd w:val="clear" w:color="auto" w:fill="0093FF"/>
          </w:tcPr>
          <w:p>
            <w:pPr>
              <w:jc w:val="center"/>
              <w:ind w:right="80"/>
              <w:spacing w:after="0"/>
              <w:rPr>
                <w:sz w:val="20"/>
                <w:szCs w:val="20"/>
                <w:color w:val="auto"/>
              </w:rPr>
            </w:pPr>
            <w:r>
              <w:rPr>
                <w:rFonts w:ascii="Arial" w:cs="Arial" w:eastAsia="Arial" w:hAnsi="Arial"/>
                <w:sz w:val="14"/>
                <w:szCs w:val="14"/>
                <w:b w:val="1"/>
                <w:bCs w:val="1"/>
                <w:color w:val="FFFFFF"/>
              </w:rPr>
              <w:t>Not</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Have Not</w:t>
            </w:r>
          </w:p>
        </w:tc>
        <w:tc>
          <w:tcPr>
            <w:tcW w:w="1160" w:type="dxa"/>
            <w:vAlign w:val="bottom"/>
            <w:tcBorders>
              <w:right w:val="single" w:sz="8" w:color="CCE9FF"/>
            </w:tcBorders>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0093FF"/>
          </w:tcPr>
          <w:p>
            <w:pPr>
              <w:spacing w:after="0"/>
              <w:rPr>
                <w:sz w:val="14"/>
                <w:szCs w:val="14"/>
                <w:color w:val="auto"/>
              </w:rPr>
            </w:pPr>
          </w:p>
        </w:tc>
        <w:tc>
          <w:tcPr>
            <w:tcW w:w="1060" w:type="dxa"/>
            <w:vAlign w:val="bottom"/>
            <w:shd w:val="clear" w:color="auto" w:fill="0093FF"/>
          </w:tcPr>
          <w:p>
            <w:pPr>
              <w:spacing w:after="0"/>
              <w:rPr>
                <w:sz w:val="14"/>
                <w:szCs w:val="14"/>
                <w:color w:val="auto"/>
              </w:rPr>
            </w:pPr>
          </w:p>
        </w:tc>
        <w:tc>
          <w:tcPr>
            <w:tcW w:w="20" w:type="dxa"/>
            <w:vAlign w:val="bottom"/>
            <w:shd w:val="clear" w:color="auto" w:fill="0093FF"/>
          </w:tcPr>
          <w:p>
            <w:pPr>
              <w:spacing w:after="0"/>
              <w:rPr>
                <w:sz w:val="14"/>
                <w:szCs w:val="14"/>
                <w:color w:val="auto"/>
              </w:rPr>
            </w:pP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w w:val="98"/>
              </w:rPr>
              <w:t>Award</w:t>
            </w: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Options (#)</w:t>
            </w:r>
          </w:p>
        </w:tc>
        <w:tc>
          <w:tcPr>
            <w:tcW w:w="1120" w:type="dxa"/>
            <w:vAlign w:val="bottom"/>
            <w:gridSpan w:val="2"/>
            <w:shd w:val="clear" w:color="auto" w:fill="0093FF"/>
          </w:tcPr>
          <w:p>
            <w:pPr>
              <w:jc w:val="center"/>
              <w:ind w:right="40"/>
              <w:spacing w:after="0"/>
              <w:rPr>
                <w:sz w:val="20"/>
                <w:szCs w:val="20"/>
                <w:color w:val="auto"/>
              </w:rPr>
            </w:pPr>
            <w:r>
              <w:rPr>
                <w:rFonts w:ascii="Arial" w:cs="Arial" w:eastAsia="Arial" w:hAnsi="Arial"/>
                <w:sz w:val="14"/>
                <w:szCs w:val="14"/>
                <w:b w:val="1"/>
                <w:bCs w:val="1"/>
                <w:color w:val="FFFFFF"/>
              </w:rPr>
              <w:t>Options (#)</w:t>
            </w:r>
          </w:p>
        </w:tc>
        <w:tc>
          <w:tcPr>
            <w:tcW w:w="1120" w:type="dxa"/>
            <w:vAlign w:val="bottom"/>
            <w:gridSpan w:val="2"/>
            <w:shd w:val="clear" w:color="auto" w:fill="0093FF"/>
          </w:tcPr>
          <w:p>
            <w:pPr>
              <w:ind w:left="240"/>
              <w:spacing w:after="0"/>
              <w:rPr>
                <w:sz w:val="20"/>
                <w:szCs w:val="20"/>
                <w:color w:val="auto"/>
              </w:rPr>
            </w:pPr>
            <w:r>
              <w:rPr>
                <w:rFonts w:ascii="Arial" w:cs="Arial" w:eastAsia="Arial" w:hAnsi="Arial"/>
                <w:sz w:val="14"/>
                <w:szCs w:val="14"/>
                <w:b w:val="1"/>
                <w:bCs w:val="1"/>
                <w:color w:val="FFFFFF"/>
              </w:rPr>
              <w:t>Exercise</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Expiration</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Vested</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Vested</w:t>
            </w:r>
          </w:p>
        </w:tc>
        <w:tc>
          <w:tcPr>
            <w:tcW w:w="1120" w:type="dxa"/>
            <w:vAlign w:val="bottom"/>
            <w:gridSpan w:val="2"/>
            <w:shd w:val="clear" w:color="auto" w:fill="0093FF"/>
          </w:tcPr>
          <w:p>
            <w:pPr>
              <w:jc w:val="center"/>
              <w:ind w:right="60"/>
              <w:spacing w:after="0"/>
              <w:rPr>
                <w:sz w:val="20"/>
                <w:szCs w:val="20"/>
                <w:color w:val="auto"/>
              </w:rPr>
            </w:pPr>
            <w:r>
              <w:rPr>
                <w:rFonts w:ascii="Arial" w:cs="Arial" w:eastAsia="Arial" w:hAnsi="Arial"/>
                <w:sz w:val="14"/>
                <w:szCs w:val="14"/>
                <w:b w:val="1"/>
                <w:bCs w:val="1"/>
                <w:color w:val="FFFFFF"/>
              </w:rPr>
              <w:t>Vested</w:t>
            </w:r>
          </w:p>
        </w:tc>
        <w:tc>
          <w:tcPr>
            <w:tcW w:w="1160" w:type="dxa"/>
            <w:vAlign w:val="bottom"/>
            <w:tcBorders>
              <w:right w:val="single" w:sz="8" w:color="CCE9FF"/>
            </w:tcBorders>
            <w:shd w:val="clear" w:color="auto" w:fill="0093FF"/>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0093FF"/>
          </w:tcPr>
          <w:p>
            <w:pPr>
              <w:spacing w:after="0"/>
              <w:rPr>
                <w:sz w:val="16"/>
                <w:szCs w:val="16"/>
                <w:color w:val="auto"/>
              </w:rPr>
            </w:pPr>
          </w:p>
        </w:tc>
        <w:tc>
          <w:tcPr>
            <w:tcW w:w="1080" w:type="dxa"/>
            <w:vAlign w:val="bottom"/>
            <w:gridSpan w:val="2"/>
            <w:shd w:val="clear" w:color="auto" w:fill="0093FF"/>
          </w:tcPr>
          <w:p>
            <w:pPr>
              <w:ind w:left="340"/>
              <w:spacing w:after="0"/>
              <w:rPr>
                <w:sz w:val="20"/>
                <w:szCs w:val="20"/>
                <w:color w:val="auto"/>
              </w:rPr>
            </w:pPr>
            <w:r>
              <w:rPr>
                <w:rFonts w:ascii="Arial" w:cs="Arial" w:eastAsia="Arial" w:hAnsi="Arial"/>
                <w:sz w:val="14"/>
                <w:szCs w:val="14"/>
                <w:b w:val="1"/>
                <w:bCs w:val="1"/>
                <w:color w:val="FFFFFF"/>
              </w:rPr>
              <w:t>Name</w:t>
            </w:r>
          </w:p>
        </w:tc>
        <w:tc>
          <w:tcPr>
            <w:tcW w:w="1120" w:type="dxa"/>
            <w:vAlign w:val="bottom"/>
            <w:gridSpan w:val="2"/>
            <w:shd w:val="clear" w:color="auto" w:fill="0093FF"/>
          </w:tcPr>
          <w:p>
            <w:pPr>
              <w:jc w:val="right"/>
              <w:ind w:right="200"/>
              <w:spacing w:after="0"/>
              <w:rPr>
                <w:sz w:val="20"/>
                <w:szCs w:val="20"/>
                <w:color w:val="auto"/>
              </w:rPr>
            </w:pPr>
            <w:r>
              <w:rPr>
                <w:rFonts w:ascii="Arial" w:cs="Arial" w:eastAsia="Arial" w:hAnsi="Arial"/>
                <w:sz w:val="14"/>
                <w:szCs w:val="14"/>
                <w:b w:val="1"/>
                <w:bCs w:val="1"/>
                <w:color w:val="FFFFFF"/>
              </w:rPr>
              <w:t>Grant Date</w:t>
            </w:r>
          </w:p>
        </w:tc>
        <w:tc>
          <w:tcPr>
            <w:tcW w:w="1120" w:type="dxa"/>
            <w:vAlign w:val="bottom"/>
            <w:gridSpan w:val="2"/>
            <w:shd w:val="clear" w:color="auto" w:fill="0093FF"/>
          </w:tcPr>
          <w:p>
            <w:pPr>
              <w:jc w:val="center"/>
              <w:ind w:right="40"/>
              <w:spacing w:after="0" w:line="189" w:lineRule="exact"/>
              <w:rPr>
                <w:sz w:val="20"/>
                <w:szCs w:val="20"/>
                <w:color w:val="auto"/>
              </w:rPr>
            </w:pPr>
            <w:r>
              <w:rPr>
                <w:rFonts w:ascii="Arial" w:cs="Arial" w:eastAsia="Arial" w:hAnsi="Arial"/>
                <w:sz w:val="13"/>
                <w:szCs w:val="13"/>
                <w:b w:val="1"/>
                <w:bCs w:val="1"/>
                <w:color w:val="FFFFFF"/>
              </w:rPr>
              <w:t>Exercisable</w:t>
            </w:r>
            <w:r>
              <w:rPr>
                <w:rFonts w:ascii="Arial" w:cs="Arial" w:eastAsia="Arial" w:hAnsi="Arial"/>
                <w:sz w:val="21"/>
                <w:szCs w:val="21"/>
                <w:b w:val="1"/>
                <w:bCs w:val="1"/>
                <w:color w:val="FFFFFF"/>
                <w:vertAlign w:val="superscript"/>
              </w:rPr>
              <w:t>(1)</w:t>
            </w:r>
          </w:p>
        </w:tc>
        <w:tc>
          <w:tcPr>
            <w:tcW w:w="1120" w:type="dxa"/>
            <w:vAlign w:val="bottom"/>
            <w:gridSpan w:val="2"/>
            <w:shd w:val="clear" w:color="auto" w:fill="0093FF"/>
          </w:tcPr>
          <w:p>
            <w:pPr>
              <w:jc w:val="center"/>
              <w:ind w:right="20"/>
              <w:spacing w:after="0"/>
              <w:rPr>
                <w:sz w:val="20"/>
                <w:szCs w:val="20"/>
                <w:color w:val="auto"/>
              </w:rPr>
            </w:pPr>
            <w:r>
              <w:rPr>
                <w:rFonts w:ascii="Arial" w:cs="Arial" w:eastAsia="Arial" w:hAnsi="Arial"/>
                <w:sz w:val="14"/>
                <w:szCs w:val="14"/>
                <w:b w:val="1"/>
                <w:bCs w:val="1"/>
                <w:color w:val="FFFFFF"/>
              </w:rPr>
              <w:t>Unexercisable</w:t>
            </w:r>
          </w:p>
        </w:tc>
        <w:tc>
          <w:tcPr>
            <w:tcW w:w="1120" w:type="dxa"/>
            <w:vAlign w:val="bottom"/>
            <w:gridSpan w:val="2"/>
            <w:shd w:val="clear" w:color="auto" w:fill="0093FF"/>
          </w:tcPr>
          <w:p>
            <w:pPr>
              <w:ind w:left="260"/>
              <w:spacing w:after="0"/>
              <w:rPr>
                <w:sz w:val="20"/>
                <w:szCs w:val="20"/>
                <w:color w:val="auto"/>
              </w:rPr>
            </w:pPr>
            <w:r>
              <w:rPr>
                <w:rFonts w:ascii="Arial" w:cs="Arial" w:eastAsia="Arial" w:hAnsi="Arial"/>
                <w:sz w:val="14"/>
                <w:szCs w:val="14"/>
                <w:b w:val="1"/>
                <w:bCs w:val="1"/>
                <w:color w:val="FFFFFF"/>
              </w:rPr>
              <w:t>Price ($)</w:t>
            </w:r>
          </w:p>
        </w:tc>
        <w:tc>
          <w:tcPr>
            <w:tcW w:w="1120" w:type="dxa"/>
            <w:vAlign w:val="bottom"/>
            <w:gridSpan w:val="2"/>
            <w:shd w:val="clear" w:color="auto" w:fill="0093FF"/>
          </w:tcPr>
          <w:p>
            <w:pPr>
              <w:jc w:val="right"/>
              <w:ind w:right="460"/>
              <w:spacing w:after="0"/>
              <w:rPr>
                <w:sz w:val="20"/>
                <w:szCs w:val="20"/>
                <w:color w:val="auto"/>
              </w:rPr>
            </w:pPr>
            <w:r>
              <w:rPr>
                <w:rFonts w:ascii="Arial" w:cs="Arial" w:eastAsia="Arial" w:hAnsi="Arial"/>
                <w:sz w:val="14"/>
                <w:szCs w:val="14"/>
                <w:b w:val="1"/>
                <w:bCs w:val="1"/>
                <w:color w:val="FFFFFF"/>
              </w:rPr>
              <w:t>Date</w:t>
            </w:r>
          </w:p>
        </w:tc>
        <w:tc>
          <w:tcPr>
            <w:tcW w:w="1100" w:type="dxa"/>
            <w:vAlign w:val="bottom"/>
            <w:shd w:val="clear" w:color="auto" w:fill="0093FF"/>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(2)</w:t>
            </w:r>
          </w:p>
        </w:tc>
        <w:tc>
          <w:tcPr>
            <w:tcW w:w="20" w:type="dxa"/>
            <w:vAlign w:val="bottom"/>
            <w:shd w:val="clear" w:color="auto" w:fill="0093FF"/>
          </w:tcPr>
          <w:p>
            <w:pPr>
              <w:spacing w:after="0"/>
              <w:rPr>
                <w:sz w:val="16"/>
                <w:szCs w:val="16"/>
                <w:color w:val="auto"/>
              </w:rPr>
            </w:pPr>
          </w:p>
        </w:tc>
        <w:tc>
          <w:tcPr>
            <w:tcW w:w="1100" w:type="dxa"/>
            <w:vAlign w:val="bottom"/>
            <w:shd w:val="clear" w:color="auto" w:fill="0093FF"/>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(4)</w:t>
            </w:r>
          </w:p>
        </w:tc>
        <w:tc>
          <w:tcPr>
            <w:tcW w:w="20" w:type="dxa"/>
            <w:vAlign w:val="bottom"/>
            <w:shd w:val="clear" w:color="auto" w:fill="0093FF"/>
          </w:tcPr>
          <w:p>
            <w:pPr>
              <w:spacing w:after="0"/>
              <w:rPr>
                <w:sz w:val="16"/>
                <w:szCs w:val="16"/>
                <w:color w:val="auto"/>
              </w:rPr>
            </w:pPr>
          </w:p>
        </w:tc>
        <w:tc>
          <w:tcPr>
            <w:tcW w:w="1100" w:type="dxa"/>
            <w:vAlign w:val="bottom"/>
            <w:shd w:val="clear" w:color="auto" w:fill="0093FF"/>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(3)</w:t>
            </w:r>
          </w:p>
        </w:tc>
        <w:tc>
          <w:tcPr>
            <w:tcW w:w="20" w:type="dxa"/>
            <w:vAlign w:val="bottom"/>
            <w:shd w:val="clear" w:color="auto" w:fill="0093FF"/>
          </w:tcPr>
          <w:p>
            <w:pPr>
              <w:spacing w:after="0"/>
              <w:rPr>
                <w:sz w:val="16"/>
                <w:szCs w:val="16"/>
                <w:color w:val="auto"/>
              </w:rPr>
            </w:pPr>
          </w:p>
        </w:tc>
        <w:tc>
          <w:tcPr>
            <w:tcW w:w="1160" w:type="dxa"/>
            <w:vAlign w:val="bottom"/>
            <w:tcBorders>
              <w:right w:val="single" w:sz="8" w:color="CCE9FF"/>
            </w:tcBorders>
            <w:shd w:val="clear" w:color="auto" w:fill="0093FF"/>
          </w:tcPr>
          <w:p>
            <w:pPr>
              <w:jc w:val="right"/>
              <w:ind w:right="368"/>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1"/>
                <w:szCs w:val="21"/>
                <w:b w:val="1"/>
                <w:bCs w:val="1"/>
                <w:color w:val="FFFFFF"/>
                <w:vertAlign w:val="superscript"/>
              </w:rPr>
              <w:t>(4)</w:t>
            </w:r>
          </w:p>
        </w:tc>
        <w:tc>
          <w:tcPr>
            <w:tcW w:w="0" w:type="dxa"/>
            <w:vAlign w:val="bottom"/>
          </w:tcPr>
          <w:p>
            <w:pPr>
              <w:spacing w:after="0"/>
              <w:rPr>
                <w:sz w:val="1"/>
                <w:szCs w:val="1"/>
                <w:color w:val="auto"/>
              </w:rPr>
            </w:pPr>
          </w:p>
        </w:tc>
      </w:tr>
      <w:tr>
        <w:trPr>
          <w:trHeight w:val="101"/>
        </w:trPr>
        <w:tc>
          <w:tcPr>
            <w:tcW w:w="40" w:type="dxa"/>
            <w:vAlign w:val="bottom"/>
            <w:tcBorders>
              <w:top w:val="single" w:sz="8" w:color="0093FF"/>
              <w:left w:val="single" w:sz="8" w:color="CCE9FF"/>
            </w:tcBorders>
            <w:shd w:val="clear" w:color="auto" w:fill="0093FF"/>
          </w:tcPr>
          <w:p>
            <w:pPr>
              <w:spacing w:after="0"/>
              <w:rPr>
                <w:sz w:val="8"/>
                <w:szCs w:val="8"/>
                <w:color w:val="auto"/>
              </w:rPr>
            </w:pPr>
          </w:p>
        </w:tc>
        <w:tc>
          <w:tcPr>
            <w:tcW w:w="1060" w:type="dxa"/>
            <w:vAlign w:val="bottom"/>
            <w:tcBorders>
              <w:top w:val="single" w:sz="8" w:color="auto"/>
            </w:tcBorders>
            <w:shd w:val="clear" w:color="auto" w:fill="0093FF"/>
          </w:tcPr>
          <w:p>
            <w:pPr>
              <w:spacing w:after="0"/>
              <w:rPr>
                <w:sz w:val="8"/>
                <w:szCs w:val="8"/>
                <w:color w:val="auto"/>
              </w:rPr>
            </w:pPr>
          </w:p>
        </w:tc>
        <w:tc>
          <w:tcPr>
            <w:tcW w:w="20" w:type="dxa"/>
            <w:vAlign w:val="bottom"/>
            <w:tcBorders>
              <w:top w:val="single" w:sz="8" w:color="0093FF"/>
            </w:tcBorders>
            <w:shd w:val="clear" w:color="auto" w:fill="0093FF"/>
          </w:tcPr>
          <w:p>
            <w:pPr>
              <w:spacing w:after="0"/>
              <w:rPr>
                <w:sz w:val="8"/>
                <w:szCs w:val="8"/>
                <w:color w:val="auto"/>
              </w:rPr>
            </w:pPr>
          </w:p>
        </w:tc>
        <w:tc>
          <w:tcPr>
            <w:tcW w:w="1080" w:type="dxa"/>
            <w:vAlign w:val="bottom"/>
            <w:tcBorders>
              <w:top w:val="single" w:sz="8" w:color="auto"/>
            </w:tcBorders>
            <w:shd w:val="clear" w:color="auto" w:fill="0093FF"/>
          </w:tcPr>
          <w:p>
            <w:pPr>
              <w:spacing w:after="0"/>
              <w:rPr>
                <w:sz w:val="8"/>
                <w:szCs w:val="8"/>
                <w:color w:val="auto"/>
              </w:rPr>
            </w:pPr>
          </w:p>
        </w:tc>
        <w:tc>
          <w:tcPr>
            <w:tcW w:w="40" w:type="dxa"/>
            <w:vAlign w:val="bottom"/>
            <w:tcBorders>
              <w:top w:val="single" w:sz="8" w:color="0093FF"/>
            </w:tcBorders>
            <w:shd w:val="clear" w:color="auto" w:fill="0093FF"/>
          </w:tcPr>
          <w:p>
            <w:pPr>
              <w:spacing w:after="0"/>
              <w:rPr>
                <w:sz w:val="8"/>
                <w:szCs w:val="8"/>
                <w:color w:val="auto"/>
              </w:rPr>
            </w:pPr>
          </w:p>
        </w:tc>
        <w:tc>
          <w:tcPr>
            <w:tcW w:w="1080" w:type="dxa"/>
            <w:vAlign w:val="bottom"/>
            <w:tcBorders>
              <w:top w:val="single" w:sz="8" w:color="auto"/>
            </w:tcBorders>
            <w:shd w:val="clear" w:color="auto" w:fill="0093FF"/>
          </w:tcPr>
          <w:p>
            <w:pPr>
              <w:spacing w:after="0"/>
              <w:rPr>
                <w:sz w:val="8"/>
                <w:szCs w:val="8"/>
                <w:color w:val="auto"/>
              </w:rPr>
            </w:pPr>
          </w:p>
        </w:tc>
        <w:tc>
          <w:tcPr>
            <w:tcW w:w="40" w:type="dxa"/>
            <w:vAlign w:val="bottom"/>
            <w:tcBorders>
              <w:top w:val="single" w:sz="8" w:color="0093FF"/>
            </w:tcBorders>
            <w:shd w:val="clear" w:color="auto" w:fill="0093FF"/>
          </w:tcPr>
          <w:p>
            <w:pPr>
              <w:spacing w:after="0"/>
              <w:rPr>
                <w:sz w:val="8"/>
                <w:szCs w:val="8"/>
                <w:color w:val="auto"/>
              </w:rPr>
            </w:pPr>
          </w:p>
        </w:tc>
        <w:tc>
          <w:tcPr>
            <w:tcW w:w="1080" w:type="dxa"/>
            <w:vAlign w:val="bottom"/>
            <w:tcBorders>
              <w:top w:val="single" w:sz="8" w:color="auto"/>
            </w:tcBorders>
            <w:shd w:val="clear" w:color="auto" w:fill="0093FF"/>
          </w:tcPr>
          <w:p>
            <w:pPr>
              <w:spacing w:after="0"/>
              <w:rPr>
                <w:sz w:val="8"/>
                <w:szCs w:val="8"/>
                <w:color w:val="auto"/>
              </w:rPr>
            </w:pPr>
          </w:p>
        </w:tc>
        <w:tc>
          <w:tcPr>
            <w:tcW w:w="40" w:type="dxa"/>
            <w:vAlign w:val="bottom"/>
            <w:tcBorders>
              <w:top w:val="single" w:sz="8" w:color="0093FF"/>
            </w:tcBorders>
            <w:shd w:val="clear" w:color="auto" w:fill="0093FF"/>
          </w:tcPr>
          <w:p>
            <w:pPr>
              <w:spacing w:after="0"/>
              <w:rPr>
                <w:sz w:val="8"/>
                <w:szCs w:val="8"/>
                <w:color w:val="auto"/>
              </w:rPr>
            </w:pPr>
          </w:p>
        </w:tc>
        <w:tc>
          <w:tcPr>
            <w:tcW w:w="1080" w:type="dxa"/>
            <w:vAlign w:val="bottom"/>
            <w:tcBorders>
              <w:top w:val="single" w:sz="8" w:color="auto"/>
            </w:tcBorders>
            <w:shd w:val="clear" w:color="auto" w:fill="0093FF"/>
          </w:tcPr>
          <w:p>
            <w:pPr>
              <w:spacing w:after="0"/>
              <w:rPr>
                <w:sz w:val="8"/>
                <w:szCs w:val="8"/>
                <w:color w:val="auto"/>
              </w:rPr>
            </w:pPr>
          </w:p>
        </w:tc>
        <w:tc>
          <w:tcPr>
            <w:tcW w:w="40" w:type="dxa"/>
            <w:vAlign w:val="bottom"/>
            <w:tcBorders>
              <w:top w:val="single" w:sz="8" w:color="0093FF"/>
            </w:tcBorders>
            <w:shd w:val="clear" w:color="auto" w:fill="0093FF"/>
          </w:tcPr>
          <w:p>
            <w:pPr>
              <w:spacing w:after="0"/>
              <w:rPr>
                <w:sz w:val="8"/>
                <w:szCs w:val="8"/>
                <w:color w:val="auto"/>
              </w:rPr>
            </w:pPr>
          </w:p>
        </w:tc>
        <w:tc>
          <w:tcPr>
            <w:tcW w:w="1100" w:type="dxa"/>
            <w:vAlign w:val="bottom"/>
            <w:tcBorders>
              <w:top w:val="single" w:sz="8" w:color="auto"/>
            </w:tcBorders>
            <w:shd w:val="clear" w:color="auto" w:fill="0093FF"/>
          </w:tcPr>
          <w:p>
            <w:pPr>
              <w:spacing w:after="0"/>
              <w:rPr>
                <w:sz w:val="8"/>
                <w:szCs w:val="8"/>
                <w:color w:val="auto"/>
              </w:rPr>
            </w:pPr>
          </w:p>
        </w:tc>
        <w:tc>
          <w:tcPr>
            <w:tcW w:w="20" w:type="dxa"/>
            <w:vAlign w:val="bottom"/>
            <w:tcBorders>
              <w:top w:val="single" w:sz="8" w:color="0093FF"/>
            </w:tcBorders>
            <w:shd w:val="clear" w:color="auto" w:fill="0093FF"/>
          </w:tcPr>
          <w:p>
            <w:pPr>
              <w:spacing w:after="0"/>
              <w:rPr>
                <w:sz w:val="8"/>
                <w:szCs w:val="8"/>
                <w:color w:val="auto"/>
              </w:rPr>
            </w:pPr>
          </w:p>
        </w:tc>
        <w:tc>
          <w:tcPr>
            <w:tcW w:w="1100" w:type="dxa"/>
            <w:vAlign w:val="bottom"/>
            <w:tcBorders>
              <w:top w:val="single" w:sz="8" w:color="auto"/>
            </w:tcBorders>
            <w:shd w:val="clear" w:color="auto" w:fill="0093FF"/>
          </w:tcPr>
          <w:p>
            <w:pPr>
              <w:spacing w:after="0"/>
              <w:rPr>
                <w:sz w:val="8"/>
                <w:szCs w:val="8"/>
                <w:color w:val="auto"/>
              </w:rPr>
            </w:pPr>
          </w:p>
        </w:tc>
        <w:tc>
          <w:tcPr>
            <w:tcW w:w="20" w:type="dxa"/>
            <w:vAlign w:val="bottom"/>
            <w:tcBorders>
              <w:top w:val="single" w:sz="8" w:color="0093FF"/>
            </w:tcBorders>
            <w:shd w:val="clear" w:color="auto" w:fill="0093FF"/>
          </w:tcPr>
          <w:p>
            <w:pPr>
              <w:spacing w:after="0"/>
              <w:rPr>
                <w:sz w:val="8"/>
                <w:szCs w:val="8"/>
                <w:color w:val="auto"/>
              </w:rPr>
            </w:pPr>
          </w:p>
        </w:tc>
        <w:tc>
          <w:tcPr>
            <w:tcW w:w="1100" w:type="dxa"/>
            <w:vAlign w:val="bottom"/>
            <w:tcBorders>
              <w:top w:val="single" w:sz="8" w:color="auto"/>
            </w:tcBorders>
            <w:shd w:val="clear" w:color="auto" w:fill="0093FF"/>
          </w:tcPr>
          <w:p>
            <w:pPr>
              <w:spacing w:after="0"/>
              <w:rPr>
                <w:sz w:val="8"/>
                <w:szCs w:val="8"/>
                <w:color w:val="auto"/>
              </w:rPr>
            </w:pPr>
          </w:p>
        </w:tc>
        <w:tc>
          <w:tcPr>
            <w:tcW w:w="20" w:type="dxa"/>
            <w:vAlign w:val="bottom"/>
            <w:tcBorders>
              <w:top w:val="single" w:sz="8" w:color="0093FF"/>
            </w:tcBorders>
            <w:shd w:val="clear" w:color="auto" w:fill="0093FF"/>
          </w:tcPr>
          <w:p>
            <w:pPr>
              <w:spacing w:after="0"/>
              <w:rPr>
                <w:sz w:val="8"/>
                <w:szCs w:val="8"/>
                <w:color w:val="auto"/>
              </w:rPr>
            </w:pPr>
          </w:p>
        </w:tc>
        <w:tc>
          <w:tcPr>
            <w:tcW w:w="1100" w:type="dxa"/>
            <w:vAlign w:val="bottom"/>
            <w:tcBorders>
              <w:top w:val="single" w:sz="8" w:color="auto"/>
            </w:tcBorders>
            <w:shd w:val="clear" w:color="auto" w:fill="0093FF"/>
          </w:tcPr>
          <w:p>
            <w:pPr>
              <w:spacing w:after="0"/>
              <w:rPr>
                <w:sz w:val="8"/>
                <w:szCs w:val="8"/>
                <w:color w:val="auto"/>
              </w:rPr>
            </w:pPr>
          </w:p>
        </w:tc>
        <w:tc>
          <w:tcPr>
            <w:tcW w:w="20" w:type="dxa"/>
            <w:vAlign w:val="bottom"/>
            <w:tcBorders>
              <w:top w:val="single" w:sz="8" w:color="0093FF"/>
            </w:tcBorders>
            <w:shd w:val="clear" w:color="auto" w:fill="0093FF"/>
          </w:tcPr>
          <w:p>
            <w:pPr>
              <w:spacing w:after="0"/>
              <w:rPr>
                <w:sz w:val="8"/>
                <w:szCs w:val="8"/>
                <w:color w:val="auto"/>
              </w:rPr>
            </w:pPr>
          </w:p>
        </w:tc>
        <w:tc>
          <w:tcPr>
            <w:tcW w:w="1160" w:type="dxa"/>
            <w:vAlign w:val="bottom"/>
            <w:tcBorders>
              <w:top w:val="single" w:sz="8" w:color="auto"/>
              <w:right w:val="single" w:sz="8" w:color="CCE9FF"/>
            </w:tcBorders>
            <w:shd w:val="clear" w:color="auto" w:fill="0093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80" w:type="dxa"/>
            <w:vAlign w:val="bottom"/>
            <w:gridSpan w:val="2"/>
            <w:shd w:val="clear" w:color="auto" w:fill="CCE9FF"/>
          </w:tcPr>
          <w:p>
            <w:pPr>
              <w:ind w:left="80"/>
              <w:spacing w:after="0"/>
              <w:rPr>
                <w:sz w:val="20"/>
                <w:szCs w:val="20"/>
                <w:color w:val="auto"/>
              </w:rPr>
            </w:pPr>
            <w:r>
              <w:rPr>
                <w:rFonts w:ascii="Arial" w:cs="Arial" w:eastAsia="Arial" w:hAnsi="Arial"/>
                <w:sz w:val="14"/>
                <w:szCs w:val="14"/>
                <w:b w:val="1"/>
                <w:bCs w:val="1"/>
                <w:color w:val="auto"/>
              </w:rPr>
              <w:t>Rohit</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2/7/2012</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29,259</w:t>
            </w:r>
          </w:p>
        </w:tc>
        <w:tc>
          <w:tcPr>
            <w:tcW w:w="1120" w:type="dxa"/>
            <w:vAlign w:val="bottom"/>
            <w:gridSpan w:val="2"/>
            <w:shd w:val="clear" w:color="auto" w:fill="CCE9FF"/>
          </w:tcPr>
          <w:p>
            <w:pPr>
              <w:ind w:left="960"/>
              <w:spacing w:after="0"/>
              <w:rPr>
                <w:sz w:val="20"/>
                <w:szCs w:val="20"/>
                <w:color w:val="auto"/>
              </w:rPr>
            </w:pPr>
            <w:r>
              <w:rPr>
                <w:rFonts w:ascii="Arial" w:cs="Arial" w:eastAsia="Arial" w:hAnsi="Arial"/>
                <w:sz w:val="14"/>
                <w:szCs w:val="14"/>
                <w:color w:val="auto"/>
                <w:w w:val="99"/>
              </w:rPr>
              <w:t>—</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24.77</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2/7/2022</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80" w:type="dxa"/>
            <w:vAlign w:val="bottom"/>
            <w:gridSpan w:val="2"/>
            <w:shd w:val="clear" w:color="auto" w:fill="CCE9FF"/>
          </w:tcPr>
          <w:p>
            <w:pPr>
              <w:ind w:left="80"/>
              <w:spacing w:after="0"/>
              <w:rPr>
                <w:sz w:val="20"/>
                <w:szCs w:val="20"/>
                <w:color w:val="auto"/>
              </w:rPr>
            </w:pPr>
            <w:r>
              <w:rPr>
                <w:rFonts w:ascii="Arial" w:cs="Arial" w:eastAsia="Arial" w:hAnsi="Arial"/>
                <w:sz w:val="14"/>
                <w:szCs w:val="14"/>
                <w:b w:val="1"/>
                <w:bCs w:val="1"/>
                <w:color w:val="auto"/>
              </w:rPr>
              <w:t>Kapoor</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2/24/2016</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9,375</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651,188</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2/23/2017</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15,945</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1,107,540</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22,504</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1,563,128</w:t>
            </w:r>
          </w:p>
        </w:tc>
        <w:tc>
          <w:tcPr>
            <w:tcW w:w="1120" w:type="dxa"/>
            <w:vAlign w:val="bottom"/>
            <w:gridSpan w:val="2"/>
            <w:vMerge w:val="restart"/>
            <w:shd w:val="clear" w:color="auto" w:fill="CCE9FF"/>
          </w:tcPr>
          <w:p>
            <w:pPr>
              <w:jc w:val="right"/>
              <w:ind w:right="20"/>
              <w:spacing w:after="0"/>
              <w:rPr>
                <w:sz w:val="20"/>
                <w:szCs w:val="20"/>
                <w:color w:val="auto"/>
              </w:rPr>
            </w:pPr>
            <w:r>
              <w:rPr>
                <w:rFonts w:ascii="Arial" w:cs="Arial" w:eastAsia="Arial" w:hAnsi="Arial"/>
                <w:sz w:val="14"/>
                <w:szCs w:val="14"/>
                <w:color w:val="auto"/>
              </w:rPr>
              <w:t>30,006</w:t>
            </w:r>
            <w:r>
              <w:rPr>
                <w:rFonts w:ascii="Arial" w:cs="Arial" w:eastAsia="Arial" w:hAnsi="Arial"/>
                <w:sz w:val="23"/>
                <w:szCs w:val="23"/>
                <w:color w:val="auto"/>
                <w:vertAlign w:val="superscript"/>
              </w:rPr>
              <w:t>(a)</w:t>
            </w: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vMerge w:val="continue"/>
            <w:shd w:val="clear" w:color="auto" w:fill="CCE9FF"/>
          </w:tcPr>
          <w:p>
            <w:pPr>
              <w:spacing w:after="0"/>
              <w:rPr>
                <w:sz w:val="16"/>
                <w:szCs w:val="16"/>
                <w:color w:val="auto"/>
              </w:rPr>
            </w:pP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2,084,217</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line="190" w:lineRule="exact"/>
              <w:rPr>
                <w:sz w:val="20"/>
                <w:szCs w:val="20"/>
                <w:color w:val="auto"/>
              </w:rPr>
            </w:pPr>
            <w:r>
              <w:rPr>
                <w:rFonts w:ascii="Arial" w:cs="Arial" w:eastAsia="Arial" w:hAnsi="Arial"/>
                <w:sz w:val="13"/>
                <w:szCs w:val="13"/>
                <w:color w:val="auto"/>
              </w:rPr>
              <w:t>30,004</w:t>
            </w:r>
            <w:r>
              <w:rPr>
                <w:rFonts w:ascii="Arial" w:cs="Arial" w:eastAsia="Arial" w:hAnsi="Arial"/>
                <w:sz w:val="21"/>
                <w:szCs w:val="21"/>
                <w:color w:val="auto"/>
                <w:vertAlign w:val="superscript"/>
              </w:rPr>
              <w:t>(b)</w:t>
            </w: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2,084,078</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00" w:type="dxa"/>
            <w:vAlign w:val="bottom"/>
            <w:shd w:val="clear" w:color="auto" w:fill="CCE9FF"/>
          </w:tcPr>
          <w:p>
            <w:pPr>
              <w:jc w:val="right"/>
              <w:spacing w:after="0"/>
              <w:rPr>
                <w:sz w:val="20"/>
                <w:szCs w:val="20"/>
                <w:color w:val="auto"/>
              </w:rPr>
            </w:pPr>
            <w:r>
              <w:rPr>
                <w:rFonts w:ascii="Arial" w:cs="Arial" w:eastAsia="Arial" w:hAnsi="Arial"/>
                <w:sz w:val="14"/>
                <w:szCs w:val="14"/>
                <w:color w:val="auto"/>
              </w:rPr>
              <w:t>28,910</w:t>
            </w: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2,008,089</w:t>
            </w:r>
          </w:p>
        </w:tc>
        <w:tc>
          <w:tcPr>
            <w:tcW w:w="1120" w:type="dxa"/>
            <w:vAlign w:val="bottom"/>
            <w:gridSpan w:val="2"/>
            <w:vMerge w:val="restart"/>
            <w:shd w:val="clear" w:color="auto" w:fill="CCE9FF"/>
          </w:tcPr>
          <w:p>
            <w:pPr>
              <w:jc w:val="right"/>
              <w:ind w:right="20"/>
              <w:spacing w:after="0"/>
              <w:rPr>
                <w:sz w:val="20"/>
                <w:szCs w:val="20"/>
                <w:color w:val="auto"/>
              </w:rPr>
            </w:pPr>
            <w:r>
              <w:rPr>
                <w:rFonts w:ascii="Arial" w:cs="Arial" w:eastAsia="Arial" w:hAnsi="Arial"/>
                <w:sz w:val="14"/>
                <w:szCs w:val="14"/>
                <w:color w:val="auto"/>
              </w:rPr>
              <w:t>14,455</w:t>
            </w:r>
            <w:r>
              <w:rPr>
                <w:rFonts w:ascii="Arial" w:cs="Arial" w:eastAsia="Arial" w:hAnsi="Arial"/>
                <w:sz w:val="23"/>
                <w:szCs w:val="23"/>
                <w:color w:val="auto"/>
                <w:vertAlign w:val="superscript"/>
              </w:rPr>
              <w:t>(c)</w:t>
            </w: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vMerge w:val="continue"/>
            <w:shd w:val="clear" w:color="auto" w:fill="CCE9FF"/>
          </w:tcPr>
          <w:p>
            <w:pPr>
              <w:spacing w:after="0"/>
              <w:rPr>
                <w:sz w:val="16"/>
                <w:szCs w:val="16"/>
                <w:color w:val="auto"/>
              </w:rPr>
            </w:pP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1,004,044</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line="190" w:lineRule="exact"/>
              <w:rPr>
                <w:sz w:val="20"/>
                <w:szCs w:val="20"/>
                <w:color w:val="auto"/>
              </w:rPr>
            </w:pPr>
            <w:r>
              <w:rPr>
                <w:rFonts w:ascii="Arial" w:cs="Arial" w:eastAsia="Arial" w:hAnsi="Arial"/>
                <w:sz w:val="13"/>
                <w:szCs w:val="13"/>
                <w:color w:val="auto"/>
              </w:rPr>
              <w:t>14,455</w:t>
            </w:r>
            <w:r>
              <w:rPr>
                <w:rFonts w:ascii="Arial" w:cs="Arial" w:eastAsia="Arial" w:hAnsi="Arial"/>
                <w:sz w:val="21"/>
                <w:szCs w:val="21"/>
                <w:color w:val="auto"/>
                <w:vertAlign w:val="superscript"/>
              </w:rPr>
              <w:t>(d)</w:t>
            </w: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1,004,044</w:t>
            </w:r>
          </w:p>
        </w:tc>
        <w:tc>
          <w:tcPr>
            <w:tcW w:w="0" w:type="dxa"/>
            <w:vAlign w:val="bottom"/>
          </w:tcPr>
          <w:p>
            <w:pPr>
              <w:spacing w:after="0"/>
              <w:rPr>
                <w:sz w:val="1"/>
                <w:szCs w:val="1"/>
                <w:color w:val="auto"/>
              </w:rPr>
            </w:pPr>
          </w:p>
        </w:tc>
      </w:tr>
      <w:tr>
        <w:trPr>
          <w:trHeight w:val="149"/>
        </w:trPr>
        <w:tc>
          <w:tcPr>
            <w:tcW w:w="40" w:type="dxa"/>
            <w:vAlign w:val="bottom"/>
            <w:tcBorders>
              <w:left w:val="single" w:sz="8" w:color="CCE9FF"/>
            </w:tcBorders>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Vishal</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2/24/2016</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1,750</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121,555</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right w:val="single" w:sz="8" w:color="CCE9FF"/>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CCE9FF"/>
            </w:tcBorders>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Chhibbar</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2/23/2017</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3,638</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252,695</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right w:val="single" w:sz="8" w:color="CCE9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5,513</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382,933</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7,350</w:t>
            </w:r>
            <w:r>
              <w:rPr>
                <w:rFonts w:ascii="Arial" w:cs="Arial" w:eastAsia="Arial" w:hAnsi="Arial"/>
                <w:sz w:val="23"/>
                <w:szCs w:val="23"/>
                <w:color w:val="auto"/>
                <w:vertAlign w:val="superscript"/>
              </w:rPr>
              <w:t>(a)</w:t>
            </w:r>
          </w:p>
        </w:tc>
        <w:tc>
          <w:tcPr>
            <w:tcW w:w="1160" w:type="dxa"/>
            <w:vAlign w:val="bottom"/>
            <w:tcBorders>
              <w:right w:val="single" w:sz="8" w:color="CCE9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CCE9FF"/>
            </w:tcBorders>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510,531</w:t>
            </w:r>
          </w:p>
        </w:tc>
        <w:tc>
          <w:tcPr>
            <w:tcW w:w="0" w:type="dxa"/>
            <w:vAlign w:val="bottom"/>
          </w:tcPr>
          <w:p>
            <w:pPr>
              <w:spacing w:after="0"/>
              <w:rPr>
                <w:sz w:val="1"/>
                <w:szCs w:val="1"/>
                <w:color w:val="auto"/>
              </w:rPr>
            </w:pPr>
          </w:p>
        </w:tc>
      </w:tr>
      <w:tr>
        <w:trPr>
          <w:trHeight w:val="194"/>
        </w:trPr>
        <w:tc>
          <w:tcPr>
            <w:tcW w:w="40" w:type="dxa"/>
            <w:vAlign w:val="bottom"/>
            <w:tcBorders>
              <w:left w:val="single" w:sz="8" w:color="CCE9FF"/>
            </w:tcBorders>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line="194" w:lineRule="exact"/>
              <w:rPr>
                <w:sz w:val="20"/>
                <w:szCs w:val="20"/>
                <w:color w:val="auto"/>
              </w:rPr>
            </w:pPr>
            <w:r>
              <w:rPr>
                <w:rFonts w:ascii="Arial" w:cs="Arial" w:eastAsia="Arial" w:hAnsi="Arial"/>
                <w:sz w:val="14"/>
                <w:szCs w:val="14"/>
                <w:color w:val="auto"/>
              </w:rPr>
              <w:t>7,350</w:t>
            </w:r>
            <w:r>
              <w:rPr>
                <w:rFonts w:ascii="Arial" w:cs="Arial" w:eastAsia="Arial" w:hAnsi="Arial"/>
                <w:sz w:val="22"/>
                <w:szCs w:val="22"/>
                <w:color w:val="auto"/>
                <w:vertAlign w:val="superscript"/>
              </w:rPr>
              <w:t>(b)</w:t>
            </w: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510,531</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7,085</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492,124</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3,543</w:t>
            </w:r>
            <w:r>
              <w:rPr>
                <w:rFonts w:ascii="Arial" w:cs="Arial" w:eastAsia="Arial" w:hAnsi="Arial"/>
                <w:sz w:val="23"/>
                <w:szCs w:val="23"/>
                <w:color w:val="auto"/>
                <w:vertAlign w:val="superscript"/>
              </w:rPr>
              <w:t>(c)</w:t>
            </w:r>
          </w:p>
        </w:tc>
        <w:tc>
          <w:tcPr>
            <w:tcW w:w="1160" w:type="dxa"/>
            <w:vAlign w:val="bottom"/>
            <w:tcBorders>
              <w:right w:val="single" w:sz="8" w:color="CCE9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CCE9FF"/>
            </w:tcBorders>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246,097</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line="190" w:lineRule="exact"/>
              <w:rPr>
                <w:sz w:val="20"/>
                <w:szCs w:val="20"/>
                <w:color w:val="auto"/>
              </w:rPr>
            </w:pPr>
            <w:r>
              <w:rPr>
                <w:rFonts w:ascii="Arial" w:cs="Arial" w:eastAsia="Arial" w:hAnsi="Arial"/>
                <w:sz w:val="13"/>
                <w:szCs w:val="13"/>
                <w:color w:val="auto"/>
              </w:rPr>
              <w:t>3,542</w:t>
            </w:r>
            <w:r>
              <w:rPr>
                <w:rFonts w:ascii="Arial" w:cs="Arial" w:eastAsia="Arial" w:hAnsi="Arial"/>
                <w:sz w:val="21"/>
                <w:szCs w:val="21"/>
                <w:color w:val="auto"/>
                <w:vertAlign w:val="superscript"/>
              </w:rPr>
              <w:t>(d)</w:t>
            </w: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246,027</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80" w:type="dxa"/>
            <w:vAlign w:val="bottom"/>
            <w:gridSpan w:val="2"/>
            <w:shd w:val="clear" w:color="auto" w:fill="CCE9FF"/>
          </w:tcPr>
          <w:p>
            <w:pPr>
              <w:ind w:left="80"/>
              <w:spacing w:after="0"/>
              <w:rPr>
                <w:sz w:val="20"/>
                <w:szCs w:val="20"/>
                <w:color w:val="auto"/>
              </w:rPr>
            </w:pPr>
            <w:r>
              <w:rPr>
                <w:rFonts w:ascii="Arial" w:cs="Arial" w:eastAsia="Arial" w:hAnsi="Arial"/>
                <w:sz w:val="14"/>
                <w:szCs w:val="14"/>
                <w:b w:val="1"/>
                <w:bCs w:val="1"/>
                <w:color w:val="auto"/>
              </w:rPr>
              <w:t>Pavan</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2/24/2016</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3,125</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217,063</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80" w:type="dxa"/>
            <w:vAlign w:val="bottom"/>
            <w:gridSpan w:val="2"/>
            <w:shd w:val="clear" w:color="auto" w:fill="CCE9FF"/>
          </w:tcPr>
          <w:p>
            <w:pPr>
              <w:ind w:left="80"/>
              <w:spacing w:after="0"/>
              <w:rPr>
                <w:sz w:val="20"/>
                <w:szCs w:val="20"/>
                <w:color w:val="auto"/>
              </w:rPr>
            </w:pPr>
            <w:r>
              <w:rPr>
                <w:rFonts w:ascii="Arial" w:cs="Arial" w:eastAsia="Arial" w:hAnsi="Arial"/>
                <w:sz w:val="14"/>
                <w:szCs w:val="14"/>
                <w:b w:val="1"/>
                <w:bCs w:val="1"/>
                <w:color w:val="auto"/>
              </w:rPr>
              <w:t>Bagai</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2/23/2017</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5,750</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399,395</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7,950</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552,207</w:t>
            </w:r>
          </w:p>
        </w:tc>
        <w:tc>
          <w:tcPr>
            <w:tcW w:w="1120" w:type="dxa"/>
            <w:vAlign w:val="bottom"/>
            <w:gridSpan w:val="2"/>
            <w:vMerge w:val="restart"/>
            <w:shd w:val="clear" w:color="auto" w:fill="CCE9FF"/>
          </w:tcPr>
          <w:p>
            <w:pPr>
              <w:jc w:val="right"/>
              <w:ind w:right="20"/>
              <w:spacing w:after="0"/>
              <w:rPr>
                <w:sz w:val="20"/>
                <w:szCs w:val="20"/>
                <w:color w:val="auto"/>
              </w:rPr>
            </w:pPr>
            <w:r>
              <w:rPr>
                <w:rFonts w:ascii="Arial" w:cs="Arial" w:eastAsia="Arial" w:hAnsi="Arial"/>
                <w:sz w:val="14"/>
                <w:szCs w:val="14"/>
                <w:color w:val="auto"/>
              </w:rPr>
              <w:t>10,600</w:t>
            </w:r>
            <w:r>
              <w:rPr>
                <w:rFonts w:ascii="Arial" w:cs="Arial" w:eastAsia="Arial" w:hAnsi="Arial"/>
                <w:sz w:val="23"/>
                <w:szCs w:val="23"/>
                <w:color w:val="auto"/>
                <w:vertAlign w:val="superscript"/>
              </w:rPr>
              <w:t>(a)</w:t>
            </w: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vMerge w:val="continue"/>
            <w:shd w:val="clear" w:color="auto" w:fill="CCE9FF"/>
          </w:tcPr>
          <w:p>
            <w:pPr>
              <w:spacing w:after="0"/>
              <w:rPr>
                <w:sz w:val="16"/>
                <w:szCs w:val="16"/>
                <w:color w:val="auto"/>
              </w:rPr>
            </w:pP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736,276</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line="190" w:lineRule="exact"/>
              <w:rPr>
                <w:sz w:val="20"/>
                <w:szCs w:val="20"/>
                <w:color w:val="auto"/>
              </w:rPr>
            </w:pPr>
            <w:r>
              <w:rPr>
                <w:rFonts w:ascii="Arial" w:cs="Arial" w:eastAsia="Arial" w:hAnsi="Arial"/>
                <w:sz w:val="13"/>
                <w:szCs w:val="13"/>
                <w:color w:val="auto"/>
              </w:rPr>
              <w:t>10,600</w:t>
            </w:r>
            <w:r>
              <w:rPr>
                <w:rFonts w:ascii="Arial" w:cs="Arial" w:eastAsia="Arial" w:hAnsi="Arial"/>
                <w:sz w:val="21"/>
                <w:szCs w:val="21"/>
                <w:color w:val="auto"/>
                <w:vertAlign w:val="superscript"/>
              </w:rPr>
              <w:t>(b)</w:t>
            </w: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736,276</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10,925</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758,851</w:t>
            </w:r>
          </w:p>
        </w:tc>
        <w:tc>
          <w:tcPr>
            <w:tcW w:w="1120" w:type="dxa"/>
            <w:vAlign w:val="bottom"/>
            <w:gridSpan w:val="2"/>
            <w:vMerge w:val="restart"/>
            <w:shd w:val="clear" w:color="auto" w:fill="CCE9FF"/>
          </w:tcPr>
          <w:p>
            <w:pPr>
              <w:jc w:val="right"/>
              <w:ind w:right="20"/>
              <w:spacing w:after="0"/>
              <w:rPr>
                <w:sz w:val="20"/>
                <w:szCs w:val="20"/>
                <w:color w:val="auto"/>
              </w:rPr>
            </w:pPr>
            <w:r>
              <w:rPr>
                <w:rFonts w:ascii="Arial" w:cs="Arial" w:eastAsia="Arial" w:hAnsi="Arial"/>
                <w:sz w:val="14"/>
                <w:szCs w:val="14"/>
                <w:color w:val="auto"/>
              </w:rPr>
              <w:t>5,463</w:t>
            </w:r>
            <w:r>
              <w:rPr>
                <w:rFonts w:ascii="Arial" w:cs="Arial" w:eastAsia="Arial" w:hAnsi="Arial"/>
                <w:sz w:val="23"/>
                <w:szCs w:val="23"/>
                <w:color w:val="auto"/>
                <w:vertAlign w:val="superscript"/>
              </w:rPr>
              <w:t>(c)</w:t>
            </w: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vMerge w:val="continue"/>
            <w:shd w:val="clear" w:color="auto" w:fill="CCE9FF"/>
          </w:tcPr>
          <w:p>
            <w:pPr>
              <w:spacing w:after="0"/>
              <w:rPr>
                <w:sz w:val="16"/>
                <w:szCs w:val="16"/>
                <w:color w:val="auto"/>
              </w:rPr>
            </w:pP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379,460</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line="190" w:lineRule="exact"/>
              <w:rPr>
                <w:sz w:val="20"/>
                <w:szCs w:val="20"/>
                <w:color w:val="auto"/>
              </w:rPr>
            </w:pPr>
            <w:r>
              <w:rPr>
                <w:rFonts w:ascii="Arial" w:cs="Arial" w:eastAsia="Arial" w:hAnsi="Arial"/>
                <w:sz w:val="13"/>
                <w:szCs w:val="13"/>
                <w:color w:val="auto"/>
              </w:rPr>
              <w:t>5,462</w:t>
            </w:r>
            <w:r>
              <w:rPr>
                <w:rFonts w:ascii="Arial" w:cs="Arial" w:eastAsia="Arial" w:hAnsi="Arial"/>
                <w:sz w:val="21"/>
                <w:szCs w:val="21"/>
                <w:color w:val="auto"/>
                <w:vertAlign w:val="superscript"/>
              </w:rPr>
              <w:t>(d)</w:t>
            </w: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379,391</w:t>
            </w:r>
          </w:p>
        </w:tc>
        <w:tc>
          <w:tcPr>
            <w:tcW w:w="0" w:type="dxa"/>
            <w:vAlign w:val="bottom"/>
          </w:tcPr>
          <w:p>
            <w:pPr>
              <w:spacing w:after="0"/>
              <w:rPr>
                <w:sz w:val="1"/>
                <w:szCs w:val="1"/>
                <w:color w:val="auto"/>
              </w:rPr>
            </w:pPr>
          </w:p>
        </w:tc>
      </w:tr>
      <w:tr>
        <w:trPr>
          <w:trHeight w:val="149"/>
        </w:trPr>
        <w:tc>
          <w:tcPr>
            <w:tcW w:w="40" w:type="dxa"/>
            <w:vAlign w:val="bottom"/>
            <w:tcBorders>
              <w:left w:val="single" w:sz="8" w:color="CCE9FF"/>
            </w:tcBorders>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Nalin</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2/24/2016</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104,190</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right w:val="single" w:sz="8" w:color="CCE9FF"/>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CCE9FF"/>
            </w:tcBorders>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Miglani</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2/23/2017</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3,575</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248,320</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right w:val="single" w:sz="8" w:color="CCE9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4,808</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333,964</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6,410</w:t>
            </w:r>
            <w:r>
              <w:rPr>
                <w:rFonts w:ascii="Arial" w:cs="Arial" w:eastAsia="Arial" w:hAnsi="Arial"/>
                <w:sz w:val="23"/>
                <w:szCs w:val="23"/>
                <w:color w:val="auto"/>
                <w:vertAlign w:val="superscript"/>
              </w:rPr>
              <w:t>(a)</w:t>
            </w:r>
          </w:p>
        </w:tc>
        <w:tc>
          <w:tcPr>
            <w:tcW w:w="1160" w:type="dxa"/>
            <w:vAlign w:val="bottom"/>
            <w:tcBorders>
              <w:right w:val="single" w:sz="8" w:color="CCE9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CCE9FF"/>
            </w:tcBorders>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445,239</w:t>
            </w:r>
          </w:p>
        </w:tc>
        <w:tc>
          <w:tcPr>
            <w:tcW w:w="0" w:type="dxa"/>
            <w:vAlign w:val="bottom"/>
          </w:tcPr>
          <w:p>
            <w:pPr>
              <w:spacing w:after="0"/>
              <w:rPr>
                <w:sz w:val="1"/>
                <w:szCs w:val="1"/>
                <w:color w:val="auto"/>
              </w:rPr>
            </w:pPr>
          </w:p>
        </w:tc>
      </w:tr>
      <w:tr>
        <w:trPr>
          <w:trHeight w:val="194"/>
        </w:trPr>
        <w:tc>
          <w:tcPr>
            <w:tcW w:w="40" w:type="dxa"/>
            <w:vAlign w:val="bottom"/>
            <w:tcBorders>
              <w:left w:val="single" w:sz="8" w:color="CCE9FF"/>
            </w:tcBorders>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line="194" w:lineRule="exact"/>
              <w:rPr>
                <w:sz w:val="20"/>
                <w:szCs w:val="20"/>
                <w:color w:val="auto"/>
              </w:rPr>
            </w:pPr>
            <w:r>
              <w:rPr>
                <w:rFonts w:ascii="Arial" w:cs="Arial" w:eastAsia="Arial" w:hAnsi="Arial"/>
                <w:sz w:val="14"/>
                <w:szCs w:val="14"/>
                <w:color w:val="auto"/>
              </w:rPr>
              <w:t>6,410</w:t>
            </w:r>
            <w:r>
              <w:rPr>
                <w:rFonts w:ascii="Arial" w:cs="Arial" w:eastAsia="Arial" w:hAnsi="Arial"/>
                <w:sz w:val="22"/>
                <w:szCs w:val="22"/>
                <w:color w:val="auto"/>
                <w:vertAlign w:val="superscript"/>
              </w:rPr>
              <w:t>(b)</w:t>
            </w: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445,239</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6,175</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428,916</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3,088</w:t>
            </w:r>
            <w:r>
              <w:rPr>
                <w:rFonts w:ascii="Arial" w:cs="Arial" w:eastAsia="Arial" w:hAnsi="Arial"/>
                <w:sz w:val="23"/>
                <w:szCs w:val="23"/>
                <w:color w:val="auto"/>
                <w:vertAlign w:val="superscript"/>
              </w:rPr>
              <w:t>(c)</w:t>
            </w:r>
          </w:p>
        </w:tc>
        <w:tc>
          <w:tcPr>
            <w:tcW w:w="1160" w:type="dxa"/>
            <w:vAlign w:val="bottom"/>
            <w:tcBorders>
              <w:right w:val="single" w:sz="8" w:color="CCE9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CCE9FF"/>
            </w:tcBorders>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214,492</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ind w:right="20"/>
              <w:spacing w:after="0" w:line="190" w:lineRule="exact"/>
              <w:rPr>
                <w:sz w:val="20"/>
                <w:szCs w:val="20"/>
                <w:color w:val="auto"/>
              </w:rPr>
            </w:pPr>
            <w:r>
              <w:rPr>
                <w:rFonts w:ascii="Arial" w:cs="Arial" w:eastAsia="Arial" w:hAnsi="Arial"/>
                <w:sz w:val="13"/>
                <w:szCs w:val="13"/>
                <w:color w:val="auto"/>
              </w:rPr>
              <w:t>3,087</w:t>
            </w:r>
            <w:r>
              <w:rPr>
                <w:rFonts w:ascii="Arial" w:cs="Arial" w:eastAsia="Arial" w:hAnsi="Arial"/>
                <w:sz w:val="21"/>
                <w:szCs w:val="21"/>
                <w:color w:val="auto"/>
                <w:vertAlign w:val="superscript"/>
              </w:rPr>
              <w:t>(d)</w:t>
            </w: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214,423</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80" w:type="dxa"/>
            <w:vAlign w:val="bottom"/>
            <w:gridSpan w:val="2"/>
            <w:shd w:val="clear" w:color="auto" w:fill="CCE9FF"/>
          </w:tcPr>
          <w:p>
            <w:pPr>
              <w:ind w:left="80"/>
              <w:spacing w:after="0"/>
              <w:rPr>
                <w:sz w:val="20"/>
                <w:szCs w:val="20"/>
                <w:color w:val="auto"/>
              </w:rPr>
            </w:pPr>
            <w:r>
              <w:rPr>
                <w:rFonts w:ascii="Arial" w:cs="Arial" w:eastAsia="Arial" w:hAnsi="Arial"/>
                <w:sz w:val="14"/>
                <w:szCs w:val="14"/>
                <w:b w:val="1"/>
                <w:bCs w:val="1"/>
                <w:color w:val="auto"/>
              </w:rPr>
              <w:t>Vikas</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2/24/2016</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1,625</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112,873</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80" w:type="dxa"/>
            <w:vAlign w:val="bottom"/>
            <w:gridSpan w:val="2"/>
            <w:shd w:val="clear" w:color="auto" w:fill="CCE9FF"/>
          </w:tcPr>
          <w:p>
            <w:pPr>
              <w:ind w:left="80"/>
              <w:spacing w:after="0"/>
              <w:rPr>
                <w:sz w:val="20"/>
                <w:szCs w:val="20"/>
                <w:color w:val="auto"/>
              </w:rPr>
            </w:pPr>
            <w:r>
              <w:rPr>
                <w:rFonts w:ascii="Arial" w:cs="Arial" w:eastAsia="Arial" w:hAnsi="Arial"/>
                <w:sz w:val="14"/>
                <w:szCs w:val="14"/>
                <w:b w:val="1"/>
                <w:bCs w:val="1"/>
                <w:color w:val="auto"/>
              </w:rPr>
              <w:t>Bhalla</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2/23/2017</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2,723</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189,140</w:t>
            </w: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4,992</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346,744</w:t>
            </w:r>
          </w:p>
        </w:tc>
        <w:tc>
          <w:tcPr>
            <w:tcW w:w="1120" w:type="dxa"/>
            <w:vAlign w:val="bottom"/>
            <w:gridSpan w:val="2"/>
            <w:vMerge w:val="restart"/>
            <w:shd w:val="clear" w:color="auto" w:fill="CCE9FF"/>
          </w:tcPr>
          <w:p>
            <w:pPr>
              <w:jc w:val="right"/>
              <w:ind w:right="20"/>
              <w:spacing w:after="0"/>
              <w:rPr>
                <w:sz w:val="20"/>
                <w:szCs w:val="20"/>
                <w:color w:val="auto"/>
              </w:rPr>
            </w:pPr>
            <w:r>
              <w:rPr>
                <w:rFonts w:ascii="Arial" w:cs="Arial" w:eastAsia="Arial" w:hAnsi="Arial"/>
                <w:sz w:val="14"/>
                <w:szCs w:val="14"/>
                <w:color w:val="auto"/>
              </w:rPr>
              <w:t>6,656</w:t>
            </w:r>
            <w:r>
              <w:rPr>
                <w:rFonts w:ascii="Arial" w:cs="Arial" w:eastAsia="Arial" w:hAnsi="Arial"/>
                <w:sz w:val="23"/>
                <w:szCs w:val="23"/>
                <w:color w:val="auto"/>
                <w:vertAlign w:val="superscript"/>
              </w:rPr>
              <w:t>(a)</w:t>
            </w: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vMerge w:val="continue"/>
            <w:shd w:val="clear" w:color="auto" w:fill="CCE9FF"/>
          </w:tcPr>
          <w:p>
            <w:pPr>
              <w:spacing w:after="0"/>
              <w:rPr>
                <w:sz w:val="16"/>
                <w:szCs w:val="16"/>
                <w:color w:val="auto"/>
              </w:rPr>
            </w:pP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462,326</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2/22/2018</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line="190" w:lineRule="exact"/>
              <w:rPr>
                <w:sz w:val="20"/>
                <w:szCs w:val="20"/>
                <w:color w:val="auto"/>
              </w:rPr>
            </w:pPr>
            <w:r>
              <w:rPr>
                <w:rFonts w:ascii="Arial" w:cs="Arial" w:eastAsia="Arial" w:hAnsi="Arial"/>
                <w:sz w:val="13"/>
                <w:szCs w:val="13"/>
                <w:color w:val="auto"/>
              </w:rPr>
              <w:t>6,654</w:t>
            </w:r>
            <w:r>
              <w:rPr>
                <w:rFonts w:ascii="Arial" w:cs="Arial" w:eastAsia="Arial" w:hAnsi="Arial"/>
                <w:sz w:val="21"/>
                <w:szCs w:val="21"/>
                <w:color w:val="auto"/>
                <w:vertAlign w:val="superscript"/>
              </w:rPr>
              <w:t>(b)</w:t>
            </w: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462,187</w:t>
            </w:r>
          </w:p>
        </w:tc>
        <w:tc>
          <w:tcPr>
            <w:tcW w:w="0" w:type="dxa"/>
            <w:vAlign w:val="bottom"/>
          </w:tcPr>
          <w:p>
            <w:pPr>
              <w:spacing w:after="0"/>
              <w:rPr>
                <w:sz w:val="1"/>
                <w:szCs w:val="1"/>
                <w:color w:val="auto"/>
              </w:rPr>
            </w:pPr>
          </w:p>
        </w:tc>
      </w:tr>
      <w:tr>
        <w:trPr>
          <w:trHeight w:val="162"/>
        </w:trPr>
        <w:tc>
          <w:tcPr>
            <w:tcW w:w="40" w:type="dxa"/>
            <w:vAlign w:val="bottom"/>
            <w:tcBorders>
              <w:left w:val="single" w:sz="8" w:color="CCE9FF"/>
            </w:tcBorders>
            <w:shd w:val="clear" w:color="auto" w:fill="CCE9FF"/>
          </w:tcPr>
          <w:p>
            <w:pPr>
              <w:spacing w:after="0"/>
              <w:rPr>
                <w:sz w:val="14"/>
                <w:szCs w:val="14"/>
                <w:color w:val="auto"/>
              </w:rPr>
            </w:pPr>
          </w:p>
        </w:tc>
        <w:tc>
          <w:tcPr>
            <w:tcW w:w="106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080" w:type="dxa"/>
            <w:vAlign w:val="bottom"/>
            <w:shd w:val="clear" w:color="auto" w:fill="CCE9FF"/>
          </w:tcPr>
          <w:p>
            <w:pPr>
              <w:spacing w:after="0"/>
              <w:rPr>
                <w:sz w:val="14"/>
                <w:szCs w:val="14"/>
                <w:color w:val="auto"/>
              </w:rPr>
            </w:pPr>
          </w:p>
        </w:tc>
        <w:tc>
          <w:tcPr>
            <w:tcW w:w="40" w:type="dxa"/>
            <w:vAlign w:val="bottom"/>
            <w:shd w:val="clear" w:color="auto" w:fill="CCE9FF"/>
          </w:tcPr>
          <w:p>
            <w:pPr>
              <w:spacing w:after="0"/>
              <w:rPr>
                <w:sz w:val="14"/>
                <w:szCs w:val="14"/>
                <w:color w:val="auto"/>
              </w:rPr>
            </w:pPr>
          </w:p>
        </w:tc>
        <w:tc>
          <w:tcPr>
            <w:tcW w:w="1100" w:type="dxa"/>
            <w:vAlign w:val="bottom"/>
            <w:shd w:val="clear" w:color="auto" w:fill="CCE9FF"/>
          </w:tcPr>
          <w:p>
            <w:pPr>
              <w:spacing w:after="0"/>
              <w:rPr>
                <w:sz w:val="14"/>
                <w:szCs w:val="14"/>
                <w:color w:val="auto"/>
              </w:rPr>
            </w:pPr>
          </w:p>
        </w:tc>
        <w:tc>
          <w:tcPr>
            <w:tcW w:w="20" w:type="dxa"/>
            <w:vAlign w:val="bottom"/>
            <w:shd w:val="clear" w:color="auto" w:fill="CCE9FF"/>
          </w:tcPr>
          <w:p>
            <w:pPr>
              <w:spacing w:after="0"/>
              <w:rPr>
                <w:sz w:val="14"/>
                <w:szCs w:val="14"/>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6,830</w:t>
            </w: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474,412</w:t>
            </w:r>
          </w:p>
        </w:tc>
        <w:tc>
          <w:tcPr>
            <w:tcW w:w="1120" w:type="dxa"/>
            <w:vAlign w:val="bottom"/>
            <w:gridSpan w:val="2"/>
            <w:vMerge w:val="restart"/>
            <w:shd w:val="clear" w:color="auto" w:fill="CCE9FF"/>
          </w:tcPr>
          <w:p>
            <w:pPr>
              <w:jc w:val="right"/>
              <w:ind w:right="20"/>
              <w:spacing w:after="0"/>
              <w:rPr>
                <w:sz w:val="20"/>
                <w:szCs w:val="20"/>
                <w:color w:val="auto"/>
              </w:rPr>
            </w:pPr>
            <w:r>
              <w:rPr>
                <w:rFonts w:ascii="Arial" w:cs="Arial" w:eastAsia="Arial" w:hAnsi="Arial"/>
                <w:sz w:val="14"/>
                <w:szCs w:val="14"/>
                <w:color w:val="auto"/>
              </w:rPr>
              <w:t>3,415</w:t>
            </w:r>
            <w:r>
              <w:rPr>
                <w:rFonts w:ascii="Arial" w:cs="Arial" w:eastAsia="Arial" w:hAnsi="Arial"/>
                <w:sz w:val="23"/>
                <w:szCs w:val="23"/>
                <w:color w:val="auto"/>
                <w:vertAlign w:val="superscript"/>
              </w:rPr>
              <w:t>(c)</w:t>
            </w:r>
          </w:p>
        </w:tc>
        <w:tc>
          <w:tcPr>
            <w:tcW w:w="1160" w:type="dxa"/>
            <w:vAlign w:val="bottom"/>
            <w:tcBorders>
              <w:right w:val="single" w:sz="8" w:color="CCE9FF"/>
            </w:tcBorders>
            <w:shd w:val="clear" w:color="auto" w:fill="CCE9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vMerge w:val="continue"/>
            <w:shd w:val="clear" w:color="auto" w:fill="CCE9FF"/>
          </w:tcPr>
          <w:p>
            <w:pPr>
              <w:spacing w:after="0"/>
              <w:rPr>
                <w:sz w:val="16"/>
                <w:szCs w:val="16"/>
                <w:color w:val="auto"/>
              </w:rPr>
            </w:pP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237,206</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tcBorders>
            <w:shd w:val="clear" w:color="auto" w:fill="CCE9FF"/>
          </w:tcPr>
          <w:p>
            <w:pPr>
              <w:spacing w:after="0"/>
              <w:rPr>
                <w:sz w:val="16"/>
                <w:szCs w:val="16"/>
                <w:color w:val="auto"/>
              </w:rPr>
            </w:pPr>
          </w:p>
        </w:tc>
        <w:tc>
          <w:tcPr>
            <w:tcW w:w="106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080" w:type="dxa"/>
            <w:vAlign w:val="bottom"/>
            <w:shd w:val="clear" w:color="auto" w:fill="CCE9FF"/>
          </w:tcPr>
          <w:p>
            <w:pPr>
              <w:spacing w:after="0"/>
              <w:rPr>
                <w:sz w:val="16"/>
                <w:szCs w:val="16"/>
                <w:color w:val="auto"/>
              </w:rPr>
            </w:pPr>
          </w:p>
        </w:tc>
        <w:tc>
          <w:tcPr>
            <w:tcW w:w="4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00" w:type="dxa"/>
            <w:vAlign w:val="bottom"/>
            <w:shd w:val="clear" w:color="auto" w:fill="CCE9FF"/>
          </w:tcPr>
          <w:p>
            <w:pPr>
              <w:spacing w:after="0"/>
              <w:rPr>
                <w:sz w:val="16"/>
                <w:szCs w:val="16"/>
                <w:color w:val="auto"/>
              </w:rPr>
            </w:pPr>
          </w:p>
        </w:tc>
        <w:tc>
          <w:tcPr>
            <w:tcW w:w="20" w:type="dxa"/>
            <w:vAlign w:val="bottom"/>
            <w:shd w:val="clear" w:color="auto" w:fill="CCE9FF"/>
          </w:tcPr>
          <w:p>
            <w:pPr>
              <w:spacing w:after="0"/>
              <w:rPr>
                <w:sz w:val="16"/>
                <w:szCs w:val="16"/>
                <w:color w:val="auto"/>
              </w:rPr>
            </w:pPr>
          </w:p>
        </w:tc>
        <w:tc>
          <w:tcPr>
            <w:tcW w:w="1120" w:type="dxa"/>
            <w:vAlign w:val="bottom"/>
            <w:gridSpan w:val="2"/>
            <w:shd w:val="clear" w:color="auto" w:fill="CCE9FF"/>
          </w:tcPr>
          <w:p>
            <w:pPr>
              <w:jc w:val="right"/>
              <w:ind w:right="20"/>
              <w:spacing w:after="0" w:line="190" w:lineRule="exact"/>
              <w:rPr>
                <w:sz w:val="20"/>
                <w:szCs w:val="20"/>
                <w:color w:val="auto"/>
              </w:rPr>
            </w:pPr>
            <w:r>
              <w:rPr>
                <w:rFonts w:ascii="Arial" w:cs="Arial" w:eastAsia="Arial" w:hAnsi="Arial"/>
                <w:sz w:val="13"/>
                <w:szCs w:val="13"/>
                <w:color w:val="auto"/>
              </w:rPr>
              <w:t>3,415</w:t>
            </w:r>
            <w:r>
              <w:rPr>
                <w:rFonts w:ascii="Arial" w:cs="Arial" w:eastAsia="Arial" w:hAnsi="Arial"/>
                <w:sz w:val="21"/>
                <w:szCs w:val="21"/>
                <w:color w:val="auto"/>
                <w:vertAlign w:val="superscript"/>
              </w:rPr>
              <w:t>(d)</w:t>
            </w:r>
          </w:p>
        </w:tc>
        <w:tc>
          <w:tcPr>
            <w:tcW w:w="1160" w:type="dxa"/>
            <w:vAlign w:val="bottom"/>
            <w:tcBorders>
              <w:right w:val="single" w:sz="8" w:color="CCE9FF"/>
            </w:tcBorders>
            <w:shd w:val="clear" w:color="auto" w:fill="CCE9FF"/>
          </w:tcPr>
          <w:p>
            <w:pPr>
              <w:jc w:val="right"/>
              <w:ind w:right="48"/>
              <w:spacing w:after="0"/>
              <w:rPr>
                <w:sz w:val="20"/>
                <w:szCs w:val="20"/>
                <w:color w:val="auto"/>
              </w:rPr>
            </w:pPr>
            <w:r>
              <w:rPr>
                <w:rFonts w:ascii="Arial" w:cs="Arial" w:eastAsia="Arial" w:hAnsi="Arial"/>
                <w:sz w:val="14"/>
                <w:szCs w:val="14"/>
                <w:color w:val="auto"/>
              </w:rPr>
              <w:t>237,206</w:t>
            </w:r>
          </w:p>
        </w:tc>
        <w:tc>
          <w:tcPr>
            <w:tcW w:w="0" w:type="dxa"/>
            <w:vAlign w:val="bottom"/>
          </w:tcPr>
          <w:p>
            <w:pPr>
              <w:spacing w:after="0"/>
              <w:rPr>
                <w:sz w:val="1"/>
                <w:szCs w:val="1"/>
                <w:color w:val="auto"/>
              </w:rPr>
            </w:pPr>
          </w:p>
        </w:tc>
      </w:tr>
      <w:tr>
        <w:trPr>
          <w:trHeight w:val="149"/>
        </w:trPr>
        <w:tc>
          <w:tcPr>
            <w:tcW w:w="40" w:type="dxa"/>
            <w:vAlign w:val="bottom"/>
            <w:tcBorders>
              <w:left w:val="single" w:sz="8" w:color="CCE9FF"/>
            </w:tcBorders>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Samuel</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11/8/2018</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6,380</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443,155</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right w:val="single" w:sz="8" w:color="CCE9FF"/>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CCE9FF"/>
            </w:tcBorders>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Meckey</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5,370</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373,000</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2,685</w:t>
            </w:r>
            <w:r>
              <w:rPr>
                <w:rFonts w:ascii="Arial" w:cs="Arial" w:eastAsia="Arial" w:hAnsi="Arial"/>
                <w:sz w:val="23"/>
                <w:szCs w:val="23"/>
                <w:color w:val="auto"/>
                <w:vertAlign w:val="superscript"/>
              </w:rPr>
              <w:t>(c)</w:t>
            </w:r>
          </w:p>
        </w:tc>
        <w:tc>
          <w:tcPr>
            <w:tcW w:w="1160" w:type="dxa"/>
            <w:vAlign w:val="bottom"/>
            <w:tcBorders>
              <w:right w:val="single" w:sz="8" w:color="CCE9FF"/>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CCE9FF"/>
            </w:tcBorders>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tcBorders>
              <w:right w:val="single" w:sz="8" w:color="CCE9FF"/>
            </w:tcBorders>
          </w:tcPr>
          <w:p>
            <w:pPr>
              <w:jc w:val="right"/>
              <w:ind w:right="48"/>
              <w:spacing w:after="0"/>
              <w:rPr>
                <w:sz w:val="20"/>
                <w:szCs w:val="20"/>
                <w:color w:val="auto"/>
              </w:rPr>
            </w:pPr>
            <w:r>
              <w:rPr>
                <w:rFonts w:ascii="Arial" w:cs="Arial" w:eastAsia="Arial" w:hAnsi="Arial"/>
                <w:sz w:val="14"/>
                <w:szCs w:val="14"/>
                <w:color w:val="auto"/>
              </w:rPr>
              <w:t>186,500</w:t>
            </w:r>
          </w:p>
        </w:tc>
        <w:tc>
          <w:tcPr>
            <w:tcW w:w="0" w:type="dxa"/>
            <w:vAlign w:val="bottom"/>
          </w:tcPr>
          <w:p>
            <w:pPr>
              <w:spacing w:after="0"/>
              <w:rPr>
                <w:sz w:val="1"/>
                <w:szCs w:val="1"/>
                <w:color w:val="auto"/>
              </w:rPr>
            </w:pPr>
          </w:p>
        </w:tc>
      </w:tr>
      <w:tr>
        <w:trPr>
          <w:trHeight w:val="189"/>
        </w:trPr>
        <w:tc>
          <w:tcPr>
            <w:tcW w:w="40" w:type="dxa"/>
            <w:vAlign w:val="bottom"/>
            <w:tcBorders>
              <w:left w:val="single" w:sz="8" w:color="CCE9FF"/>
              <w:bottom w:val="single" w:sz="8" w:color="CCE9FF"/>
            </w:tcBorders>
          </w:tcPr>
          <w:p>
            <w:pPr>
              <w:spacing w:after="0"/>
              <w:rPr>
                <w:sz w:val="16"/>
                <w:szCs w:val="16"/>
                <w:color w:val="auto"/>
              </w:rPr>
            </w:pPr>
          </w:p>
        </w:tc>
        <w:tc>
          <w:tcPr>
            <w:tcW w:w="1060" w:type="dxa"/>
            <w:vAlign w:val="bottom"/>
            <w:tcBorders>
              <w:bottom w:val="single" w:sz="8" w:color="CCE9FF"/>
            </w:tcBorders>
          </w:tcPr>
          <w:p>
            <w:pPr>
              <w:spacing w:after="0"/>
              <w:rPr>
                <w:sz w:val="16"/>
                <w:szCs w:val="16"/>
                <w:color w:val="auto"/>
              </w:rPr>
            </w:pPr>
          </w:p>
        </w:tc>
        <w:tc>
          <w:tcPr>
            <w:tcW w:w="20" w:type="dxa"/>
            <w:vAlign w:val="bottom"/>
            <w:tcBorders>
              <w:bottom w:val="single" w:sz="8" w:color="CCE9FF"/>
            </w:tcBorders>
          </w:tcPr>
          <w:p>
            <w:pPr>
              <w:spacing w:after="0"/>
              <w:rPr>
                <w:sz w:val="16"/>
                <w:szCs w:val="16"/>
                <w:color w:val="auto"/>
              </w:rPr>
            </w:pPr>
          </w:p>
        </w:tc>
        <w:tc>
          <w:tcPr>
            <w:tcW w:w="1120" w:type="dxa"/>
            <w:vAlign w:val="bottom"/>
            <w:tcBorders>
              <w:bottom w:val="single" w:sz="8" w:color="CCE9FF"/>
            </w:tcBorders>
            <w:gridSpan w:val="2"/>
          </w:tcPr>
          <w:p>
            <w:pPr>
              <w:jc w:val="right"/>
              <w:ind w:right="20"/>
              <w:spacing w:after="0"/>
              <w:rPr>
                <w:sz w:val="20"/>
                <w:szCs w:val="20"/>
                <w:color w:val="auto"/>
              </w:rPr>
            </w:pPr>
            <w:r>
              <w:rPr>
                <w:rFonts w:ascii="Arial" w:cs="Arial" w:eastAsia="Arial" w:hAnsi="Arial"/>
                <w:sz w:val="14"/>
                <w:szCs w:val="14"/>
                <w:color w:val="auto"/>
              </w:rPr>
              <w:t>2/20/2019</w:t>
            </w:r>
          </w:p>
        </w:tc>
        <w:tc>
          <w:tcPr>
            <w:tcW w:w="1080" w:type="dxa"/>
            <w:vAlign w:val="bottom"/>
            <w:tcBorders>
              <w:bottom w:val="single" w:sz="8" w:color="CCE9FF"/>
            </w:tcBorders>
          </w:tcPr>
          <w:p>
            <w:pPr>
              <w:spacing w:after="0"/>
              <w:rPr>
                <w:sz w:val="16"/>
                <w:szCs w:val="16"/>
                <w:color w:val="auto"/>
              </w:rPr>
            </w:pPr>
          </w:p>
        </w:tc>
        <w:tc>
          <w:tcPr>
            <w:tcW w:w="40" w:type="dxa"/>
            <w:vAlign w:val="bottom"/>
            <w:tcBorders>
              <w:bottom w:val="single" w:sz="8" w:color="CCE9FF"/>
            </w:tcBorders>
          </w:tcPr>
          <w:p>
            <w:pPr>
              <w:spacing w:after="0"/>
              <w:rPr>
                <w:sz w:val="16"/>
                <w:szCs w:val="16"/>
                <w:color w:val="auto"/>
              </w:rPr>
            </w:pPr>
          </w:p>
        </w:tc>
        <w:tc>
          <w:tcPr>
            <w:tcW w:w="1080" w:type="dxa"/>
            <w:vAlign w:val="bottom"/>
            <w:tcBorders>
              <w:bottom w:val="single" w:sz="8" w:color="CCE9FF"/>
            </w:tcBorders>
          </w:tcPr>
          <w:p>
            <w:pPr>
              <w:spacing w:after="0"/>
              <w:rPr>
                <w:sz w:val="16"/>
                <w:szCs w:val="16"/>
                <w:color w:val="auto"/>
              </w:rPr>
            </w:pPr>
          </w:p>
        </w:tc>
        <w:tc>
          <w:tcPr>
            <w:tcW w:w="40" w:type="dxa"/>
            <w:vAlign w:val="bottom"/>
            <w:tcBorders>
              <w:bottom w:val="single" w:sz="8" w:color="CCE9FF"/>
            </w:tcBorders>
          </w:tcPr>
          <w:p>
            <w:pPr>
              <w:spacing w:after="0"/>
              <w:rPr>
                <w:sz w:val="16"/>
                <w:szCs w:val="16"/>
                <w:color w:val="auto"/>
              </w:rPr>
            </w:pPr>
          </w:p>
        </w:tc>
        <w:tc>
          <w:tcPr>
            <w:tcW w:w="1080" w:type="dxa"/>
            <w:vAlign w:val="bottom"/>
            <w:tcBorders>
              <w:bottom w:val="single" w:sz="8" w:color="CCE9FF"/>
            </w:tcBorders>
          </w:tcPr>
          <w:p>
            <w:pPr>
              <w:spacing w:after="0"/>
              <w:rPr>
                <w:sz w:val="16"/>
                <w:szCs w:val="16"/>
                <w:color w:val="auto"/>
              </w:rPr>
            </w:pPr>
          </w:p>
        </w:tc>
        <w:tc>
          <w:tcPr>
            <w:tcW w:w="40" w:type="dxa"/>
            <w:vAlign w:val="bottom"/>
            <w:tcBorders>
              <w:bottom w:val="single" w:sz="8" w:color="CCE9FF"/>
            </w:tcBorders>
          </w:tcPr>
          <w:p>
            <w:pPr>
              <w:spacing w:after="0"/>
              <w:rPr>
                <w:sz w:val="16"/>
                <w:szCs w:val="16"/>
                <w:color w:val="auto"/>
              </w:rPr>
            </w:pPr>
          </w:p>
        </w:tc>
        <w:tc>
          <w:tcPr>
            <w:tcW w:w="1100" w:type="dxa"/>
            <w:vAlign w:val="bottom"/>
            <w:tcBorders>
              <w:bottom w:val="single" w:sz="8" w:color="CCE9FF"/>
            </w:tcBorders>
          </w:tcPr>
          <w:p>
            <w:pPr>
              <w:spacing w:after="0"/>
              <w:rPr>
                <w:sz w:val="16"/>
                <w:szCs w:val="16"/>
                <w:color w:val="auto"/>
              </w:rPr>
            </w:pPr>
          </w:p>
        </w:tc>
        <w:tc>
          <w:tcPr>
            <w:tcW w:w="20" w:type="dxa"/>
            <w:vAlign w:val="bottom"/>
            <w:tcBorders>
              <w:bottom w:val="single" w:sz="8" w:color="CCE9FF"/>
            </w:tcBorders>
          </w:tcPr>
          <w:p>
            <w:pPr>
              <w:spacing w:after="0"/>
              <w:rPr>
                <w:sz w:val="16"/>
                <w:szCs w:val="16"/>
                <w:color w:val="auto"/>
              </w:rPr>
            </w:pPr>
          </w:p>
        </w:tc>
        <w:tc>
          <w:tcPr>
            <w:tcW w:w="1100" w:type="dxa"/>
            <w:vAlign w:val="bottom"/>
            <w:tcBorders>
              <w:bottom w:val="single" w:sz="8" w:color="CCE9FF"/>
            </w:tcBorders>
          </w:tcPr>
          <w:p>
            <w:pPr>
              <w:spacing w:after="0"/>
              <w:rPr>
                <w:sz w:val="16"/>
                <w:szCs w:val="16"/>
                <w:color w:val="auto"/>
              </w:rPr>
            </w:pPr>
          </w:p>
        </w:tc>
        <w:tc>
          <w:tcPr>
            <w:tcW w:w="20" w:type="dxa"/>
            <w:vAlign w:val="bottom"/>
            <w:tcBorders>
              <w:bottom w:val="single" w:sz="8" w:color="CCE9FF"/>
            </w:tcBorders>
          </w:tcPr>
          <w:p>
            <w:pPr>
              <w:spacing w:after="0"/>
              <w:rPr>
                <w:sz w:val="16"/>
                <w:szCs w:val="16"/>
                <w:color w:val="auto"/>
              </w:rPr>
            </w:pPr>
          </w:p>
        </w:tc>
        <w:tc>
          <w:tcPr>
            <w:tcW w:w="1100" w:type="dxa"/>
            <w:vAlign w:val="bottom"/>
            <w:tcBorders>
              <w:bottom w:val="single" w:sz="8" w:color="CCE9FF"/>
            </w:tcBorders>
          </w:tcPr>
          <w:p>
            <w:pPr>
              <w:spacing w:after="0"/>
              <w:rPr>
                <w:sz w:val="16"/>
                <w:szCs w:val="16"/>
                <w:color w:val="auto"/>
              </w:rPr>
            </w:pPr>
          </w:p>
        </w:tc>
        <w:tc>
          <w:tcPr>
            <w:tcW w:w="20" w:type="dxa"/>
            <w:vAlign w:val="bottom"/>
            <w:tcBorders>
              <w:bottom w:val="single" w:sz="8" w:color="CCE9FF"/>
            </w:tcBorders>
          </w:tcPr>
          <w:p>
            <w:pPr>
              <w:spacing w:after="0"/>
              <w:rPr>
                <w:sz w:val="16"/>
                <w:szCs w:val="16"/>
                <w:color w:val="auto"/>
              </w:rPr>
            </w:pPr>
          </w:p>
        </w:tc>
        <w:tc>
          <w:tcPr>
            <w:tcW w:w="1120" w:type="dxa"/>
            <w:vAlign w:val="bottom"/>
            <w:tcBorders>
              <w:bottom w:val="single" w:sz="8" w:color="CCE9FF"/>
            </w:tcBorders>
            <w:gridSpan w:val="2"/>
          </w:tcPr>
          <w:p>
            <w:pPr>
              <w:jc w:val="right"/>
              <w:ind w:right="20"/>
              <w:spacing w:after="0" w:line="190" w:lineRule="exact"/>
              <w:rPr>
                <w:sz w:val="20"/>
                <w:szCs w:val="20"/>
                <w:color w:val="auto"/>
              </w:rPr>
            </w:pPr>
            <w:r>
              <w:rPr>
                <w:rFonts w:ascii="Arial" w:cs="Arial" w:eastAsia="Arial" w:hAnsi="Arial"/>
                <w:sz w:val="13"/>
                <w:szCs w:val="13"/>
                <w:color w:val="auto"/>
              </w:rPr>
              <w:t>2,685</w:t>
            </w:r>
            <w:r>
              <w:rPr>
                <w:rFonts w:ascii="Arial" w:cs="Arial" w:eastAsia="Arial" w:hAnsi="Arial"/>
                <w:sz w:val="21"/>
                <w:szCs w:val="21"/>
                <w:color w:val="auto"/>
                <w:vertAlign w:val="superscript"/>
              </w:rPr>
              <w:t>(d)</w:t>
            </w:r>
          </w:p>
        </w:tc>
        <w:tc>
          <w:tcPr>
            <w:tcW w:w="1160" w:type="dxa"/>
            <w:vAlign w:val="bottom"/>
            <w:tcBorders>
              <w:bottom w:val="single" w:sz="8" w:color="CCE9FF"/>
              <w:right w:val="single" w:sz="8" w:color="CCE9FF"/>
            </w:tcBorders>
          </w:tcPr>
          <w:p>
            <w:pPr>
              <w:jc w:val="right"/>
              <w:ind w:right="48"/>
              <w:spacing w:after="0"/>
              <w:rPr>
                <w:sz w:val="20"/>
                <w:szCs w:val="20"/>
                <w:color w:val="auto"/>
              </w:rPr>
            </w:pPr>
            <w:r>
              <w:rPr>
                <w:rFonts w:ascii="Arial" w:cs="Arial" w:eastAsia="Arial" w:hAnsi="Arial"/>
                <w:sz w:val="14"/>
                <w:szCs w:val="14"/>
                <w:color w:val="auto"/>
              </w:rPr>
              <w:t>186,500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60" w:firstLine="8"/>
        <w:spacing w:after="0" w:line="258" w:lineRule="auto"/>
        <w:tabs>
          <w:tab w:leader="none" w:pos="213" w:val="left"/>
        </w:tabs>
        <w:numPr>
          <w:ilvl w:val="0"/>
          <w:numId w:val="99"/>
        </w:numPr>
        <w:rPr>
          <w:rFonts w:ascii="Arial" w:cs="Arial" w:eastAsia="Arial" w:hAnsi="Arial"/>
          <w:sz w:val="14"/>
          <w:szCs w:val="14"/>
          <w:color w:val="262626"/>
        </w:rPr>
      </w:pPr>
      <w:r>
        <w:rPr>
          <w:rFonts w:ascii="Arial" w:cs="Arial" w:eastAsia="Arial" w:hAnsi="Arial"/>
          <w:sz w:val="14"/>
          <w:szCs w:val="14"/>
          <w:color w:val="262626"/>
        </w:rPr>
        <w:t>The stock option awards for Mr. Kapoor became vested in increments of 25% on each of the first, second, third and fourth anniversaries of the grant date, generally subject to continued employment through each applicable vesting date.</w:t>
      </w:r>
    </w:p>
    <w:p>
      <w:pPr>
        <w:spacing w:after="0" w:line="123"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9" w:lineRule="exact"/>
        <w:rPr>
          <w:sz w:val="20"/>
          <w:szCs w:val="20"/>
          <w:color w:val="auto"/>
        </w:rPr>
      </w:pPr>
    </w:p>
    <w:p>
      <w:pPr>
        <w:ind w:firstLine="8"/>
        <w:spacing w:after="0" w:line="258" w:lineRule="auto"/>
        <w:tabs>
          <w:tab w:leader="none" w:pos="213" w:val="left"/>
        </w:tabs>
        <w:numPr>
          <w:ilvl w:val="0"/>
          <w:numId w:val="100"/>
        </w:numPr>
        <w:rPr>
          <w:rFonts w:ascii="Arial" w:cs="Arial" w:eastAsia="Arial" w:hAnsi="Arial"/>
          <w:sz w:val="14"/>
          <w:szCs w:val="14"/>
          <w:color w:val="262626"/>
        </w:rPr>
      </w:pPr>
      <w:r>
        <w:rPr>
          <w:rFonts w:ascii="Arial" w:cs="Arial" w:eastAsia="Arial" w:hAnsi="Arial"/>
          <w:sz w:val="14"/>
          <w:szCs w:val="14"/>
          <w:color w:val="262626"/>
        </w:rPr>
        <w:t>The restricted stock unit awards in this table vest and convert to shares in accordance with the following schedule (generally subject to continued employment through each applicable vesting date): 25% of the restricted stock units vest on each of the first, second, third and fourth anniversaries of the grant date.</w:t>
      </w:r>
    </w:p>
    <w:p>
      <w:pPr>
        <w:spacing w:after="0" w:line="139" w:lineRule="exact"/>
        <w:rPr>
          <w:rFonts w:ascii="Arial" w:cs="Arial" w:eastAsia="Arial" w:hAnsi="Arial"/>
          <w:sz w:val="14"/>
          <w:szCs w:val="14"/>
          <w:color w:val="262626"/>
        </w:rPr>
      </w:pPr>
    </w:p>
    <w:p>
      <w:pPr>
        <w:ind w:right="780" w:firstLine="8"/>
        <w:spacing w:after="0" w:line="258" w:lineRule="auto"/>
        <w:tabs>
          <w:tab w:leader="none" w:pos="213" w:val="left"/>
        </w:tabs>
        <w:numPr>
          <w:ilvl w:val="0"/>
          <w:numId w:val="100"/>
        </w:numPr>
        <w:rPr>
          <w:rFonts w:ascii="Arial" w:cs="Arial" w:eastAsia="Arial" w:hAnsi="Arial"/>
          <w:sz w:val="14"/>
          <w:szCs w:val="14"/>
          <w:color w:val="262626"/>
        </w:rPr>
      </w:pPr>
      <w:r>
        <w:rPr>
          <w:rFonts w:ascii="Arial" w:cs="Arial" w:eastAsia="Arial" w:hAnsi="Arial"/>
          <w:sz w:val="14"/>
          <w:szCs w:val="14"/>
          <w:color w:val="262626"/>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39" w:lineRule="exact"/>
        <w:rPr>
          <w:rFonts w:ascii="Arial" w:cs="Arial" w:eastAsia="Arial" w:hAnsi="Arial"/>
          <w:sz w:val="14"/>
          <w:szCs w:val="14"/>
          <w:color w:val="262626"/>
        </w:rPr>
      </w:pPr>
    </w:p>
    <w:p>
      <w:pPr>
        <w:ind w:left="620" w:hanging="207"/>
        <w:spacing w:after="0"/>
        <w:tabs>
          <w:tab w:leader="none" w:pos="620" w:val="left"/>
        </w:tabs>
        <w:numPr>
          <w:ilvl w:val="1"/>
          <w:numId w:val="100"/>
        </w:numPr>
        <w:rPr>
          <w:rFonts w:ascii="Arial" w:cs="Arial" w:eastAsia="Arial" w:hAnsi="Arial"/>
          <w:sz w:val="14"/>
          <w:szCs w:val="14"/>
          <w:color w:val="262626"/>
        </w:rPr>
      </w:pPr>
      <w:r>
        <w:rPr>
          <w:rFonts w:ascii="Arial" w:cs="Arial" w:eastAsia="Arial" w:hAnsi="Arial"/>
          <w:sz w:val="14"/>
          <w:szCs w:val="14"/>
          <w:color w:val="262626"/>
        </w:rPr>
        <w:t>100% of the restricted stock units vest on December 31, 2020. This amount represents the 2018 Revenue-Linked PRSUs and reflects maximum performance.</w:t>
      </w:r>
    </w:p>
    <w:p>
      <w:pPr>
        <w:spacing w:after="0" w:line="163" w:lineRule="exact"/>
        <w:rPr>
          <w:rFonts w:ascii="Arial" w:cs="Arial" w:eastAsia="Arial" w:hAnsi="Arial"/>
          <w:sz w:val="14"/>
          <w:szCs w:val="14"/>
          <w:color w:val="262626"/>
        </w:rPr>
      </w:pPr>
    </w:p>
    <w:p>
      <w:pPr>
        <w:ind w:left="620" w:hanging="207"/>
        <w:spacing w:after="0"/>
        <w:tabs>
          <w:tab w:leader="none" w:pos="620" w:val="left"/>
        </w:tabs>
        <w:numPr>
          <w:ilvl w:val="1"/>
          <w:numId w:val="100"/>
        </w:numPr>
        <w:rPr>
          <w:rFonts w:ascii="Arial" w:cs="Arial" w:eastAsia="Arial" w:hAnsi="Arial"/>
          <w:sz w:val="14"/>
          <w:szCs w:val="14"/>
          <w:color w:val="262626"/>
        </w:rPr>
      </w:pPr>
      <w:r>
        <w:rPr>
          <w:rFonts w:ascii="Arial" w:cs="Arial" w:eastAsia="Arial" w:hAnsi="Arial"/>
          <w:sz w:val="14"/>
          <w:szCs w:val="14"/>
          <w:color w:val="262626"/>
        </w:rPr>
        <w:t>100% of the restricted stock units vest on December 31, 2020. This amount represents the 2018 Relative TSR-Linked PRSUs and reflects maximum performance.</w:t>
      </w:r>
    </w:p>
    <w:p>
      <w:pPr>
        <w:spacing w:after="0" w:line="163" w:lineRule="exact"/>
        <w:rPr>
          <w:rFonts w:ascii="Arial" w:cs="Arial" w:eastAsia="Arial" w:hAnsi="Arial"/>
          <w:sz w:val="14"/>
          <w:szCs w:val="14"/>
          <w:color w:val="262626"/>
        </w:rPr>
      </w:pPr>
    </w:p>
    <w:p>
      <w:pPr>
        <w:ind w:left="620" w:hanging="207"/>
        <w:spacing w:after="0"/>
        <w:tabs>
          <w:tab w:leader="none" w:pos="620" w:val="left"/>
        </w:tabs>
        <w:numPr>
          <w:ilvl w:val="1"/>
          <w:numId w:val="100"/>
        </w:numPr>
        <w:rPr>
          <w:rFonts w:ascii="Arial" w:cs="Arial" w:eastAsia="Arial" w:hAnsi="Arial"/>
          <w:sz w:val="14"/>
          <w:szCs w:val="14"/>
          <w:color w:val="262626"/>
        </w:rPr>
      </w:pPr>
      <w:r>
        <w:rPr>
          <w:rFonts w:ascii="Arial" w:cs="Arial" w:eastAsia="Arial" w:hAnsi="Arial"/>
          <w:sz w:val="14"/>
          <w:szCs w:val="14"/>
          <w:color w:val="262626"/>
        </w:rPr>
        <w:t>100% of the restricted stock units vest on December 31, 2021. This amount represents 2019 Revenue-Linked PRSUs and reflects target performance.</w:t>
      </w:r>
    </w:p>
    <w:p>
      <w:pPr>
        <w:spacing w:after="0" w:line="163" w:lineRule="exact"/>
        <w:rPr>
          <w:rFonts w:ascii="Arial" w:cs="Arial" w:eastAsia="Arial" w:hAnsi="Arial"/>
          <w:sz w:val="14"/>
          <w:szCs w:val="14"/>
          <w:color w:val="262626"/>
        </w:rPr>
      </w:pPr>
    </w:p>
    <w:p>
      <w:pPr>
        <w:ind w:left="620" w:hanging="207"/>
        <w:spacing w:after="0"/>
        <w:tabs>
          <w:tab w:leader="none" w:pos="620" w:val="left"/>
        </w:tabs>
        <w:numPr>
          <w:ilvl w:val="1"/>
          <w:numId w:val="100"/>
        </w:numPr>
        <w:rPr>
          <w:rFonts w:ascii="Arial" w:cs="Arial" w:eastAsia="Arial" w:hAnsi="Arial"/>
          <w:sz w:val="14"/>
          <w:szCs w:val="14"/>
          <w:color w:val="262626"/>
        </w:rPr>
      </w:pPr>
      <w:r>
        <w:rPr>
          <w:rFonts w:ascii="Arial" w:cs="Arial" w:eastAsia="Arial" w:hAnsi="Arial"/>
          <w:sz w:val="14"/>
          <w:szCs w:val="14"/>
          <w:color w:val="262626"/>
        </w:rPr>
        <w:t>100% of the restricted stock units vest on December 31, 2021. This amount represents 2019 Relative TSR-Linked PRSUs and reflects target performance.</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100"/>
        </w:numPr>
        <w:rPr>
          <w:rFonts w:ascii="Arial" w:cs="Arial" w:eastAsia="Arial" w:hAnsi="Arial"/>
          <w:sz w:val="14"/>
          <w:szCs w:val="14"/>
          <w:color w:val="262626"/>
        </w:rPr>
      </w:pPr>
      <w:r>
        <w:rPr>
          <w:rFonts w:ascii="Arial" w:cs="Arial" w:eastAsia="Arial" w:hAnsi="Arial"/>
          <w:sz w:val="14"/>
          <w:szCs w:val="14"/>
          <w:color w:val="262626"/>
        </w:rPr>
        <w:t>The price used in determining the market values set forth in this table is $69.46, which was the closing price of our stock on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Option Exercises and Stock Vested During Fiscal Year 2019</w:t>
      </w:r>
    </w:p>
    <w:p>
      <w:pPr>
        <w:spacing w:after="0" w:line="22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62626"/>
        </w:rPr>
        <w:t>The following table provides additional information about the value realized by our named executive officers on option award exercises and stock award vesting during fiscal year 2019:</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060" w:type="dxa"/>
            <w:vAlign w:val="bottom"/>
            <w:tcBorders>
              <w:left w:val="single" w:sz="8" w:color="C3E6FF"/>
            </w:tcBorders>
            <w:shd w:val="clear" w:color="auto" w:fill="102C5E"/>
          </w:tcPr>
          <w:p>
            <w:pPr>
              <w:spacing w:after="0"/>
              <w:rPr>
                <w:sz w:val="24"/>
                <w:szCs w:val="24"/>
                <w:color w:val="auto"/>
              </w:rPr>
            </w:pPr>
          </w:p>
        </w:tc>
        <w:tc>
          <w:tcPr>
            <w:tcW w:w="2560" w:type="dxa"/>
            <w:vAlign w:val="bottom"/>
            <w:shd w:val="clear" w:color="auto" w:fill="102C5E"/>
          </w:tcPr>
          <w:p>
            <w:pPr>
              <w:jc w:val="right"/>
              <w:ind w:right="630"/>
              <w:spacing w:after="0"/>
              <w:rPr>
                <w:sz w:val="20"/>
                <w:szCs w:val="20"/>
                <w:color w:val="auto"/>
              </w:rPr>
            </w:pPr>
            <w:r>
              <w:rPr>
                <w:rFonts w:ascii="Arial" w:cs="Arial" w:eastAsia="Arial" w:hAnsi="Arial"/>
                <w:sz w:val="18"/>
                <w:szCs w:val="18"/>
                <w:b w:val="1"/>
                <w:bCs w:val="1"/>
                <w:color w:val="FFFFFF"/>
              </w:rPr>
              <w:t>Option Awards</w:t>
            </w:r>
          </w:p>
        </w:tc>
        <w:tc>
          <w:tcPr>
            <w:tcW w:w="1740" w:type="dxa"/>
            <w:vAlign w:val="bottom"/>
            <w:shd w:val="clear" w:color="auto" w:fill="102C5E"/>
          </w:tcPr>
          <w:p>
            <w:pPr>
              <w:spacing w:after="0"/>
              <w:rPr>
                <w:sz w:val="24"/>
                <w:szCs w:val="24"/>
                <w:color w:val="auto"/>
              </w:rPr>
            </w:pPr>
          </w:p>
        </w:tc>
        <w:tc>
          <w:tcPr>
            <w:tcW w:w="2000" w:type="dxa"/>
            <w:vAlign w:val="bottom"/>
            <w:shd w:val="clear" w:color="auto" w:fill="102C5E"/>
          </w:tcPr>
          <w:p>
            <w:pPr>
              <w:jc w:val="right"/>
              <w:ind w:right="610"/>
              <w:spacing w:after="0"/>
              <w:rPr>
                <w:sz w:val="20"/>
                <w:szCs w:val="20"/>
                <w:color w:val="auto"/>
              </w:rPr>
            </w:pPr>
            <w:r>
              <w:rPr>
                <w:rFonts w:ascii="Arial" w:cs="Arial" w:eastAsia="Arial" w:hAnsi="Arial"/>
                <w:sz w:val="18"/>
                <w:szCs w:val="18"/>
                <w:b w:val="1"/>
                <w:bCs w:val="1"/>
                <w:color w:val="FFFFFF"/>
              </w:rPr>
              <w:t>Stock Awards</w:t>
            </w:r>
          </w:p>
        </w:tc>
        <w:tc>
          <w:tcPr>
            <w:tcW w:w="1760" w:type="dxa"/>
            <w:vAlign w:val="bottom"/>
            <w:tcBorders>
              <w:right w:val="single" w:sz="8" w:color="C3E6FF"/>
            </w:tcBorders>
            <w:shd w:val="clear" w:color="auto" w:fill="102C5E"/>
          </w:tcPr>
          <w:p>
            <w:pPr>
              <w:spacing w:after="0"/>
              <w:rPr>
                <w:sz w:val="24"/>
                <w:szCs w:val="24"/>
                <w:color w:val="auto"/>
              </w:rPr>
            </w:pPr>
          </w:p>
        </w:tc>
      </w:tr>
      <w:tr>
        <w:trPr>
          <w:trHeight w:val="94"/>
        </w:trPr>
        <w:tc>
          <w:tcPr>
            <w:tcW w:w="2060" w:type="dxa"/>
            <w:vAlign w:val="bottom"/>
            <w:tcBorders>
              <w:left w:val="single" w:sz="8" w:color="C3E6FF"/>
            </w:tcBorders>
            <w:shd w:val="clear" w:color="auto" w:fill="102C5E"/>
          </w:tcPr>
          <w:p>
            <w:pPr>
              <w:spacing w:after="0"/>
              <w:rPr>
                <w:sz w:val="8"/>
                <w:szCs w:val="8"/>
                <w:color w:val="auto"/>
              </w:rPr>
            </w:pPr>
          </w:p>
        </w:tc>
        <w:tc>
          <w:tcPr>
            <w:tcW w:w="2560" w:type="dxa"/>
            <w:vAlign w:val="bottom"/>
            <w:shd w:val="clear" w:color="auto" w:fill="102C5E"/>
          </w:tcPr>
          <w:p>
            <w:pPr>
              <w:spacing w:after="0"/>
              <w:rPr>
                <w:sz w:val="8"/>
                <w:szCs w:val="8"/>
                <w:color w:val="auto"/>
              </w:rPr>
            </w:pPr>
          </w:p>
        </w:tc>
        <w:tc>
          <w:tcPr>
            <w:tcW w:w="1740" w:type="dxa"/>
            <w:vAlign w:val="bottom"/>
            <w:shd w:val="clear" w:color="auto" w:fill="102C5E"/>
          </w:tcPr>
          <w:p>
            <w:pPr>
              <w:spacing w:after="0"/>
              <w:rPr>
                <w:sz w:val="8"/>
                <w:szCs w:val="8"/>
                <w:color w:val="auto"/>
              </w:rPr>
            </w:pPr>
          </w:p>
        </w:tc>
        <w:tc>
          <w:tcPr>
            <w:tcW w:w="2000" w:type="dxa"/>
            <w:vAlign w:val="bottom"/>
            <w:shd w:val="clear" w:color="auto" w:fill="102C5E"/>
          </w:tcPr>
          <w:p>
            <w:pPr>
              <w:spacing w:after="0"/>
              <w:rPr>
                <w:sz w:val="8"/>
                <w:szCs w:val="8"/>
                <w:color w:val="auto"/>
              </w:rPr>
            </w:pPr>
          </w:p>
        </w:tc>
        <w:tc>
          <w:tcPr>
            <w:tcW w:w="1760" w:type="dxa"/>
            <w:vAlign w:val="bottom"/>
            <w:tcBorders>
              <w:right w:val="single" w:sz="8" w:color="C3E6FF"/>
            </w:tcBorders>
            <w:shd w:val="clear" w:color="auto" w:fill="102C5E"/>
          </w:tcPr>
          <w:p>
            <w:pPr>
              <w:spacing w:after="0"/>
              <w:rPr>
                <w:sz w:val="8"/>
                <w:szCs w:val="8"/>
                <w:color w:val="auto"/>
              </w:rPr>
            </w:pPr>
          </w:p>
        </w:tc>
      </w:tr>
      <w:tr>
        <w:trPr>
          <w:trHeight w:val="288"/>
        </w:trPr>
        <w:tc>
          <w:tcPr>
            <w:tcW w:w="2060" w:type="dxa"/>
            <w:vAlign w:val="bottom"/>
            <w:tcBorders>
              <w:left w:val="single" w:sz="8" w:color="C3E6FF"/>
            </w:tcBorders>
            <w:shd w:val="clear" w:color="auto" w:fill="0093FF"/>
          </w:tcPr>
          <w:p>
            <w:pPr>
              <w:spacing w:after="0"/>
              <w:rPr>
                <w:sz w:val="24"/>
                <w:szCs w:val="24"/>
                <w:color w:val="auto"/>
              </w:rPr>
            </w:pPr>
          </w:p>
        </w:tc>
        <w:tc>
          <w:tcPr>
            <w:tcW w:w="2560" w:type="dxa"/>
            <w:vAlign w:val="bottom"/>
            <w:shd w:val="clear" w:color="auto" w:fill="0093FF"/>
          </w:tcPr>
          <w:p>
            <w:pPr>
              <w:jc w:val="center"/>
              <w:ind w:left="170"/>
              <w:spacing w:after="0"/>
              <w:rPr>
                <w:sz w:val="20"/>
                <w:szCs w:val="20"/>
                <w:color w:val="auto"/>
              </w:rPr>
            </w:pPr>
            <w:r>
              <w:rPr>
                <w:rFonts w:ascii="Arial" w:cs="Arial" w:eastAsia="Arial" w:hAnsi="Arial"/>
                <w:sz w:val="18"/>
                <w:szCs w:val="18"/>
                <w:b w:val="1"/>
                <w:bCs w:val="1"/>
                <w:color w:val="FFFFFF"/>
                <w:w w:val="99"/>
              </w:rPr>
              <w:t>Number of Shares</w:t>
            </w:r>
          </w:p>
        </w:tc>
        <w:tc>
          <w:tcPr>
            <w:tcW w:w="1740" w:type="dxa"/>
            <w:vAlign w:val="bottom"/>
            <w:shd w:val="clear" w:color="auto" w:fill="0093FF"/>
          </w:tcPr>
          <w:p>
            <w:pPr>
              <w:jc w:val="center"/>
              <w:ind w:right="130"/>
              <w:spacing w:after="0"/>
              <w:rPr>
                <w:sz w:val="20"/>
                <w:szCs w:val="20"/>
                <w:color w:val="auto"/>
              </w:rPr>
            </w:pPr>
            <w:r>
              <w:rPr>
                <w:rFonts w:ascii="Arial" w:cs="Arial" w:eastAsia="Arial" w:hAnsi="Arial"/>
                <w:sz w:val="18"/>
                <w:szCs w:val="18"/>
                <w:b w:val="1"/>
                <w:bCs w:val="1"/>
                <w:color w:val="FFFFFF"/>
                <w:w w:val="99"/>
              </w:rPr>
              <w:t>Value</w:t>
            </w:r>
          </w:p>
        </w:tc>
        <w:tc>
          <w:tcPr>
            <w:tcW w:w="2000" w:type="dxa"/>
            <w:vAlign w:val="bottom"/>
            <w:shd w:val="clear" w:color="auto" w:fill="0093FF"/>
          </w:tcPr>
          <w:p>
            <w:pPr>
              <w:jc w:val="center"/>
              <w:ind w:right="30"/>
              <w:spacing w:after="0"/>
              <w:rPr>
                <w:sz w:val="20"/>
                <w:szCs w:val="20"/>
                <w:color w:val="auto"/>
              </w:rPr>
            </w:pPr>
            <w:r>
              <w:rPr>
                <w:rFonts w:ascii="Arial" w:cs="Arial" w:eastAsia="Arial" w:hAnsi="Arial"/>
                <w:sz w:val="18"/>
                <w:szCs w:val="18"/>
                <w:b w:val="1"/>
                <w:bCs w:val="1"/>
                <w:color w:val="FFFFFF"/>
              </w:rPr>
              <w:t>Number of Shares</w:t>
            </w:r>
          </w:p>
        </w:tc>
        <w:tc>
          <w:tcPr>
            <w:tcW w:w="1760" w:type="dxa"/>
            <w:vAlign w:val="bottom"/>
            <w:tcBorders>
              <w:right w:val="single" w:sz="8" w:color="C3E6FF"/>
            </w:tcBorders>
            <w:shd w:val="clear" w:color="auto" w:fill="0093FF"/>
          </w:tcPr>
          <w:p>
            <w:pPr>
              <w:spacing w:after="0"/>
              <w:rPr>
                <w:sz w:val="24"/>
                <w:szCs w:val="24"/>
                <w:color w:val="auto"/>
              </w:rPr>
            </w:pPr>
          </w:p>
        </w:tc>
      </w:tr>
      <w:tr>
        <w:trPr>
          <w:trHeight w:val="203"/>
        </w:trPr>
        <w:tc>
          <w:tcPr>
            <w:tcW w:w="2060" w:type="dxa"/>
            <w:vAlign w:val="bottom"/>
            <w:tcBorders>
              <w:left w:val="single" w:sz="8" w:color="C3E6FF"/>
            </w:tcBorders>
            <w:shd w:val="clear" w:color="auto" w:fill="0093FF"/>
          </w:tcPr>
          <w:p>
            <w:pPr>
              <w:spacing w:after="0"/>
              <w:rPr>
                <w:sz w:val="17"/>
                <w:szCs w:val="17"/>
                <w:color w:val="auto"/>
              </w:rPr>
            </w:pPr>
          </w:p>
        </w:tc>
        <w:tc>
          <w:tcPr>
            <w:tcW w:w="2560" w:type="dxa"/>
            <w:vAlign w:val="bottom"/>
            <w:shd w:val="clear" w:color="auto" w:fill="0093FF"/>
          </w:tcPr>
          <w:p>
            <w:pPr>
              <w:jc w:val="center"/>
              <w:ind w:left="170"/>
              <w:spacing w:after="0" w:line="202" w:lineRule="exact"/>
              <w:rPr>
                <w:sz w:val="20"/>
                <w:szCs w:val="20"/>
                <w:color w:val="auto"/>
              </w:rPr>
            </w:pPr>
            <w:r>
              <w:rPr>
                <w:rFonts w:ascii="Arial" w:cs="Arial" w:eastAsia="Arial" w:hAnsi="Arial"/>
                <w:sz w:val="18"/>
                <w:szCs w:val="18"/>
                <w:b w:val="1"/>
                <w:bCs w:val="1"/>
                <w:color w:val="FFFFFF"/>
              </w:rPr>
              <w:t>Acquired on</w:t>
            </w:r>
          </w:p>
        </w:tc>
        <w:tc>
          <w:tcPr>
            <w:tcW w:w="1740" w:type="dxa"/>
            <w:vAlign w:val="bottom"/>
            <w:shd w:val="clear" w:color="auto" w:fill="0093FF"/>
          </w:tcPr>
          <w:p>
            <w:pPr>
              <w:jc w:val="center"/>
              <w:ind w:right="130"/>
              <w:spacing w:after="0" w:line="202" w:lineRule="exact"/>
              <w:rPr>
                <w:sz w:val="20"/>
                <w:szCs w:val="20"/>
                <w:color w:val="auto"/>
              </w:rPr>
            </w:pPr>
            <w:r>
              <w:rPr>
                <w:rFonts w:ascii="Arial" w:cs="Arial" w:eastAsia="Arial" w:hAnsi="Arial"/>
                <w:sz w:val="18"/>
                <w:szCs w:val="18"/>
                <w:b w:val="1"/>
                <w:bCs w:val="1"/>
                <w:color w:val="FFFFFF"/>
                <w:w w:val="99"/>
              </w:rPr>
              <w:t>Realized on</w:t>
            </w:r>
          </w:p>
        </w:tc>
        <w:tc>
          <w:tcPr>
            <w:tcW w:w="2000" w:type="dxa"/>
            <w:vAlign w:val="bottom"/>
            <w:shd w:val="clear" w:color="auto" w:fill="0093FF"/>
          </w:tcPr>
          <w:p>
            <w:pPr>
              <w:jc w:val="center"/>
              <w:ind w:right="30"/>
              <w:spacing w:after="0" w:line="202" w:lineRule="exact"/>
              <w:rPr>
                <w:sz w:val="20"/>
                <w:szCs w:val="20"/>
                <w:color w:val="auto"/>
              </w:rPr>
            </w:pPr>
            <w:r>
              <w:rPr>
                <w:rFonts w:ascii="Arial" w:cs="Arial" w:eastAsia="Arial" w:hAnsi="Arial"/>
                <w:sz w:val="18"/>
                <w:szCs w:val="18"/>
                <w:b w:val="1"/>
                <w:bCs w:val="1"/>
                <w:color w:val="FFFFFF"/>
                <w:w w:val="98"/>
              </w:rPr>
              <w:t>Acquired on</w:t>
            </w:r>
          </w:p>
        </w:tc>
        <w:tc>
          <w:tcPr>
            <w:tcW w:w="1760" w:type="dxa"/>
            <w:vAlign w:val="bottom"/>
            <w:tcBorders>
              <w:right w:val="single" w:sz="8" w:color="C3E6FF"/>
            </w:tcBorders>
            <w:shd w:val="clear" w:color="auto" w:fill="0093FF"/>
          </w:tcPr>
          <w:p>
            <w:pPr>
              <w:jc w:val="center"/>
              <w:ind w:right="70"/>
              <w:spacing w:after="0" w:line="202" w:lineRule="exact"/>
              <w:rPr>
                <w:sz w:val="20"/>
                <w:szCs w:val="20"/>
                <w:color w:val="auto"/>
              </w:rPr>
            </w:pPr>
            <w:r>
              <w:rPr>
                <w:rFonts w:ascii="Arial" w:cs="Arial" w:eastAsia="Arial" w:hAnsi="Arial"/>
                <w:sz w:val="18"/>
                <w:szCs w:val="18"/>
                <w:b w:val="1"/>
                <w:bCs w:val="1"/>
                <w:color w:val="FFFFFF"/>
                <w:w w:val="98"/>
              </w:rPr>
              <w:t>Value Realized</w:t>
            </w:r>
          </w:p>
        </w:tc>
      </w:tr>
      <w:tr>
        <w:trPr>
          <w:trHeight w:val="202"/>
        </w:trPr>
        <w:tc>
          <w:tcPr>
            <w:tcW w:w="2060" w:type="dxa"/>
            <w:vAlign w:val="bottom"/>
            <w:tcBorders>
              <w:left w:val="single" w:sz="8" w:color="C3E6FF"/>
            </w:tcBorders>
            <w:shd w:val="clear" w:color="auto" w:fill="0093FF"/>
          </w:tcPr>
          <w:p>
            <w:pPr>
              <w:spacing w:after="0"/>
              <w:rPr>
                <w:sz w:val="17"/>
                <w:szCs w:val="17"/>
                <w:color w:val="auto"/>
              </w:rPr>
            </w:pPr>
          </w:p>
        </w:tc>
        <w:tc>
          <w:tcPr>
            <w:tcW w:w="2560" w:type="dxa"/>
            <w:vAlign w:val="bottom"/>
            <w:shd w:val="clear" w:color="auto" w:fill="0093FF"/>
          </w:tcPr>
          <w:p>
            <w:pPr>
              <w:jc w:val="center"/>
              <w:ind w:left="210"/>
              <w:spacing w:after="0" w:line="202" w:lineRule="exact"/>
              <w:rPr>
                <w:sz w:val="20"/>
                <w:szCs w:val="20"/>
                <w:color w:val="auto"/>
              </w:rPr>
            </w:pPr>
            <w:r>
              <w:rPr>
                <w:rFonts w:ascii="Arial" w:cs="Arial" w:eastAsia="Arial" w:hAnsi="Arial"/>
                <w:sz w:val="18"/>
                <w:szCs w:val="18"/>
                <w:b w:val="1"/>
                <w:bCs w:val="1"/>
                <w:color w:val="FFFFFF"/>
                <w:w w:val="99"/>
              </w:rPr>
              <w:t>Exercise</w:t>
            </w:r>
          </w:p>
        </w:tc>
        <w:tc>
          <w:tcPr>
            <w:tcW w:w="1740" w:type="dxa"/>
            <w:vAlign w:val="bottom"/>
            <w:shd w:val="clear" w:color="auto" w:fill="0093FF"/>
          </w:tcPr>
          <w:p>
            <w:pPr>
              <w:jc w:val="center"/>
              <w:ind w:right="70"/>
              <w:spacing w:after="0" w:line="202" w:lineRule="exact"/>
              <w:rPr>
                <w:sz w:val="20"/>
                <w:szCs w:val="20"/>
                <w:color w:val="auto"/>
              </w:rPr>
            </w:pPr>
            <w:r>
              <w:rPr>
                <w:rFonts w:ascii="Arial" w:cs="Arial" w:eastAsia="Arial" w:hAnsi="Arial"/>
                <w:sz w:val="18"/>
                <w:szCs w:val="18"/>
                <w:b w:val="1"/>
                <w:bCs w:val="1"/>
                <w:color w:val="FFFFFF"/>
                <w:w w:val="99"/>
              </w:rPr>
              <w:t>Exercise</w:t>
            </w:r>
          </w:p>
        </w:tc>
        <w:tc>
          <w:tcPr>
            <w:tcW w:w="2000" w:type="dxa"/>
            <w:vAlign w:val="bottom"/>
            <w:shd w:val="clear" w:color="auto" w:fill="0093FF"/>
          </w:tcPr>
          <w:p>
            <w:pPr>
              <w:jc w:val="center"/>
              <w:spacing w:after="0" w:line="202" w:lineRule="exact"/>
              <w:rPr>
                <w:sz w:val="20"/>
                <w:szCs w:val="20"/>
                <w:color w:val="auto"/>
              </w:rPr>
            </w:pPr>
            <w:r>
              <w:rPr>
                <w:rFonts w:ascii="Arial" w:cs="Arial" w:eastAsia="Arial" w:hAnsi="Arial"/>
                <w:sz w:val="18"/>
                <w:szCs w:val="18"/>
                <w:b w:val="1"/>
                <w:bCs w:val="1"/>
                <w:color w:val="FFFFFF"/>
                <w:w w:val="98"/>
              </w:rPr>
              <w:t>Vesting</w:t>
            </w:r>
          </w:p>
        </w:tc>
        <w:tc>
          <w:tcPr>
            <w:tcW w:w="1760" w:type="dxa"/>
            <w:vAlign w:val="bottom"/>
            <w:tcBorders>
              <w:right w:val="single" w:sz="8" w:color="C3E6FF"/>
            </w:tcBorders>
            <w:shd w:val="clear" w:color="auto" w:fill="0093FF"/>
          </w:tcPr>
          <w:p>
            <w:pPr>
              <w:jc w:val="center"/>
              <w:ind w:right="10"/>
              <w:spacing w:after="0" w:line="202" w:lineRule="exact"/>
              <w:rPr>
                <w:sz w:val="20"/>
                <w:szCs w:val="20"/>
                <w:color w:val="auto"/>
              </w:rPr>
            </w:pPr>
            <w:r>
              <w:rPr>
                <w:rFonts w:ascii="Arial" w:cs="Arial" w:eastAsia="Arial" w:hAnsi="Arial"/>
                <w:sz w:val="18"/>
                <w:szCs w:val="18"/>
                <w:b w:val="1"/>
                <w:bCs w:val="1"/>
                <w:color w:val="FFFFFF"/>
                <w:w w:val="97"/>
              </w:rPr>
              <w:t>on Vesting</w:t>
            </w:r>
          </w:p>
        </w:tc>
      </w:tr>
      <w:tr>
        <w:trPr>
          <w:trHeight w:val="239"/>
        </w:trPr>
        <w:tc>
          <w:tcPr>
            <w:tcW w:w="2060" w:type="dxa"/>
            <w:vAlign w:val="bottom"/>
            <w:tcBorders>
              <w:left w:val="single" w:sz="8" w:color="C3E6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Name</w:t>
            </w:r>
          </w:p>
        </w:tc>
        <w:tc>
          <w:tcPr>
            <w:tcW w:w="2560" w:type="dxa"/>
            <w:vAlign w:val="bottom"/>
            <w:shd w:val="clear" w:color="auto" w:fill="0093FF"/>
          </w:tcPr>
          <w:p>
            <w:pPr>
              <w:jc w:val="center"/>
              <w:ind w:left="210"/>
              <w:spacing w:after="0"/>
              <w:rPr>
                <w:sz w:val="20"/>
                <w:szCs w:val="20"/>
                <w:color w:val="auto"/>
              </w:rPr>
            </w:pPr>
            <w:r>
              <w:rPr>
                <w:rFonts w:ascii="Arial" w:cs="Arial" w:eastAsia="Arial" w:hAnsi="Arial"/>
                <w:sz w:val="18"/>
                <w:szCs w:val="18"/>
                <w:b w:val="1"/>
                <w:bCs w:val="1"/>
                <w:color w:val="FFFFFF"/>
                <w:w w:val="99"/>
              </w:rPr>
              <w:t>(#)</w:t>
            </w:r>
          </w:p>
        </w:tc>
        <w:tc>
          <w:tcPr>
            <w:tcW w:w="1740" w:type="dxa"/>
            <w:vAlign w:val="bottom"/>
            <w:shd w:val="clear" w:color="auto" w:fill="0093FF"/>
          </w:tcPr>
          <w:p>
            <w:pPr>
              <w:jc w:val="center"/>
              <w:ind w:right="70"/>
              <w:spacing w:after="0"/>
              <w:rPr>
                <w:sz w:val="20"/>
                <w:szCs w:val="20"/>
                <w:color w:val="auto"/>
              </w:rPr>
            </w:pPr>
            <w:r>
              <w:rPr>
                <w:rFonts w:ascii="Arial" w:cs="Arial" w:eastAsia="Arial" w:hAnsi="Arial"/>
                <w:sz w:val="18"/>
                <w:szCs w:val="18"/>
                <w:b w:val="1"/>
                <w:bCs w:val="1"/>
                <w:color w:val="FFFFFF"/>
                <w:w w:val="99"/>
              </w:rPr>
              <w:t>($)</w:t>
            </w:r>
          </w:p>
        </w:tc>
        <w:tc>
          <w:tcPr>
            <w:tcW w:w="2000" w:type="dxa"/>
            <w:vAlign w:val="bottom"/>
            <w:shd w:val="clear" w:color="auto" w:fill="0093FF"/>
          </w:tcPr>
          <w:p>
            <w:pPr>
              <w:jc w:val="center"/>
              <w:ind w:right="10"/>
              <w:spacing w:after="0"/>
              <w:rPr>
                <w:sz w:val="20"/>
                <w:szCs w:val="20"/>
                <w:color w:val="auto"/>
              </w:rPr>
            </w:pPr>
            <w:r>
              <w:rPr>
                <w:rFonts w:ascii="Arial" w:cs="Arial" w:eastAsia="Arial" w:hAnsi="Arial"/>
                <w:sz w:val="18"/>
                <w:szCs w:val="18"/>
                <w:b w:val="1"/>
                <w:bCs w:val="1"/>
                <w:color w:val="FFFFFF"/>
                <w:w w:val="99"/>
              </w:rPr>
              <w:t>(#)</w:t>
            </w:r>
          </w:p>
        </w:tc>
        <w:tc>
          <w:tcPr>
            <w:tcW w:w="1760" w:type="dxa"/>
            <w:vAlign w:val="bottom"/>
            <w:tcBorders>
              <w:right w:val="single" w:sz="8" w:color="C3E6FF"/>
            </w:tcBorders>
            <w:shd w:val="clear" w:color="auto" w:fill="0093FF"/>
          </w:tcPr>
          <w:p>
            <w:pPr>
              <w:jc w:val="center"/>
              <w:ind w:right="10"/>
              <w:spacing w:after="0"/>
              <w:rPr>
                <w:sz w:val="20"/>
                <w:szCs w:val="20"/>
                <w:color w:val="auto"/>
              </w:rPr>
            </w:pPr>
            <w:r>
              <w:rPr>
                <w:rFonts w:ascii="Arial" w:cs="Arial" w:eastAsia="Arial" w:hAnsi="Arial"/>
                <w:sz w:val="18"/>
                <w:szCs w:val="18"/>
                <w:b w:val="1"/>
                <w:bCs w:val="1"/>
                <w:color w:val="FFFFFF"/>
                <w:w w:val="99"/>
              </w:rPr>
              <w:t>($)</w:t>
            </w:r>
          </w:p>
        </w:tc>
      </w:tr>
      <w:tr>
        <w:trPr>
          <w:trHeight w:val="95"/>
        </w:trPr>
        <w:tc>
          <w:tcPr>
            <w:tcW w:w="2060" w:type="dxa"/>
            <w:vAlign w:val="bottom"/>
            <w:tcBorders>
              <w:left w:val="single" w:sz="8" w:color="C3E6FF"/>
            </w:tcBorders>
            <w:shd w:val="clear" w:color="auto" w:fill="0093FF"/>
          </w:tcPr>
          <w:p>
            <w:pPr>
              <w:spacing w:after="0"/>
              <w:rPr>
                <w:sz w:val="8"/>
                <w:szCs w:val="8"/>
                <w:color w:val="auto"/>
              </w:rPr>
            </w:pPr>
          </w:p>
        </w:tc>
        <w:tc>
          <w:tcPr>
            <w:tcW w:w="2560" w:type="dxa"/>
            <w:vAlign w:val="bottom"/>
            <w:shd w:val="clear" w:color="auto" w:fill="0093FF"/>
          </w:tcPr>
          <w:p>
            <w:pPr>
              <w:spacing w:after="0"/>
              <w:rPr>
                <w:sz w:val="8"/>
                <w:szCs w:val="8"/>
                <w:color w:val="auto"/>
              </w:rPr>
            </w:pPr>
          </w:p>
        </w:tc>
        <w:tc>
          <w:tcPr>
            <w:tcW w:w="1740" w:type="dxa"/>
            <w:vAlign w:val="bottom"/>
            <w:shd w:val="clear" w:color="auto" w:fill="0093FF"/>
          </w:tcPr>
          <w:p>
            <w:pPr>
              <w:spacing w:after="0"/>
              <w:rPr>
                <w:sz w:val="8"/>
                <w:szCs w:val="8"/>
                <w:color w:val="auto"/>
              </w:rPr>
            </w:pPr>
          </w:p>
        </w:tc>
        <w:tc>
          <w:tcPr>
            <w:tcW w:w="2000" w:type="dxa"/>
            <w:vAlign w:val="bottom"/>
            <w:shd w:val="clear" w:color="auto" w:fill="0093FF"/>
          </w:tcPr>
          <w:p>
            <w:pPr>
              <w:spacing w:after="0"/>
              <w:rPr>
                <w:sz w:val="8"/>
                <w:szCs w:val="8"/>
                <w:color w:val="auto"/>
              </w:rPr>
            </w:pPr>
          </w:p>
        </w:tc>
        <w:tc>
          <w:tcPr>
            <w:tcW w:w="1760" w:type="dxa"/>
            <w:vAlign w:val="bottom"/>
            <w:tcBorders>
              <w:right w:val="single" w:sz="8" w:color="C3E6FF"/>
            </w:tcBorders>
            <w:shd w:val="clear" w:color="auto" w:fill="0093FF"/>
          </w:tcPr>
          <w:p>
            <w:pPr>
              <w:spacing w:after="0"/>
              <w:rPr>
                <w:sz w:val="8"/>
                <w:szCs w:val="8"/>
                <w:color w:val="auto"/>
              </w:rPr>
            </w:pPr>
          </w:p>
        </w:tc>
      </w:tr>
      <w:tr>
        <w:trPr>
          <w:trHeight w:val="324"/>
        </w:trPr>
        <w:tc>
          <w:tcPr>
            <w:tcW w:w="206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Rohit Kapoor</w:t>
            </w:r>
          </w:p>
        </w:tc>
        <w:tc>
          <w:tcPr>
            <w:tcW w:w="256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18,241</w:t>
            </w:r>
          </w:p>
        </w:tc>
        <w:tc>
          <w:tcPr>
            <w:tcW w:w="1740" w:type="dxa"/>
            <w:vAlign w:val="bottom"/>
            <w:shd w:val="clear" w:color="auto" w:fill="F3F9FF"/>
          </w:tcPr>
          <w:p>
            <w:pPr>
              <w:jc w:val="right"/>
              <w:ind w:right="10"/>
              <w:spacing w:after="0"/>
              <w:rPr>
                <w:sz w:val="20"/>
                <w:szCs w:val="20"/>
                <w:color w:val="auto"/>
              </w:rPr>
            </w:pPr>
            <w:r>
              <w:rPr>
                <w:rFonts w:ascii="Arial" w:cs="Arial" w:eastAsia="Arial" w:hAnsi="Arial"/>
                <w:sz w:val="18"/>
                <w:szCs w:val="18"/>
                <w:color w:val="auto"/>
              </w:rPr>
              <w:t>841,498</w:t>
            </w:r>
          </w:p>
        </w:tc>
        <w:tc>
          <w:tcPr>
            <w:tcW w:w="2000" w:type="dxa"/>
            <w:vAlign w:val="bottom"/>
            <w:shd w:val="clear" w:color="auto" w:fill="F3F9FF"/>
          </w:tcPr>
          <w:p>
            <w:pPr>
              <w:jc w:val="right"/>
              <w:ind w:right="90"/>
              <w:spacing w:after="0"/>
              <w:rPr>
                <w:sz w:val="20"/>
                <w:szCs w:val="20"/>
                <w:color w:val="auto"/>
              </w:rPr>
            </w:pPr>
            <w:r>
              <w:rPr>
                <w:rFonts w:ascii="Arial" w:cs="Arial" w:eastAsia="Arial" w:hAnsi="Arial"/>
                <w:sz w:val="18"/>
                <w:szCs w:val="18"/>
                <w:color w:val="auto"/>
              </w:rPr>
              <w:t>70,929</w:t>
            </w:r>
          </w:p>
        </w:tc>
        <w:tc>
          <w:tcPr>
            <w:tcW w:w="1760" w:type="dxa"/>
            <w:vAlign w:val="bottom"/>
            <w:tcBorders>
              <w:right w:val="single" w:sz="8" w:color="C3E6FF"/>
            </w:tcBorders>
            <w:shd w:val="clear" w:color="auto" w:fill="F3F9FF"/>
          </w:tcPr>
          <w:p>
            <w:pPr>
              <w:jc w:val="right"/>
              <w:ind w:right="30"/>
              <w:spacing w:after="0"/>
              <w:rPr>
                <w:sz w:val="20"/>
                <w:szCs w:val="20"/>
                <w:color w:val="auto"/>
              </w:rPr>
            </w:pPr>
            <w:r>
              <w:rPr>
                <w:rFonts w:ascii="Arial" w:cs="Arial" w:eastAsia="Arial" w:hAnsi="Arial"/>
                <w:sz w:val="18"/>
                <w:szCs w:val="18"/>
                <w:color w:val="auto"/>
              </w:rPr>
              <w:t>4,883,578</w:t>
            </w:r>
          </w:p>
        </w:tc>
      </w:tr>
      <w:tr>
        <w:trPr>
          <w:trHeight w:val="94"/>
        </w:trPr>
        <w:tc>
          <w:tcPr>
            <w:tcW w:w="2060" w:type="dxa"/>
            <w:vAlign w:val="bottom"/>
            <w:tcBorders>
              <w:left w:val="single" w:sz="8" w:color="C3E6FF"/>
            </w:tcBorders>
            <w:shd w:val="clear" w:color="auto" w:fill="F3F9FF"/>
          </w:tcPr>
          <w:p>
            <w:pPr>
              <w:spacing w:after="0"/>
              <w:rPr>
                <w:sz w:val="8"/>
                <w:szCs w:val="8"/>
                <w:color w:val="auto"/>
              </w:rPr>
            </w:pPr>
          </w:p>
        </w:tc>
        <w:tc>
          <w:tcPr>
            <w:tcW w:w="2560" w:type="dxa"/>
            <w:vAlign w:val="bottom"/>
            <w:shd w:val="clear" w:color="auto" w:fill="F3F9FF"/>
          </w:tcPr>
          <w:p>
            <w:pPr>
              <w:spacing w:after="0"/>
              <w:rPr>
                <w:sz w:val="8"/>
                <w:szCs w:val="8"/>
                <w:color w:val="auto"/>
              </w:rPr>
            </w:pPr>
          </w:p>
        </w:tc>
        <w:tc>
          <w:tcPr>
            <w:tcW w:w="1740" w:type="dxa"/>
            <w:vAlign w:val="bottom"/>
            <w:shd w:val="clear" w:color="auto" w:fill="F3F9FF"/>
          </w:tcPr>
          <w:p>
            <w:pPr>
              <w:spacing w:after="0"/>
              <w:rPr>
                <w:sz w:val="8"/>
                <w:szCs w:val="8"/>
                <w:color w:val="auto"/>
              </w:rPr>
            </w:pPr>
          </w:p>
        </w:tc>
        <w:tc>
          <w:tcPr>
            <w:tcW w:w="2000" w:type="dxa"/>
            <w:vAlign w:val="bottom"/>
            <w:shd w:val="clear" w:color="auto" w:fill="F3F9FF"/>
          </w:tcPr>
          <w:p>
            <w:pPr>
              <w:spacing w:after="0"/>
              <w:rPr>
                <w:sz w:val="8"/>
                <w:szCs w:val="8"/>
                <w:color w:val="auto"/>
              </w:rPr>
            </w:pPr>
          </w:p>
        </w:tc>
        <w:tc>
          <w:tcPr>
            <w:tcW w:w="1760" w:type="dxa"/>
            <w:vAlign w:val="bottom"/>
            <w:tcBorders>
              <w:right w:val="single" w:sz="8" w:color="C3E6FF"/>
            </w:tcBorders>
            <w:shd w:val="clear" w:color="auto" w:fill="F3F9FF"/>
          </w:tcPr>
          <w:p>
            <w:pPr>
              <w:spacing w:after="0"/>
              <w:rPr>
                <w:sz w:val="8"/>
                <w:szCs w:val="8"/>
                <w:color w:val="auto"/>
              </w:rPr>
            </w:pPr>
          </w:p>
        </w:tc>
      </w:tr>
      <w:tr>
        <w:trPr>
          <w:trHeight w:val="324"/>
        </w:trPr>
        <w:tc>
          <w:tcPr>
            <w:tcW w:w="206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Vishal Chhibbar</w:t>
            </w:r>
          </w:p>
        </w:tc>
        <w:tc>
          <w:tcPr>
            <w:tcW w:w="2560" w:type="dxa"/>
            <w:vAlign w:val="bottom"/>
          </w:tcPr>
          <w:p>
            <w:pPr>
              <w:jc w:val="right"/>
              <w:ind w:right="170"/>
              <w:spacing w:after="0"/>
              <w:rPr>
                <w:sz w:val="20"/>
                <w:szCs w:val="20"/>
                <w:color w:val="auto"/>
              </w:rPr>
            </w:pPr>
            <w:r>
              <w:rPr>
                <w:rFonts w:ascii="Arial" w:cs="Arial" w:eastAsia="Arial" w:hAnsi="Arial"/>
                <w:sz w:val="18"/>
                <w:szCs w:val="18"/>
                <w:color w:val="auto"/>
              </w:rPr>
              <w:t>33,000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1,679,807</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8,406</w:t>
            </w:r>
          </w:p>
        </w:tc>
        <w:tc>
          <w:tcPr>
            <w:tcW w:w="1760" w:type="dxa"/>
            <w:vAlign w:val="bottom"/>
            <w:tcBorders>
              <w:right w:val="single" w:sz="8" w:color="C3E6FF"/>
            </w:tcBorders>
          </w:tcPr>
          <w:p>
            <w:pPr>
              <w:jc w:val="right"/>
              <w:ind w:right="30"/>
              <w:spacing w:after="0"/>
              <w:rPr>
                <w:sz w:val="20"/>
                <w:szCs w:val="20"/>
                <w:color w:val="auto"/>
              </w:rPr>
            </w:pPr>
            <w:r>
              <w:rPr>
                <w:rFonts w:ascii="Arial" w:cs="Arial" w:eastAsia="Arial" w:hAnsi="Arial"/>
                <w:sz w:val="18"/>
                <w:szCs w:val="18"/>
                <w:color w:val="auto"/>
              </w:rPr>
              <w:t>535,362</w:t>
            </w:r>
          </w:p>
        </w:tc>
      </w:tr>
      <w:tr>
        <w:trPr>
          <w:trHeight w:val="94"/>
        </w:trPr>
        <w:tc>
          <w:tcPr>
            <w:tcW w:w="2060" w:type="dxa"/>
            <w:vAlign w:val="bottom"/>
            <w:tcBorders>
              <w:left w:val="single" w:sz="8" w:color="C3E6FF"/>
            </w:tcBorders>
          </w:tcPr>
          <w:p>
            <w:pPr>
              <w:spacing w:after="0"/>
              <w:rPr>
                <w:sz w:val="8"/>
                <w:szCs w:val="8"/>
                <w:color w:val="auto"/>
              </w:rPr>
            </w:pPr>
          </w:p>
        </w:tc>
        <w:tc>
          <w:tcPr>
            <w:tcW w:w="25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760" w:type="dxa"/>
            <w:vAlign w:val="bottom"/>
            <w:tcBorders>
              <w:right w:val="single" w:sz="8" w:color="C3E6FF"/>
            </w:tcBorders>
          </w:tcPr>
          <w:p>
            <w:pPr>
              <w:spacing w:after="0"/>
              <w:rPr>
                <w:sz w:val="8"/>
                <w:szCs w:val="8"/>
                <w:color w:val="auto"/>
              </w:rPr>
            </w:pPr>
          </w:p>
        </w:tc>
      </w:tr>
      <w:tr>
        <w:trPr>
          <w:trHeight w:val="324"/>
        </w:trPr>
        <w:tc>
          <w:tcPr>
            <w:tcW w:w="206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Pavan Bagai</w:t>
            </w:r>
          </w:p>
        </w:tc>
        <w:tc>
          <w:tcPr>
            <w:tcW w:w="256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F3F9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F3F9FF"/>
          </w:tcPr>
          <w:p>
            <w:pPr>
              <w:jc w:val="right"/>
              <w:ind w:right="90"/>
              <w:spacing w:after="0"/>
              <w:rPr>
                <w:sz w:val="20"/>
                <w:szCs w:val="20"/>
                <w:color w:val="auto"/>
              </w:rPr>
            </w:pPr>
            <w:r>
              <w:rPr>
                <w:rFonts w:ascii="Arial" w:cs="Arial" w:eastAsia="Arial" w:hAnsi="Arial"/>
                <w:sz w:val="18"/>
                <w:szCs w:val="18"/>
                <w:color w:val="auto"/>
              </w:rPr>
              <w:t>26,887</w:t>
            </w:r>
          </w:p>
        </w:tc>
        <w:tc>
          <w:tcPr>
            <w:tcW w:w="1760" w:type="dxa"/>
            <w:vAlign w:val="bottom"/>
            <w:tcBorders>
              <w:right w:val="single" w:sz="8" w:color="C3E6FF"/>
            </w:tcBorders>
            <w:shd w:val="clear" w:color="auto" w:fill="F3F9FF"/>
          </w:tcPr>
          <w:p>
            <w:pPr>
              <w:jc w:val="right"/>
              <w:ind w:right="30"/>
              <w:spacing w:after="0"/>
              <w:rPr>
                <w:sz w:val="20"/>
                <w:szCs w:val="20"/>
                <w:color w:val="auto"/>
              </w:rPr>
            </w:pPr>
            <w:r>
              <w:rPr>
                <w:rFonts w:ascii="Arial" w:cs="Arial" w:eastAsia="Arial" w:hAnsi="Arial"/>
                <w:sz w:val="18"/>
                <w:szCs w:val="18"/>
                <w:color w:val="auto"/>
              </w:rPr>
              <w:t>1,844,141</w:t>
            </w:r>
          </w:p>
        </w:tc>
      </w:tr>
      <w:tr>
        <w:trPr>
          <w:trHeight w:val="95"/>
        </w:trPr>
        <w:tc>
          <w:tcPr>
            <w:tcW w:w="2060" w:type="dxa"/>
            <w:vAlign w:val="bottom"/>
            <w:tcBorders>
              <w:left w:val="single" w:sz="8" w:color="C3E6FF"/>
            </w:tcBorders>
            <w:shd w:val="clear" w:color="auto" w:fill="F3F9FF"/>
          </w:tcPr>
          <w:p>
            <w:pPr>
              <w:spacing w:after="0"/>
              <w:rPr>
                <w:sz w:val="8"/>
                <w:szCs w:val="8"/>
                <w:color w:val="auto"/>
              </w:rPr>
            </w:pPr>
          </w:p>
        </w:tc>
        <w:tc>
          <w:tcPr>
            <w:tcW w:w="2560" w:type="dxa"/>
            <w:vAlign w:val="bottom"/>
            <w:shd w:val="clear" w:color="auto" w:fill="F3F9FF"/>
          </w:tcPr>
          <w:p>
            <w:pPr>
              <w:spacing w:after="0"/>
              <w:rPr>
                <w:sz w:val="8"/>
                <w:szCs w:val="8"/>
                <w:color w:val="auto"/>
              </w:rPr>
            </w:pPr>
          </w:p>
        </w:tc>
        <w:tc>
          <w:tcPr>
            <w:tcW w:w="1740" w:type="dxa"/>
            <w:vAlign w:val="bottom"/>
            <w:shd w:val="clear" w:color="auto" w:fill="F3F9FF"/>
          </w:tcPr>
          <w:p>
            <w:pPr>
              <w:spacing w:after="0"/>
              <w:rPr>
                <w:sz w:val="8"/>
                <w:szCs w:val="8"/>
                <w:color w:val="auto"/>
              </w:rPr>
            </w:pPr>
          </w:p>
        </w:tc>
        <w:tc>
          <w:tcPr>
            <w:tcW w:w="2000" w:type="dxa"/>
            <w:vAlign w:val="bottom"/>
            <w:shd w:val="clear" w:color="auto" w:fill="F3F9FF"/>
          </w:tcPr>
          <w:p>
            <w:pPr>
              <w:spacing w:after="0"/>
              <w:rPr>
                <w:sz w:val="8"/>
                <w:szCs w:val="8"/>
                <w:color w:val="auto"/>
              </w:rPr>
            </w:pPr>
          </w:p>
        </w:tc>
        <w:tc>
          <w:tcPr>
            <w:tcW w:w="1760" w:type="dxa"/>
            <w:vAlign w:val="bottom"/>
            <w:tcBorders>
              <w:right w:val="single" w:sz="8" w:color="C3E6FF"/>
            </w:tcBorders>
            <w:shd w:val="clear" w:color="auto" w:fill="F3F9FF"/>
          </w:tcPr>
          <w:p>
            <w:pPr>
              <w:spacing w:after="0"/>
              <w:rPr>
                <w:sz w:val="8"/>
                <w:szCs w:val="8"/>
                <w:color w:val="auto"/>
              </w:rPr>
            </w:pPr>
          </w:p>
        </w:tc>
      </w:tr>
      <w:tr>
        <w:trPr>
          <w:trHeight w:val="324"/>
        </w:trPr>
        <w:tc>
          <w:tcPr>
            <w:tcW w:w="206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Nalin Miglani</w:t>
            </w:r>
          </w:p>
        </w:tc>
        <w:tc>
          <w:tcPr>
            <w:tcW w:w="2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15,521</w:t>
            </w:r>
          </w:p>
        </w:tc>
        <w:tc>
          <w:tcPr>
            <w:tcW w:w="1760" w:type="dxa"/>
            <w:vAlign w:val="bottom"/>
            <w:tcBorders>
              <w:right w:val="single" w:sz="8" w:color="C3E6FF"/>
            </w:tcBorders>
          </w:tcPr>
          <w:p>
            <w:pPr>
              <w:jc w:val="right"/>
              <w:ind w:right="30"/>
              <w:spacing w:after="0"/>
              <w:rPr>
                <w:sz w:val="20"/>
                <w:szCs w:val="20"/>
                <w:color w:val="auto"/>
              </w:rPr>
            </w:pPr>
            <w:r>
              <w:rPr>
                <w:rFonts w:ascii="Arial" w:cs="Arial" w:eastAsia="Arial" w:hAnsi="Arial"/>
                <w:sz w:val="18"/>
                <w:szCs w:val="18"/>
                <w:color w:val="auto"/>
              </w:rPr>
              <w:t>1,070,423</w:t>
            </w:r>
          </w:p>
        </w:tc>
      </w:tr>
      <w:tr>
        <w:trPr>
          <w:trHeight w:val="94"/>
        </w:trPr>
        <w:tc>
          <w:tcPr>
            <w:tcW w:w="2060" w:type="dxa"/>
            <w:vAlign w:val="bottom"/>
            <w:tcBorders>
              <w:left w:val="single" w:sz="8" w:color="C3E6FF"/>
            </w:tcBorders>
          </w:tcPr>
          <w:p>
            <w:pPr>
              <w:spacing w:after="0"/>
              <w:rPr>
                <w:sz w:val="8"/>
                <w:szCs w:val="8"/>
                <w:color w:val="auto"/>
              </w:rPr>
            </w:pPr>
          </w:p>
        </w:tc>
        <w:tc>
          <w:tcPr>
            <w:tcW w:w="25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760" w:type="dxa"/>
            <w:vAlign w:val="bottom"/>
            <w:tcBorders>
              <w:right w:val="single" w:sz="8" w:color="C3E6FF"/>
            </w:tcBorders>
          </w:tcPr>
          <w:p>
            <w:pPr>
              <w:spacing w:after="0"/>
              <w:rPr>
                <w:sz w:val="8"/>
                <w:szCs w:val="8"/>
                <w:color w:val="auto"/>
              </w:rPr>
            </w:pPr>
          </w:p>
        </w:tc>
      </w:tr>
      <w:tr>
        <w:trPr>
          <w:trHeight w:val="324"/>
        </w:trPr>
        <w:tc>
          <w:tcPr>
            <w:tcW w:w="206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Vikas Bhalla</w:t>
            </w:r>
          </w:p>
        </w:tc>
        <w:tc>
          <w:tcPr>
            <w:tcW w:w="256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F3F9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F3F9FF"/>
          </w:tcPr>
          <w:p>
            <w:pPr>
              <w:jc w:val="right"/>
              <w:ind w:right="90"/>
              <w:spacing w:after="0"/>
              <w:rPr>
                <w:sz w:val="20"/>
                <w:szCs w:val="20"/>
                <w:color w:val="auto"/>
              </w:rPr>
            </w:pPr>
            <w:r>
              <w:rPr>
                <w:rFonts w:ascii="Arial" w:cs="Arial" w:eastAsia="Arial" w:hAnsi="Arial"/>
                <w:sz w:val="18"/>
                <w:szCs w:val="18"/>
                <w:color w:val="auto"/>
              </w:rPr>
              <w:t>13,717</w:t>
            </w:r>
          </w:p>
        </w:tc>
        <w:tc>
          <w:tcPr>
            <w:tcW w:w="1760" w:type="dxa"/>
            <w:vAlign w:val="bottom"/>
            <w:tcBorders>
              <w:right w:val="single" w:sz="8" w:color="C3E6FF"/>
            </w:tcBorders>
            <w:shd w:val="clear" w:color="auto" w:fill="F3F9FF"/>
          </w:tcPr>
          <w:p>
            <w:pPr>
              <w:jc w:val="right"/>
              <w:ind w:right="30"/>
              <w:spacing w:after="0"/>
              <w:rPr>
                <w:sz w:val="20"/>
                <w:szCs w:val="20"/>
                <w:color w:val="auto"/>
              </w:rPr>
            </w:pPr>
            <w:r>
              <w:rPr>
                <w:rFonts w:ascii="Arial" w:cs="Arial" w:eastAsia="Arial" w:hAnsi="Arial"/>
                <w:sz w:val="18"/>
                <w:szCs w:val="18"/>
                <w:color w:val="auto"/>
              </w:rPr>
              <w:t>935,835</w:t>
            </w:r>
          </w:p>
        </w:tc>
      </w:tr>
      <w:tr>
        <w:trPr>
          <w:trHeight w:val="94"/>
        </w:trPr>
        <w:tc>
          <w:tcPr>
            <w:tcW w:w="2060" w:type="dxa"/>
            <w:vAlign w:val="bottom"/>
            <w:tcBorders>
              <w:left w:val="single" w:sz="8" w:color="C3E6FF"/>
            </w:tcBorders>
            <w:shd w:val="clear" w:color="auto" w:fill="F3F9FF"/>
          </w:tcPr>
          <w:p>
            <w:pPr>
              <w:spacing w:after="0"/>
              <w:rPr>
                <w:sz w:val="8"/>
                <w:szCs w:val="8"/>
                <w:color w:val="auto"/>
              </w:rPr>
            </w:pPr>
          </w:p>
        </w:tc>
        <w:tc>
          <w:tcPr>
            <w:tcW w:w="2560" w:type="dxa"/>
            <w:vAlign w:val="bottom"/>
            <w:shd w:val="clear" w:color="auto" w:fill="F3F9FF"/>
          </w:tcPr>
          <w:p>
            <w:pPr>
              <w:spacing w:after="0"/>
              <w:rPr>
                <w:sz w:val="8"/>
                <w:szCs w:val="8"/>
                <w:color w:val="auto"/>
              </w:rPr>
            </w:pPr>
          </w:p>
        </w:tc>
        <w:tc>
          <w:tcPr>
            <w:tcW w:w="1740" w:type="dxa"/>
            <w:vAlign w:val="bottom"/>
            <w:shd w:val="clear" w:color="auto" w:fill="F3F9FF"/>
          </w:tcPr>
          <w:p>
            <w:pPr>
              <w:spacing w:after="0"/>
              <w:rPr>
                <w:sz w:val="8"/>
                <w:szCs w:val="8"/>
                <w:color w:val="auto"/>
              </w:rPr>
            </w:pPr>
          </w:p>
        </w:tc>
        <w:tc>
          <w:tcPr>
            <w:tcW w:w="2000" w:type="dxa"/>
            <w:vAlign w:val="bottom"/>
            <w:shd w:val="clear" w:color="auto" w:fill="F3F9FF"/>
          </w:tcPr>
          <w:p>
            <w:pPr>
              <w:spacing w:after="0"/>
              <w:rPr>
                <w:sz w:val="8"/>
                <w:szCs w:val="8"/>
                <w:color w:val="auto"/>
              </w:rPr>
            </w:pPr>
          </w:p>
        </w:tc>
        <w:tc>
          <w:tcPr>
            <w:tcW w:w="1760" w:type="dxa"/>
            <w:vAlign w:val="bottom"/>
            <w:tcBorders>
              <w:right w:val="single" w:sz="8" w:color="C3E6FF"/>
            </w:tcBorders>
            <w:shd w:val="clear" w:color="auto" w:fill="F3F9FF"/>
          </w:tcPr>
          <w:p>
            <w:pPr>
              <w:spacing w:after="0"/>
              <w:rPr>
                <w:sz w:val="8"/>
                <w:szCs w:val="8"/>
                <w:color w:val="auto"/>
              </w:rPr>
            </w:pPr>
          </w:p>
        </w:tc>
      </w:tr>
      <w:tr>
        <w:trPr>
          <w:trHeight w:val="324"/>
        </w:trPr>
        <w:tc>
          <w:tcPr>
            <w:tcW w:w="2060" w:type="dxa"/>
            <w:vAlign w:val="bottom"/>
            <w:tcBorders>
              <w:left w:val="single" w:sz="8" w:color="C3E6FF"/>
            </w:tcBorders>
          </w:tcPr>
          <w:p>
            <w:pPr>
              <w:ind w:left="120"/>
              <w:spacing w:after="0"/>
              <w:rPr>
                <w:sz w:val="20"/>
                <w:szCs w:val="20"/>
                <w:color w:val="auto"/>
              </w:rPr>
            </w:pPr>
            <w:r>
              <w:rPr>
                <w:rFonts w:ascii="Arial" w:cs="Arial" w:eastAsia="Arial" w:hAnsi="Arial"/>
                <w:sz w:val="18"/>
                <w:szCs w:val="18"/>
                <w:b w:val="1"/>
                <w:bCs w:val="1"/>
                <w:color w:val="auto"/>
              </w:rPr>
              <w:t>Samuel Meckey</w:t>
            </w:r>
          </w:p>
        </w:tc>
        <w:tc>
          <w:tcPr>
            <w:tcW w:w="2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2,126</w:t>
            </w:r>
          </w:p>
        </w:tc>
        <w:tc>
          <w:tcPr>
            <w:tcW w:w="1760" w:type="dxa"/>
            <w:vAlign w:val="bottom"/>
            <w:tcBorders>
              <w:right w:val="single" w:sz="8" w:color="C3E6FF"/>
            </w:tcBorders>
          </w:tcPr>
          <w:p>
            <w:pPr>
              <w:jc w:val="right"/>
              <w:ind w:right="30"/>
              <w:spacing w:after="0"/>
              <w:rPr>
                <w:sz w:val="20"/>
                <w:szCs w:val="20"/>
                <w:color w:val="auto"/>
              </w:rPr>
            </w:pPr>
            <w:r>
              <w:rPr>
                <w:rFonts w:ascii="Arial" w:cs="Arial" w:eastAsia="Arial" w:hAnsi="Arial"/>
                <w:sz w:val="18"/>
                <w:szCs w:val="18"/>
                <w:color w:val="auto"/>
              </w:rPr>
              <w:t>147,034</w:t>
            </w:r>
          </w:p>
        </w:tc>
      </w:tr>
      <w:tr>
        <w:trPr>
          <w:trHeight w:val="95"/>
        </w:trPr>
        <w:tc>
          <w:tcPr>
            <w:tcW w:w="2060" w:type="dxa"/>
            <w:vAlign w:val="bottom"/>
            <w:tcBorders>
              <w:left w:val="single" w:sz="8" w:color="C3E6FF"/>
              <w:bottom w:val="single" w:sz="8" w:color="C3E6FF"/>
            </w:tcBorders>
          </w:tcPr>
          <w:p>
            <w:pPr>
              <w:spacing w:after="0"/>
              <w:rPr>
                <w:sz w:val="8"/>
                <w:szCs w:val="8"/>
                <w:color w:val="auto"/>
              </w:rPr>
            </w:pPr>
          </w:p>
        </w:tc>
        <w:tc>
          <w:tcPr>
            <w:tcW w:w="2560" w:type="dxa"/>
            <w:vAlign w:val="bottom"/>
            <w:tcBorders>
              <w:bottom w:val="single" w:sz="8" w:color="C3E6FF"/>
            </w:tcBorders>
          </w:tcPr>
          <w:p>
            <w:pPr>
              <w:spacing w:after="0"/>
              <w:rPr>
                <w:sz w:val="8"/>
                <w:szCs w:val="8"/>
                <w:color w:val="auto"/>
              </w:rPr>
            </w:pPr>
          </w:p>
        </w:tc>
        <w:tc>
          <w:tcPr>
            <w:tcW w:w="1740" w:type="dxa"/>
            <w:vAlign w:val="bottom"/>
            <w:tcBorders>
              <w:bottom w:val="single" w:sz="8" w:color="C3E6FF"/>
            </w:tcBorders>
          </w:tcPr>
          <w:p>
            <w:pPr>
              <w:spacing w:after="0"/>
              <w:rPr>
                <w:sz w:val="8"/>
                <w:szCs w:val="8"/>
                <w:color w:val="auto"/>
              </w:rPr>
            </w:pPr>
          </w:p>
        </w:tc>
        <w:tc>
          <w:tcPr>
            <w:tcW w:w="2000" w:type="dxa"/>
            <w:vAlign w:val="bottom"/>
            <w:tcBorders>
              <w:bottom w:val="single" w:sz="8" w:color="C3E6FF"/>
            </w:tcBorders>
          </w:tcPr>
          <w:p>
            <w:pPr>
              <w:spacing w:after="0"/>
              <w:rPr>
                <w:sz w:val="8"/>
                <w:szCs w:val="8"/>
                <w:color w:val="auto"/>
              </w:rPr>
            </w:pPr>
          </w:p>
        </w:tc>
        <w:tc>
          <w:tcPr>
            <w:tcW w:w="1760" w:type="dxa"/>
            <w:vAlign w:val="bottom"/>
            <w:tcBorders>
              <w:bottom w:val="single" w:sz="8" w:color="C3E6FF"/>
              <w:right w:val="single" w:sz="8" w:color="C3E6FF"/>
            </w:tcBorders>
          </w:tcPr>
          <w:p>
            <w:pPr>
              <w:spacing w:after="0"/>
              <w:rPr>
                <w:sz w:val="8"/>
                <w:szCs w:val="8"/>
                <w:color w:val="auto"/>
              </w:rPr>
            </w:pPr>
          </w:p>
        </w:tc>
      </w:tr>
    </w:tbl>
    <w:p>
      <w:pPr>
        <w:spacing w:after="0" w:line="33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6" w:name="page77"/>
    <w:bookmarkEnd w:id="76"/>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Pension Benefits for Fiscal Year 2019</w:t>
      </w:r>
    </w:p>
    <w:p>
      <w:pPr>
        <w:spacing w:after="0" w:line="22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262626"/>
        </w:rPr>
        <w:t>The following table discloses the present value of accumulated benefits payable to each of the named executive officers and the years of service credited to each named executive under the Gratuity Plan for Indian Employees as of December 31, 2019:</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1360" w:type="dxa"/>
            <w:vAlign w:val="bottom"/>
            <w:tcBorders>
              <w:top w:val="single" w:sz="8" w:color="C3E6FF"/>
              <w:left w:val="single" w:sz="8" w:color="C3E6FF"/>
            </w:tcBorders>
            <w:shd w:val="clear" w:color="auto" w:fill="0093FF"/>
          </w:tcPr>
          <w:p>
            <w:pPr>
              <w:spacing w:after="0"/>
              <w:rPr>
                <w:sz w:val="24"/>
                <w:szCs w:val="24"/>
                <w:color w:val="auto"/>
              </w:rPr>
            </w:pPr>
          </w:p>
        </w:tc>
        <w:tc>
          <w:tcPr>
            <w:tcW w:w="3760" w:type="dxa"/>
            <w:vAlign w:val="bottom"/>
            <w:tcBorders>
              <w:top w:val="single" w:sz="8" w:color="C3E6FF"/>
            </w:tcBorders>
            <w:shd w:val="clear" w:color="auto" w:fill="0093FF"/>
          </w:tcPr>
          <w:p>
            <w:pPr>
              <w:spacing w:after="0"/>
              <w:rPr>
                <w:sz w:val="24"/>
                <w:szCs w:val="24"/>
                <w:color w:val="auto"/>
              </w:rPr>
            </w:pPr>
          </w:p>
        </w:tc>
        <w:tc>
          <w:tcPr>
            <w:tcW w:w="1960" w:type="dxa"/>
            <w:vAlign w:val="bottom"/>
            <w:tcBorders>
              <w:top w:val="single" w:sz="8" w:color="C3E6FF"/>
            </w:tcBorders>
            <w:shd w:val="clear" w:color="auto" w:fill="0093FF"/>
          </w:tcPr>
          <w:p>
            <w:pPr>
              <w:ind w:left="560"/>
              <w:spacing w:after="0"/>
              <w:rPr>
                <w:sz w:val="20"/>
                <w:szCs w:val="20"/>
                <w:color w:val="auto"/>
              </w:rPr>
            </w:pPr>
            <w:r>
              <w:rPr>
                <w:rFonts w:ascii="Arial" w:cs="Arial" w:eastAsia="Arial" w:hAnsi="Arial"/>
                <w:sz w:val="14"/>
                <w:szCs w:val="14"/>
                <w:b w:val="1"/>
                <w:bCs w:val="1"/>
                <w:color w:val="FFFFFF"/>
              </w:rPr>
              <w:t>Number of Years</w:t>
            </w:r>
          </w:p>
        </w:tc>
        <w:tc>
          <w:tcPr>
            <w:tcW w:w="1800" w:type="dxa"/>
            <w:vAlign w:val="bottom"/>
            <w:tcBorders>
              <w:top w:val="single" w:sz="8" w:color="C3E6FF"/>
            </w:tcBorders>
            <w:shd w:val="clear" w:color="auto" w:fill="0093FF"/>
          </w:tcPr>
          <w:p>
            <w:pPr>
              <w:jc w:val="center"/>
              <w:ind w:right="121"/>
              <w:spacing w:after="0"/>
              <w:rPr>
                <w:sz w:val="20"/>
                <w:szCs w:val="20"/>
                <w:color w:val="auto"/>
              </w:rPr>
            </w:pPr>
            <w:r>
              <w:rPr>
                <w:rFonts w:ascii="Arial" w:cs="Arial" w:eastAsia="Arial" w:hAnsi="Arial"/>
                <w:sz w:val="14"/>
                <w:szCs w:val="14"/>
                <w:b w:val="1"/>
                <w:bCs w:val="1"/>
                <w:color w:val="FFFFFF"/>
              </w:rPr>
              <w:t>Present Value</w:t>
            </w:r>
          </w:p>
        </w:tc>
        <w:tc>
          <w:tcPr>
            <w:tcW w:w="2360" w:type="dxa"/>
            <w:vAlign w:val="bottom"/>
            <w:tcBorders>
              <w:top w:val="single" w:sz="8" w:color="C3E6FF"/>
              <w:right w:val="single" w:sz="8" w:color="C3E6FF"/>
            </w:tcBorders>
            <w:shd w:val="clear" w:color="auto" w:fill="0093FF"/>
          </w:tcPr>
          <w:p>
            <w:pPr>
              <w:jc w:val="center"/>
              <w:ind w:right="181"/>
              <w:spacing w:after="0"/>
              <w:rPr>
                <w:sz w:val="20"/>
                <w:szCs w:val="20"/>
                <w:color w:val="auto"/>
              </w:rPr>
            </w:pPr>
            <w:r>
              <w:rPr>
                <w:rFonts w:ascii="Arial" w:cs="Arial" w:eastAsia="Arial" w:hAnsi="Arial"/>
                <w:sz w:val="14"/>
                <w:szCs w:val="14"/>
                <w:b w:val="1"/>
                <w:bCs w:val="1"/>
                <w:color w:val="FFFFFF"/>
              </w:rPr>
              <w:t>Payments During</w:t>
            </w:r>
          </w:p>
        </w:tc>
      </w:tr>
      <w:tr>
        <w:trPr>
          <w:trHeight w:val="243"/>
        </w:trPr>
        <w:tc>
          <w:tcPr>
            <w:tcW w:w="1360" w:type="dxa"/>
            <w:vAlign w:val="bottom"/>
            <w:tcBorders>
              <w:left w:val="single" w:sz="8" w:color="C3E6FF"/>
            </w:tcBorders>
            <w:shd w:val="clear" w:color="auto" w:fill="0093FF"/>
          </w:tcPr>
          <w:p>
            <w:pPr>
              <w:spacing w:after="0"/>
              <w:rPr>
                <w:sz w:val="21"/>
                <w:szCs w:val="21"/>
                <w:color w:val="auto"/>
              </w:rPr>
            </w:pPr>
          </w:p>
        </w:tc>
        <w:tc>
          <w:tcPr>
            <w:tcW w:w="3760" w:type="dxa"/>
            <w:vAlign w:val="bottom"/>
            <w:shd w:val="clear" w:color="auto" w:fill="0093FF"/>
          </w:tcPr>
          <w:p>
            <w:pPr>
              <w:spacing w:after="0"/>
              <w:rPr>
                <w:sz w:val="21"/>
                <w:szCs w:val="21"/>
                <w:color w:val="auto"/>
              </w:rPr>
            </w:pPr>
          </w:p>
        </w:tc>
        <w:tc>
          <w:tcPr>
            <w:tcW w:w="1960" w:type="dxa"/>
            <w:vAlign w:val="bottom"/>
            <w:shd w:val="clear" w:color="auto" w:fill="0093FF"/>
          </w:tcPr>
          <w:p>
            <w:pPr>
              <w:ind w:left="560"/>
              <w:spacing w:after="0"/>
              <w:rPr>
                <w:sz w:val="20"/>
                <w:szCs w:val="20"/>
                <w:color w:val="auto"/>
              </w:rPr>
            </w:pPr>
            <w:r>
              <w:rPr>
                <w:rFonts w:ascii="Arial" w:cs="Arial" w:eastAsia="Arial" w:hAnsi="Arial"/>
                <w:sz w:val="14"/>
                <w:szCs w:val="14"/>
                <w:b w:val="1"/>
                <w:bCs w:val="1"/>
                <w:color w:val="FFFFFF"/>
              </w:rPr>
              <w:t>Credited Service</w:t>
            </w:r>
          </w:p>
        </w:tc>
        <w:tc>
          <w:tcPr>
            <w:tcW w:w="1800" w:type="dxa"/>
            <w:vAlign w:val="bottom"/>
            <w:shd w:val="clear" w:color="auto" w:fill="0093FF"/>
          </w:tcPr>
          <w:p>
            <w:pPr>
              <w:jc w:val="center"/>
              <w:ind w:right="121"/>
              <w:spacing w:after="0"/>
              <w:rPr>
                <w:sz w:val="20"/>
                <w:szCs w:val="20"/>
                <w:color w:val="auto"/>
              </w:rPr>
            </w:pPr>
            <w:r>
              <w:rPr>
                <w:rFonts w:ascii="Arial" w:cs="Arial" w:eastAsia="Arial" w:hAnsi="Arial"/>
                <w:sz w:val="14"/>
                <w:szCs w:val="14"/>
                <w:b w:val="1"/>
                <w:bCs w:val="1"/>
                <w:color w:val="FFFFFF"/>
              </w:rPr>
              <w:t>of Accumulated</w:t>
            </w:r>
          </w:p>
        </w:tc>
        <w:tc>
          <w:tcPr>
            <w:tcW w:w="2360" w:type="dxa"/>
            <w:vAlign w:val="bottom"/>
            <w:tcBorders>
              <w:right w:val="single" w:sz="8" w:color="C3E6FF"/>
            </w:tcBorders>
            <w:shd w:val="clear" w:color="auto" w:fill="0093FF"/>
          </w:tcPr>
          <w:p>
            <w:pPr>
              <w:jc w:val="center"/>
              <w:ind w:right="161"/>
              <w:spacing w:after="0"/>
              <w:rPr>
                <w:sz w:val="20"/>
                <w:szCs w:val="20"/>
                <w:color w:val="auto"/>
              </w:rPr>
            </w:pPr>
            <w:r>
              <w:rPr>
                <w:rFonts w:ascii="Arial" w:cs="Arial" w:eastAsia="Arial" w:hAnsi="Arial"/>
                <w:sz w:val="14"/>
                <w:szCs w:val="14"/>
                <w:b w:val="1"/>
                <w:bCs w:val="1"/>
                <w:color w:val="FFFFFF"/>
              </w:rPr>
              <w:t>Last Fiscal Year</w:t>
            </w:r>
          </w:p>
        </w:tc>
      </w:tr>
      <w:tr>
        <w:trPr>
          <w:trHeight w:val="269"/>
        </w:trPr>
        <w:tc>
          <w:tcPr>
            <w:tcW w:w="1360" w:type="dxa"/>
            <w:vAlign w:val="bottom"/>
            <w:tcBorders>
              <w:left w:val="single" w:sz="8" w:color="C3E6FF"/>
            </w:tcBorders>
            <w:shd w:val="clear" w:color="auto" w:fill="0093FF"/>
          </w:tcPr>
          <w:p>
            <w:pPr>
              <w:ind w:left="140"/>
              <w:spacing w:after="0"/>
              <w:rPr>
                <w:sz w:val="20"/>
                <w:szCs w:val="20"/>
                <w:color w:val="auto"/>
              </w:rPr>
            </w:pPr>
            <w:r>
              <w:rPr>
                <w:rFonts w:ascii="Arial" w:cs="Arial" w:eastAsia="Arial" w:hAnsi="Arial"/>
                <w:sz w:val="14"/>
                <w:szCs w:val="14"/>
                <w:b w:val="1"/>
                <w:bCs w:val="1"/>
                <w:color w:val="FFFFFF"/>
              </w:rPr>
              <w:t>Name</w:t>
            </w:r>
          </w:p>
        </w:tc>
        <w:tc>
          <w:tcPr>
            <w:tcW w:w="3760" w:type="dxa"/>
            <w:vAlign w:val="bottom"/>
            <w:shd w:val="clear" w:color="auto" w:fill="0093FF"/>
          </w:tcPr>
          <w:p>
            <w:pPr>
              <w:ind w:left="220"/>
              <w:spacing w:after="0"/>
              <w:rPr>
                <w:sz w:val="20"/>
                <w:szCs w:val="20"/>
                <w:color w:val="auto"/>
              </w:rPr>
            </w:pPr>
            <w:r>
              <w:rPr>
                <w:rFonts w:ascii="Arial" w:cs="Arial" w:eastAsia="Arial" w:hAnsi="Arial"/>
                <w:sz w:val="14"/>
                <w:szCs w:val="14"/>
                <w:b w:val="1"/>
                <w:bCs w:val="1"/>
                <w:color w:val="FFFFFF"/>
              </w:rPr>
              <w:t>Plan Name</w:t>
            </w:r>
          </w:p>
        </w:tc>
        <w:tc>
          <w:tcPr>
            <w:tcW w:w="1960" w:type="dxa"/>
            <w:vAlign w:val="bottom"/>
            <w:shd w:val="clear" w:color="auto" w:fill="0093FF"/>
          </w:tcPr>
          <w:p>
            <w:pPr>
              <w:jc w:val="center"/>
              <w:ind w:left="241"/>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c>
          <w:tcPr>
            <w:tcW w:w="1800" w:type="dxa"/>
            <w:vAlign w:val="bottom"/>
            <w:shd w:val="clear" w:color="auto" w:fill="0093FF"/>
          </w:tcPr>
          <w:p>
            <w:pPr>
              <w:jc w:val="center"/>
              <w:ind w:right="121"/>
              <w:spacing w:after="0"/>
              <w:rPr>
                <w:sz w:val="20"/>
                <w:szCs w:val="20"/>
                <w:color w:val="auto"/>
              </w:rPr>
            </w:pPr>
            <w:r>
              <w:rPr>
                <w:rFonts w:ascii="Arial" w:cs="Arial" w:eastAsia="Arial" w:hAnsi="Arial"/>
                <w:sz w:val="14"/>
                <w:szCs w:val="14"/>
                <w:b w:val="1"/>
                <w:bCs w:val="1"/>
                <w:color w:val="FFFFFF"/>
              </w:rPr>
              <w:t>Benefit ($)</w:t>
            </w:r>
          </w:p>
        </w:tc>
        <w:tc>
          <w:tcPr>
            <w:tcW w:w="2360" w:type="dxa"/>
            <w:vAlign w:val="bottom"/>
            <w:tcBorders>
              <w:right w:val="single" w:sz="8" w:color="C3E6FF"/>
            </w:tcBorders>
            <w:shd w:val="clear" w:color="auto" w:fill="0093FF"/>
          </w:tcPr>
          <w:p>
            <w:pPr>
              <w:jc w:val="center"/>
              <w:ind w:right="181"/>
              <w:spacing w:after="0"/>
              <w:rPr>
                <w:sz w:val="20"/>
                <w:szCs w:val="20"/>
                <w:color w:val="auto"/>
              </w:rPr>
            </w:pPr>
            <w:r>
              <w:rPr>
                <w:rFonts w:ascii="Arial" w:cs="Arial" w:eastAsia="Arial" w:hAnsi="Arial"/>
                <w:sz w:val="14"/>
                <w:szCs w:val="14"/>
                <w:b w:val="1"/>
                <w:bCs w:val="1"/>
                <w:color w:val="FFFFFF"/>
              </w:rPr>
              <w:t>($)</w:t>
            </w:r>
          </w:p>
        </w:tc>
      </w:tr>
      <w:tr>
        <w:trPr>
          <w:trHeight w:val="459"/>
        </w:trPr>
        <w:tc>
          <w:tcPr>
            <w:tcW w:w="136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color w:val="auto"/>
              </w:rPr>
              <w:t>Pavan Bagai</w:t>
            </w:r>
          </w:p>
        </w:tc>
        <w:tc>
          <w:tcPr>
            <w:tcW w:w="3760" w:type="dxa"/>
            <w:vAlign w:val="bottom"/>
            <w:shd w:val="clear" w:color="auto" w:fill="F3F9FF"/>
          </w:tcPr>
          <w:p>
            <w:pPr>
              <w:ind w:left="220"/>
              <w:spacing w:after="0"/>
              <w:rPr>
                <w:sz w:val="20"/>
                <w:szCs w:val="20"/>
                <w:color w:val="auto"/>
              </w:rPr>
            </w:pPr>
            <w:r>
              <w:rPr>
                <w:rFonts w:ascii="Arial" w:cs="Arial" w:eastAsia="Arial" w:hAnsi="Arial"/>
                <w:sz w:val="18"/>
                <w:szCs w:val="18"/>
                <w:color w:val="auto"/>
              </w:rPr>
              <w:t>Gratuity Plan for Indian Employees</w:t>
            </w:r>
            <w:r>
              <w:rPr>
                <w:rFonts w:ascii="Arial" w:cs="Arial" w:eastAsia="Arial" w:hAnsi="Arial"/>
                <w:sz w:val="29"/>
                <w:szCs w:val="29"/>
                <w:color w:val="auto"/>
                <w:vertAlign w:val="superscript"/>
              </w:rPr>
              <w:t>(2)</w:t>
            </w:r>
          </w:p>
        </w:tc>
        <w:tc>
          <w:tcPr>
            <w:tcW w:w="1960" w:type="dxa"/>
            <w:vAlign w:val="bottom"/>
            <w:shd w:val="clear" w:color="auto" w:fill="F3F9FF"/>
          </w:tcPr>
          <w:p>
            <w:pPr>
              <w:jc w:val="center"/>
              <w:ind w:left="241"/>
              <w:spacing w:after="0"/>
              <w:rPr>
                <w:sz w:val="20"/>
                <w:szCs w:val="20"/>
                <w:color w:val="auto"/>
              </w:rPr>
            </w:pPr>
            <w:r>
              <w:rPr>
                <w:rFonts w:ascii="Arial" w:cs="Arial" w:eastAsia="Arial" w:hAnsi="Arial"/>
                <w:sz w:val="18"/>
                <w:szCs w:val="18"/>
                <w:color w:val="auto"/>
                <w:w w:val="99"/>
              </w:rPr>
              <w:t>17</w:t>
            </w:r>
          </w:p>
        </w:tc>
        <w:tc>
          <w:tcPr>
            <w:tcW w:w="1800" w:type="dxa"/>
            <w:vAlign w:val="bottom"/>
            <w:shd w:val="clear" w:color="auto" w:fill="F3F9FF"/>
          </w:tcPr>
          <w:p>
            <w:pPr>
              <w:jc w:val="right"/>
              <w:ind w:right="601"/>
              <w:spacing w:after="0"/>
              <w:rPr>
                <w:sz w:val="20"/>
                <w:szCs w:val="20"/>
                <w:color w:val="auto"/>
              </w:rPr>
            </w:pPr>
            <w:r>
              <w:rPr>
                <w:rFonts w:ascii="Arial" w:cs="Arial" w:eastAsia="Arial" w:hAnsi="Arial"/>
                <w:sz w:val="18"/>
                <w:szCs w:val="18"/>
                <w:color w:val="auto"/>
              </w:rPr>
              <w:t>104,196</w:t>
            </w:r>
          </w:p>
        </w:tc>
        <w:tc>
          <w:tcPr>
            <w:tcW w:w="2360" w:type="dxa"/>
            <w:vAlign w:val="bottom"/>
            <w:tcBorders>
              <w:right w:val="single" w:sz="8" w:color="C3E6FF"/>
            </w:tcBorders>
            <w:shd w:val="clear" w:color="auto" w:fill="F3F9FF"/>
          </w:tcPr>
          <w:p>
            <w:pPr>
              <w:jc w:val="center"/>
              <w:ind w:right="181"/>
              <w:spacing w:after="0"/>
              <w:rPr>
                <w:sz w:val="20"/>
                <w:szCs w:val="20"/>
                <w:color w:val="auto"/>
              </w:rPr>
            </w:pPr>
            <w:r>
              <w:rPr>
                <w:rFonts w:ascii="Arial" w:cs="Arial" w:eastAsia="Arial" w:hAnsi="Arial"/>
                <w:sz w:val="18"/>
                <w:szCs w:val="18"/>
                <w:color w:val="auto"/>
                <w:w w:val="99"/>
              </w:rPr>
              <w:t>—</w:t>
            </w:r>
          </w:p>
        </w:tc>
      </w:tr>
      <w:tr>
        <w:trPr>
          <w:trHeight w:val="466"/>
        </w:trPr>
        <w:tc>
          <w:tcPr>
            <w:tcW w:w="1360" w:type="dxa"/>
            <w:vAlign w:val="bottom"/>
            <w:tcBorders>
              <w:left w:val="single" w:sz="8" w:color="C3E6FF"/>
              <w:bottom w:val="single" w:sz="8" w:color="C3E6FF"/>
            </w:tcBorders>
          </w:tcPr>
          <w:p>
            <w:pPr>
              <w:ind w:left="140"/>
              <w:spacing w:after="0"/>
              <w:rPr>
                <w:sz w:val="20"/>
                <w:szCs w:val="20"/>
                <w:color w:val="auto"/>
              </w:rPr>
            </w:pPr>
            <w:r>
              <w:rPr>
                <w:rFonts w:ascii="Arial" w:cs="Arial" w:eastAsia="Arial" w:hAnsi="Arial"/>
                <w:sz w:val="18"/>
                <w:szCs w:val="18"/>
                <w:color w:val="auto"/>
              </w:rPr>
              <w:t>Vikas Bhalla</w:t>
            </w:r>
          </w:p>
        </w:tc>
        <w:tc>
          <w:tcPr>
            <w:tcW w:w="3760" w:type="dxa"/>
            <w:vAlign w:val="bottom"/>
            <w:tcBorders>
              <w:bottom w:val="single" w:sz="8" w:color="C3E6FF"/>
            </w:tcBorders>
          </w:tcPr>
          <w:p>
            <w:pPr>
              <w:ind w:left="220"/>
              <w:spacing w:after="0"/>
              <w:rPr>
                <w:sz w:val="20"/>
                <w:szCs w:val="20"/>
                <w:color w:val="auto"/>
              </w:rPr>
            </w:pPr>
            <w:r>
              <w:rPr>
                <w:rFonts w:ascii="Arial" w:cs="Arial" w:eastAsia="Arial" w:hAnsi="Arial"/>
                <w:sz w:val="18"/>
                <w:szCs w:val="18"/>
                <w:color w:val="auto"/>
              </w:rPr>
              <w:t>Gratuity Plan for Indian Employees</w:t>
            </w:r>
            <w:r>
              <w:rPr>
                <w:rFonts w:ascii="Arial" w:cs="Arial" w:eastAsia="Arial" w:hAnsi="Arial"/>
                <w:sz w:val="29"/>
                <w:szCs w:val="29"/>
                <w:color w:val="auto"/>
                <w:vertAlign w:val="superscript"/>
              </w:rPr>
              <w:t>(2)</w:t>
            </w:r>
          </w:p>
        </w:tc>
        <w:tc>
          <w:tcPr>
            <w:tcW w:w="1960" w:type="dxa"/>
            <w:vAlign w:val="bottom"/>
            <w:tcBorders>
              <w:bottom w:val="single" w:sz="8" w:color="C3E6FF"/>
            </w:tcBorders>
          </w:tcPr>
          <w:p>
            <w:pPr>
              <w:jc w:val="center"/>
              <w:ind w:left="241"/>
              <w:spacing w:after="0"/>
              <w:rPr>
                <w:sz w:val="20"/>
                <w:szCs w:val="20"/>
                <w:color w:val="auto"/>
              </w:rPr>
            </w:pPr>
            <w:r>
              <w:rPr>
                <w:rFonts w:ascii="Arial" w:cs="Arial" w:eastAsia="Arial" w:hAnsi="Arial"/>
                <w:sz w:val="18"/>
                <w:szCs w:val="18"/>
                <w:color w:val="auto"/>
                <w:w w:val="99"/>
              </w:rPr>
              <w:t>19</w:t>
            </w:r>
          </w:p>
        </w:tc>
        <w:tc>
          <w:tcPr>
            <w:tcW w:w="1800" w:type="dxa"/>
            <w:vAlign w:val="bottom"/>
            <w:tcBorders>
              <w:bottom w:val="single" w:sz="8" w:color="C3E6FF"/>
            </w:tcBorders>
          </w:tcPr>
          <w:p>
            <w:pPr>
              <w:jc w:val="right"/>
              <w:ind w:right="641"/>
              <w:spacing w:after="0"/>
              <w:rPr>
                <w:sz w:val="20"/>
                <w:szCs w:val="20"/>
                <w:color w:val="auto"/>
              </w:rPr>
            </w:pPr>
            <w:r>
              <w:rPr>
                <w:rFonts w:ascii="Arial" w:cs="Arial" w:eastAsia="Arial" w:hAnsi="Arial"/>
                <w:sz w:val="18"/>
                <w:szCs w:val="18"/>
                <w:color w:val="auto"/>
              </w:rPr>
              <w:t>98,538</w:t>
            </w:r>
          </w:p>
        </w:tc>
        <w:tc>
          <w:tcPr>
            <w:tcW w:w="2360" w:type="dxa"/>
            <w:vAlign w:val="bottom"/>
            <w:tcBorders>
              <w:bottom w:val="single" w:sz="8" w:color="C3E6FF"/>
              <w:right w:val="single" w:sz="8" w:color="C3E6FF"/>
            </w:tcBorders>
          </w:tcPr>
          <w:p>
            <w:pPr>
              <w:jc w:val="center"/>
              <w:ind w:right="181"/>
              <w:spacing w:after="0"/>
              <w:rPr>
                <w:sz w:val="20"/>
                <w:szCs w:val="20"/>
                <w:color w:val="auto"/>
              </w:rPr>
            </w:pPr>
            <w:r>
              <w:rPr>
                <w:rFonts w:ascii="Arial" w:cs="Arial" w:eastAsia="Arial" w:hAnsi="Arial"/>
                <w:sz w:val="18"/>
                <w:szCs w:val="18"/>
                <w:color w:val="auto"/>
                <w:w w:val="99"/>
              </w:rPr>
              <w:t>—</w:t>
            </w:r>
          </w:p>
        </w:tc>
      </w:tr>
    </w:tbl>
    <w:p>
      <w:pPr>
        <w:spacing w:after="0" w:line="72" w:lineRule="exact"/>
        <w:rPr>
          <w:sz w:val="20"/>
          <w:szCs w:val="20"/>
          <w:color w:val="auto"/>
        </w:rPr>
      </w:pPr>
    </w:p>
    <w:p>
      <w:pPr>
        <w:jc w:val="both"/>
        <w:ind w:right="400" w:firstLine="8"/>
        <w:spacing w:after="0" w:line="258" w:lineRule="auto"/>
        <w:tabs>
          <w:tab w:leader="none" w:pos="216" w:val="left"/>
        </w:tabs>
        <w:numPr>
          <w:ilvl w:val="0"/>
          <w:numId w:val="101"/>
        </w:numPr>
        <w:rPr>
          <w:rFonts w:ascii="Arial" w:cs="Arial" w:eastAsia="Arial" w:hAnsi="Arial"/>
          <w:sz w:val="14"/>
          <w:szCs w:val="14"/>
          <w:color w:val="262626"/>
        </w:rPr>
      </w:pPr>
      <w:r>
        <w:rPr>
          <w:rFonts w:ascii="Arial" w:cs="Arial" w:eastAsia="Arial" w:hAnsi="Arial"/>
          <w:sz w:val="14"/>
          <w:szCs w:val="14"/>
          <w:color w:val="262626"/>
        </w:rPr>
        <w:t>Consists of the number of years of service credited as of December 31, 2019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39" w:lineRule="exact"/>
        <w:rPr>
          <w:rFonts w:ascii="Arial" w:cs="Arial" w:eastAsia="Arial" w:hAnsi="Arial"/>
          <w:sz w:val="14"/>
          <w:szCs w:val="14"/>
          <w:color w:val="262626"/>
        </w:rPr>
      </w:pPr>
    </w:p>
    <w:p>
      <w:pPr>
        <w:ind w:right="100" w:firstLine="8"/>
        <w:spacing w:after="0" w:line="245" w:lineRule="auto"/>
        <w:tabs>
          <w:tab w:leader="none" w:pos="216" w:val="left"/>
        </w:tabs>
        <w:numPr>
          <w:ilvl w:val="0"/>
          <w:numId w:val="101"/>
        </w:numPr>
        <w:rPr>
          <w:rFonts w:ascii="Arial" w:cs="Arial" w:eastAsia="Arial" w:hAnsi="Arial"/>
          <w:sz w:val="14"/>
          <w:szCs w:val="14"/>
          <w:color w:val="262626"/>
        </w:rPr>
      </w:pPr>
      <w:r>
        <w:rPr>
          <w:rFonts w:ascii="Arial" w:cs="Arial" w:eastAsia="Arial" w:hAnsi="Arial"/>
          <w:sz w:val="14"/>
          <w:szCs w:val="14"/>
          <w:color w:val="262626"/>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20 to the audited financial statements for the fiscal year ended December 31, 2019 included in the 2019 Form 10-K.</w:t>
      </w:r>
    </w:p>
    <w:p>
      <w:pPr>
        <w:spacing w:after="0" w:line="18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262626"/>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Messrs. Bagai and Bhalla’s accumulated benefits has been determined based on their monthly basic salary rates in effect on December 31, 2019, which are approximately $10,624 and $8,989, respectively.</w:t>
      </w:r>
    </w:p>
    <w:p>
      <w:pPr>
        <w:spacing w:after="0" w:line="327"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Potential Payments upon Termination or Change in Control at Fiscal 2019 Year-End</w:t>
      </w:r>
    </w:p>
    <w:p>
      <w:pPr>
        <w:spacing w:after="0" w:line="2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The following tables summarize the amounts payable to each named executive officer upon a change in control or termination of his employment with us on December 31, 2019. In calculating potential payments for purposes of this disclosure, we have quantified our equity-based payments using the closing stock price on December 31, 2019, which was $69.46. Some of the capitalized terms used in the employment agreements for our named executive officers are defined in the section entitled “Certain Defined Terms” on page 77.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Rohit Kapoor</w:t>
      </w:r>
    </w:p>
    <w:p>
      <w:pPr>
        <w:spacing w:after="0" w:line="1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color w:val="262626"/>
        </w:rPr>
        <w:t>Cash Severance</w:t>
      </w:r>
      <w:r>
        <w:rPr>
          <w:rFonts w:ascii="Arial" w:cs="Arial" w:eastAsia="Arial" w:hAnsi="Arial"/>
          <w:sz w:val="18"/>
          <w:szCs w:val="18"/>
          <w:color w:val="262626"/>
        </w:rPr>
        <w:t>: If Mr. Kapoor’s employment were terminated by us without “cause” or by the executive for “good reason” (in each case,</w:t>
      </w:r>
      <w:r>
        <w:rPr>
          <w:rFonts w:ascii="Arial" w:cs="Arial" w:eastAsia="Arial" w:hAnsi="Arial"/>
          <w:sz w:val="18"/>
          <w:szCs w:val="18"/>
          <w:b w:val="1"/>
          <w:bCs w:val="1"/>
          <w:color w:val="262626"/>
        </w:rPr>
        <w:t xml:space="preserve"> </w:t>
      </w:r>
      <w:r>
        <w:rPr>
          <w:rFonts w:ascii="Arial" w:cs="Arial" w:eastAsia="Arial" w:hAnsi="Arial"/>
          <w:sz w:val="18"/>
          <w:szCs w:val="18"/>
          <w:color w:val="262626"/>
        </w:rPr>
        <w:t>as described below) on December 31, 2019, he would have been entitled to cash severance consisting of:</w:t>
      </w:r>
    </w:p>
    <w:p>
      <w:pPr>
        <w:spacing w:after="0" w:line="183"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FF6503"/>
        </w:rPr>
      </w:pPr>
      <w:r>
        <w:rPr>
          <w:rFonts w:ascii="Arial" w:cs="Arial" w:eastAsia="Arial" w:hAnsi="Arial"/>
          <w:sz w:val="18"/>
          <w:szCs w:val="18"/>
          <w:color w:val="262626"/>
        </w:rPr>
        <w:t>continuation of his base salary for 24 months;</w:t>
      </w:r>
    </w:p>
    <w:p>
      <w:pPr>
        <w:spacing w:after="0" w:line="198" w:lineRule="exact"/>
        <w:rPr>
          <w:rFonts w:ascii="Arial" w:cs="Arial" w:eastAsia="Arial" w:hAnsi="Arial"/>
          <w:sz w:val="18"/>
          <w:szCs w:val="18"/>
          <w:color w:val="FF6503"/>
        </w:rPr>
      </w:pPr>
    </w:p>
    <w:p>
      <w:pPr>
        <w:ind w:left="660" w:right="220" w:hanging="328"/>
        <w:spacing w:after="0" w:line="246" w:lineRule="auto"/>
        <w:tabs>
          <w:tab w:leader="none" w:pos="660" w:val="left"/>
        </w:tabs>
        <w:numPr>
          <w:ilvl w:val="0"/>
          <w:numId w:val="102"/>
        </w:numPr>
        <w:rPr>
          <w:rFonts w:ascii="Arial" w:cs="Arial" w:eastAsia="Arial" w:hAnsi="Arial"/>
          <w:sz w:val="18"/>
          <w:szCs w:val="18"/>
          <w:color w:val="FF6503"/>
        </w:rPr>
      </w:pPr>
      <w:r>
        <w:rPr>
          <w:rFonts w:ascii="Arial" w:cs="Arial" w:eastAsia="Arial" w:hAnsi="Arial"/>
          <w:sz w:val="18"/>
          <w:szCs w:val="18"/>
          <w:color w:val="262626"/>
        </w:rPr>
        <w:t>his actual bonus, if any, earned for the year of termination, determined as if he had been employed for the full year of termination, paid ratably over the remaining period of base salary payments;</w:t>
      </w:r>
    </w:p>
    <w:p>
      <w:pPr>
        <w:spacing w:after="0" w:line="183" w:lineRule="exact"/>
        <w:rPr>
          <w:rFonts w:ascii="Arial" w:cs="Arial" w:eastAsia="Arial" w:hAnsi="Arial"/>
          <w:sz w:val="18"/>
          <w:szCs w:val="18"/>
          <w:color w:val="FF6503"/>
        </w:rPr>
      </w:pPr>
    </w:p>
    <w:p>
      <w:pPr>
        <w:ind w:left="660" w:hanging="328"/>
        <w:spacing w:after="0"/>
        <w:tabs>
          <w:tab w:leader="none" w:pos="660" w:val="left"/>
        </w:tabs>
        <w:numPr>
          <w:ilvl w:val="0"/>
          <w:numId w:val="102"/>
        </w:numPr>
        <w:rPr>
          <w:rFonts w:ascii="Arial" w:cs="Arial" w:eastAsia="Arial" w:hAnsi="Arial"/>
          <w:sz w:val="18"/>
          <w:szCs w:val="18"/>
          <w:color w:val="FF6503"/>
        </w:rPr>
      </w:pPr>
      <w:r>
        <w:rPr>
          <w:rFonts w:ascii="Arial" w:cs="Arial" w:eastAsia="Arial" w:hAnsi="Arial"/>
          <w:sz w:val="18"/>
          <w:szCs w:val="18"/>
          <w:color w:val="262626"/>
        </w:rPr>
        <w:t>any unpaid bonus amounts from prior periods;</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02"/>
        </w:numPr>
        <w:rPr>
          <w:rFonts w:ascii="Arial" w:cs="Arial" w:eastAsia="Arial" w:hAnsi="Arial"/>
          <w:sz w:val="18"/>
          <w:szCs w:val="18"/>
          <w:color w:val="FF6503"/>
        </w:rPr>
      </w:pPr>
      <w:r>
        <w:rPr>
          <w:rFonts w:ascii="Arial" w:cs="Arial" w:eastAsia="Arial" w:hAnsi="Arial"/>
          <w:sz w:val="18"/>
          <w:szCs w:val="18"/>
          <w:color w:val="262626"/>
        </w:rPr>
        <w:t>any accrued but unpaid base salary and vacation days or unreimbursed expenses;</w:t>
      </w:r>
    </w:p>
    <w:p>
      <w:pPr>
        <w:spacing w:after="0" w:line="198" w:lineRule="exact"/>
        <w:rPr>
          <w:rFonts w:ascii="Arial" w:cs="Arial" w:eastAsia="Arial" w:hAnsi="Arial"/>
          <w:sz w:val="18"/>
          <w:szCs w:val="18"/>
          <w:color w:val="FF6503"/>
        </w:rPr>
      </w:pPr>
    </w:p>
    <w:p>
      <w:pPr>
        <w:ind w:left="660" w:right="20" w:hanging="328"/>
        <w:spacing w:after="0"/>
        <w:tabs>
          <w:tab w:leader="none" w:pos="660" w:val="left"/>
        </w:tabs>
        <w:numPr>
          <w:ilvl w:val="0"/>
          <w:numId w:val="102"/>
        </w:numPr>
        <w:rPr>
          <w:rFonts w:ascii="Arial" w:cs="Arial" w:eastAsia="Arial" w:hAnsi="Arial"/>
          <w:sz w:val="18"/>
          <w:szCs w:val="18"/>
          <w:color w:val="FF6503"/>
        </w:rPr>
      </w:pPr>
      <w:r>
        <w:rPr>
          <w:rFonts w:ascii="Arial" w:cs="Arial" w:eastAsia="Arial" w:hAnsi="Arial"/>
          <w:sz w:val="18"/>
          <w:szCs w:val="18"/>
          <w:color w:val="262626"/>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89" w:lineRule="exact"/>
        <w:rPr>
          <w:rFonts w:ascii="Arial" w:cs="Arial" w:eastAsia="Arial" w:hAnsi="Arial"/>
          <w:sz w:val="18"/>
          <w:szCs w:val="18"/>
          <w:color w:val="FF6503"/>
        </w:rPr>
      </w:pPr>
    </w:p>
    <w:p>
      <w:pPr>
        <w:ind w:left="660" w:right="80" w:hanging="328"/>
        <w:spacing w:after="0" w:line="246" w:lineRule="auto"/>
        <w:tabs>
          <w:tab w:leader="none" w:pos="660" w:val="left"/>
        </w:tabs>
        <w:numPr>
          <w:ilvl w:val="0"/>
          <w:numId w:val="102"/>
        </w:numPr>
        <w:rPr>
          <w:rFonts w:ascii="Arial" w:cs="Arial" w:eastAsia="Arial" w:hAnsi="Arial"/>
          <w:sz w:val="18"/>
          <w:szCs w:val="18"/>
          <w:color w:val="FF6503"/>
        </w:rPr>
      </w:pPr>
      <w:r>
        <w:rPr>
          <w:rFonts w:ascii="Arial" w:cs="Arial" w:eastAsia="Arial" w:hAnsi="Arial"/>
          <w:sz w:val="18"/>
          <w:szCs w:val="18"/>
          <w:color w:val="262626"/>
        </w:rPr>
        <w:t>continuation of life insurance coverage until the earlier of (x) the 18-month anniversary of termination and (y) the date the executive commences employment with a subsequent employer.</w:t>
      </w:r>
    </w:p>
    <w:p>
      <w:pPr>
        <w:spacing w:after="0" w:line="16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262626"/>
        </w:rPr>
        <w:t>Change-in-Control Cash Severance</w:t>
      </w:r>
      <w:r>
        <w:rPr>
          <w:rFonts w:ascii="Arial" w:cs="Arial" w:eastAsia="Arial" w:hAnsi="Arial"/>
          <w:sz w:val="18"/>
          <w:szCs w:val="18"/>
          <w:color w:val="262626"/>
        </w:rPr>
        <w:t>: If Mr. Kapoor’s employment is terminated by us without “cause” or by the executive for “good reason”</w:t>
      </w:r>
      <w:r>
        <w:rPr>
          <w:rFonts w:ascii="Arial" w:cs="Arial" w:eastAsia="Arial" w:hAnsi="Arial"/>
          <w:sz w:val="18"/>
          <w:szCs w:val="18"/>
          <w:b w:val="1"/>
          <w:bCs w:val="1"/>
          <w:color w:val="262626"/>
        </w:rPr>
        <w:t xml:space="preserve"> </w:t>
      </w:r>
      <w:r>
        <w:rPr>
          <w:rFonts w:ascii="Arial" w:cs="Arial" w:eastAsia="Arial" w:hAnsi="Arial"/>
          <w:sz w:val="18"/>
          <w:szCs w:val="18"/>
          <w:color w:val="262626"/>
        </w:rPr>
        <w:t>(in each case, as described above) within 12 months 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6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262626"/>
        </w:rPr>
        <w:t>Death or Disability</w:t>
      </w:r>
      <w:r>
        <w:rPr>
          <w:rFonts w:ascii="Arial" w:cs="Arial" w:eastAsia="Arial" w:hAnsi="Arial"/>
          <w:sz w:val="18"/>
          <w:szCs w:val="18"/>
          <w:color w:val="262626"/>
        </w:rPr>
        <w:t>: If Mr. Kapoor’s employment terminates due to his death or is terminated by either the executive or us due to his</w:t>
      </w:r>
      <w:r>
        <w:rPr>
          <w:rFonts w:ascii="Arial" w:cs="Arial" w:eastAsia="Arial" w:hAnsi="Arial"/>
          <w:sz w:val="18"/>
          <w:szCs w:val="18"/>
          <w:b w:val="1"/>
          <w:bCs w:val="1"/>
          <w:color w:val="262626"/>
        </w:rPr>
        <w:t xml:space="preserve"> </w:t>
      </w:r>
      <w:r>
        <w:rPr>
          <w:rFonts w:ascii="Arial" w:cs="Arial" w:eastAsia="Arial" w:hAnsi="Arial"/>
          <w:sz w:val="18"/>
          <w:szCs w:val="18"/>
          <w:color w:val="262626"/>
        </w:rPr>
        <w:t>disability, he (or his estate) will be entitled to a prorated portion of his projected bonus amount for the year of termination.</w:t>
      </w:r>
    </w:p>
    <w:p>
      <w:pPr>
        <w:spacing w:after="0" w:line="14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262626"/>
        </w:rPr>
        <w:t>Noncompetition and Nonsolicitation Provisions</w:t>
      </w:r>
      <w:r>
        <w:rPr>
          <w:rFonts w:ascii="Arial" w:cs="Arial" w:eastAsia="Arial" w:hAnsi="Arial"/>
          <w:sz w:val="18"/>
          <w:szCs w:val="18"/>
          <w:color w:val="262626"/>
        </w:rPr>
        <w:t>: Mr. Kapoor is subject to confidentiality and nondisparagement restrictions at all times,</w:t>
      </w:r>
      <w:r>
        <w:rPr>
          <w:rFonts w:ascii="Arial" w:cs="Arial" w:eastAsia="Arial" w:hAnsi="Arial"/>
          <w:sz w:val="18"/>
          <w:szCs w:val="18"/>
          <w:b w:val="1"/>
          <w:bCs w:val="1"/>
          <w:color w:val="262626"/>
        </w:rPr>
        <w:t xml:space="preserve"> </w:t>
      </w:r>
      <w:r>
        <w:rPr>
          <w:rFonts w:ascii="Arial" w:cs="Arial" w:eastAsia="Arial" w:hAnsi="Arial"/>
          <w:sz w:val="18"/>
          <w:szCs w:val="18"/>
          <w:color w:val="262626"/>
        </w:rPr>
        <w:t>as well as noncompetition and nonsolicitation restrictions during his employment and for one year thereafter.</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262626"/>
        </w:rPr>
        <w:t xml:space="preserve">Annual Equity Awards: </w:t>
      </w:r>
      <w:r>
        <w:rPr>
          <w:rFonts w:ascii="Arial" w:cs="Arial" w:eastAsia="Arial" w:hAnsi="Arial"/>
          <w:sz w:val="18"/>
          <w:szCs w:val="18"/>
          <w:color w:val="262626"/>
        </w:rPr>
        <w:t>If Mr. Kapoor’s employment is terminated by us without cause or by Mr. Kapoor for good reason, Mr. Kapoor will be</w:t>
      </w:r>
      <w:r>
        <w:rPr>
          <w:rFonts w:ascii="Arial" w:cs="Arial" w:eastAsia="Arial" w:hAnsi="Arial"/>
          <w:sz w:val="18"/>
          <w:szCs w:val="18"/>
          <w:b w:val="1"/>
          <w:bCs w:val="1"/>
          <w:color w:val="262626"/>
        </w:rPr>
        <w:t xml:space="preserve"> </w:t>
      </w:r>
      <w:r>
        <w:rPr>
          <w:rFonts w:ascii="Arial" w:cs="Arial" w:eastAsia="Arial" w:hAnsi="Arial"/>
          <w:sz w:val="18"/>
          <w:szCs w:val="18"/>
          <w:color w:val="262626"/>
        </w:rPr>
        <w:t>treated as if he was still employed by the Company for a period of two years following the termination date. On a “change in control” (as defined in the 2006 Plan, 2015 Plan, or 2018 Plan, as applicable) or on death, Mr. Kapoor’s outstanding annual equity awards will vest as described below:</w:t>
      </w:r>
    </w:p>
    <w:p>
      <w:pPr>
        <w:spacing w:after="0" w:line="320"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8" w:name="page79"/>
    <w:bookmarkEnd w:id="78"/>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left="660" w:right="200" w:hanging="328"/>
        <w:spacing w:after="0" w:line="244" w:lineRule="auto"/>
        <w:tabs>
          <w:tab w:leader="none" w:pos="660" w:val="left"/>
        </w:tabs>
        <w:numPr>
          <w:ilvl w:val="0"/>
          <w:numId w:val="103"/>
        </w:numPr>
        <w:rPr>
          <w:rFonts w:ascii="Arial" w:cs="Arial" w:eastAsia="Arial" w:hAnsi="Arial"/>
          <w:sz w:val="18"/>
          <w:szCs w:val="18"/>
          <w:color w:val="FF6503"/>
        </w:rPr>
      </w:pPr>
      <w:r>
        <w:rPr>
          <w:rFonts w:ascii="Arial" w:cs="Arial" w:eastAsia="Arial" w:hAnsi="Arial"/>
          <w:sz w:val="18"/>
          <w:szCs w:val="18"/>
          <w:b w:val="1"/>
          <w:bCs w:val="1"/>
          <w:color w:val="262626"/>
        </w:rPr>
        <w:t>Time-Vested RSUs</w:t>
      </w:r>
      <w:r>
        <w:rPr>
          <w:rFonts w:ascii="Arial" w:cs="Arial" w:eastAsia="Arial" w:hAnsi="Arial"/>
          <w:sz w:val="18"/>
          <w:szCs w:val="18"/>
          <w:color w:val="262626"/>
        </w:rPr>
        <w:t>: If a change in control occurs prior to the end of the four-year vesting period, Mr. Kapoor’s Time-Vested RSUs</w:t>
      </w:r>
      <w:r>
        <w:rPr>
          <w:rFonts w:ascii="Arial" w:cs="Arial" w:eastAsia="Arial" w:hAnsi="Arial"/>
          <w:sz w:val="18"/>
          <w:szCs w:val="18"/>
          <w:b w:val="1"/>
          <w:bCs w:val="1"/>
          <w:color w:val="262626"/>
        </w:rPr>
        <w:t xml:space="preserve"> </w:t>
      </w:r>
      <w:r>
        <w:rPr>
          <w:rFonts w:ascii="Arial" w:cs="Arial" w:eastAsia="Arial" w:hAnsi="Arial"/>
          <w:sz w:val="18"/>
          <w:szCs w:val="18"/>
          <w:color w:val="262626"/>
        </w:rPr>
        <w:t>will be advanced by one year. In addition, all of Mr. Kapoor’s outstanding Time-Vested RSUs will become fully vested if, he is terminated without cause in specific contemplation of or within 12 months following a change in control or, he voluntarily terminates his employment for good reason within 12 months following a change in control. If Mr. Kapoor dies before the end of the four-year vesting period, all of Mr. Kapoor’s outstanding Time-Vested RSUs will become fully vested.</w:t>
      </w:r>
    </w:p>
    <w:p>
      <w:pPr>
        <w:spacing w:after="0" w:line="162" w:lineRule="exact"/>
        <w:rPr>
          <w:rFonts w:ascii="Arial" w:cs="Arial" w:eastAsia="Arial" w:hAnsi="Arial"/>
          <w:sz w:val="18"/>
          <w:szCs w:val="18"/>
          <w:color w:val="FF6503"/>
        </w:rPr>
      </w:pPr>
    </w:p>
    <w:p>
      <w:pPr>
        <w:ind w:left="660" w:hanging="328"/>
        <w:spacing w:after="0" w:line="239" w:lineRule="auto"/>
        <w:tabs>
          <w:tab w:leader="none" w:pos="660" w:val="left"/>
        </w:tabs>
        <w:numPr>
          <w:ilvl w:val="0"/>
          <w:numId w:val="103"/>
        </w:numPr>
        <w:rPr>
          <w:rFonts w:ascii="Arial" w:cs="Arial" w:eastAsia="Arial" w:hAnsi="Arial"/>
          <w:sz w:val="18"/>
          <w:szCs w:val="18"/>
          <w:color w:val="FF6503"/>
        </w:rPr>
      </w:pPr>
      <w:r>
        <w:rPr>
          <w:rFonts w:ascii="Arial" w:cs="Arial" w:eastAsia="Arial" w:hAnsi="Arial"/>
          <w:sz w:val="18"/>
          <w:szCs w:val="18"/>
          <w:b w:val="1"/>
          <w:bCs w:val="1"/>
          <w:color w:val="262626"/>
        </w:rPr>
        <w:t>Revenue-Linked PRSUs</w:t>
      </w:r>
      <w:r>
        <w:rPr>
          <w:rFonts w:ascii="Arial" w:cs="Arial" w:eastAsia="Arial" w:hAnsi="Arial"/>
          <w:sz w:val="18"/>
          <w:szCs w:val="18"/>
          <w:color w:val="262626"/>
        </w:rPr>
        <w:t>: If a change in control occurs prior to the end of the performance period, 100% of target of Mr. Kapoor’s</w:t>
      </w:r>
      <w:r>
        <w:rPr>
          <w:rFonts w:ascii="Arial" w:cs="Arial" w:eastAsia="Arial" w:hAnsi="Arial"/>
          <w:sz w:val="18"/>
          <w:szCs w:val="18"/>
          <w:b w:val="1"/>
          <w:bCs w:val="1"/>
          <w:color w:val="262626"/>
        </w:rPr>
        <w:t xml:space="preserve"> </w:t>
      </w:r>
      <w:r>
        <w:rPr>
          <w:rFonts w:ascii="Arial" w:cs="Arial" w:eastAsia="Arial" w:hAnsi="Arial"/>
          <w:sz w:val="18"/>
          <w:szCs w:val="18"/>
          <w:color w:val="262626"/>
        </w:rPr>
        <w:t>Revenue-Linked PRSUs will be deemed earned, will be subject to a three-year installment vesting schedule and will be advanced by one year under such schedule. In addition, all of Mr. Kapoor’s outstanding Revenue-Linked PRSUs will become fully vested if, (i) he is terminated without cause in specific contemplation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portion of the outstanding Revenue-Linked PRSUs equal to (x) the number of completed full months during the three-year performance period up to the date of Mr. Kapoor’s death divided by (y) 36 multiplied by (z) 100% of Mr. Kapoor’s Revenue-Linked PRSUs.</w:t>
      </w:r>
    </w:p>
    <w:p>
      <w:pPr>
        <w:spacing w:after="0" w:line="169" w:lineRule="exact"/>
        <w:rPr>
          <w:rFonts w:ascii="Arial" w:cs="Arial" w:eastAsia="Arial" w:hAnsi="Arial"/>
          <w:sz w:val="18"/>
          <w:szCs w:val="18"/>
          <w:color w:val="FF6503"/>
        </w:rPr>
      </w:pPr>
    </w:p>
    <w:p>
      <w:pPr>
        <w:ind w:left="660" w:right="20" w:hanging="328"/>
        <w:spacing w:after="0" w:line="238" w:lineRule="auto"/>
        <w:tabs>
          <w:tab w:leader="none" w:pos="660" w:val="left"/>
        </w:tabs>
        <w:numPr>
          <w:ilvl w:val="0"/>
          <w:numId w:val="103"/>
        </w:numPr>
        <w:rPr>
          <w:rFonts w:ascii="Arial" w:cs="Arial" w:eastAsia="Arial" w:hAnsi="Arial"/>
          <w:sz w:val="18"/>
          <w:szCs w:val="18"/>
          <w:color w:val="FF6503"/>
        </w:rPr>
      </w:pPr>
      <w:r>
        <w:rPr>
          <w:rFonts w:ascii="Arial" w:cs="Arial" w:eastAsia="Arial" w:hAnsi="Arial"/>
          <w:sz w:val="18"/>
          <w:szCs w:val="18"/>
          <w:b w:val="1"/>
          <w:bCs w:val="1"/>
          <w:color w:val="262626"/>
        </w:rPr>
        <w:t>Relative TSR-Linked PRSUs</w:t>
      </w:r>
      <w:r>
        <w:rPr>
          <w:rFonts w:ascii="Arial" w:cs="Arial" w:eastAsia="Arial" w:hAnsi="Arial"/>
          <w:sz w:val="18"/>
          <w:szCs w:val="18"/>
          <w:color w:val="262626"/>
        </w:rPr>
        <w:t>: If a change in control occurs on or prior to the first anniversary of the grant date, 100% of target of Mr.</w:t>
      </w:r>
      <w:r>
        <w:rPr>
          <w:rFonts w:ascii="Arial" w:cs="Arial" w:eastAsia="Arial" w:hAnsi="Arial"/>
          <w:sz w:val="18"/>
          <w:szCs w:val="18"/>
          <w:b w:val="1"/>
          <w:bCs w:val="1"/>
          <w:color w:val="262626"/>
        </w:rPr>
        <w:t xml:space="preserve"> </w:t>
      </w:r>
      <w:r>
        <w:rPr>
          <w:rFonts w:ascii="Arial" w:cs="Arial" w:eastAsia="Arial" w:hAnsi="Arial"/>
          <w:sz w:val="18"/>
          <w:szCs w:val="18"/>
          <w:color w:val="262626"/>
        </w:rPr>
        <w:t>Kapoor’s Relative TSR-Linked PRSUs will be deemed earned. If a change in control occurs after the first anniversary of the grant date, the performance period will be deemed to end on the date of the change in control and the Compensation Committee will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Relative TSR-Linked PRSUs will become fully vested if, following or in specific contemplation of a change in control, he is terminated without cause or, following a change in control, he (i) voluntarily terminates his employment for good reason or (ii) dies. If Mr. Kapoor dies prior to the end of the performance period and no change in control has occurred, Mr. Kapoor will become vested in a portion of the outstanding Relative TSR-Linked PRSUs equal to (x) the number of completed full months during the 3 year performance period up to the date of Mr. Kapoor’s death divided by (y) 36 multiplied by (z) 100% of Mr. Kapoor’s Relative TSR-Linked PRSUs.</w:t>
      </w:r>
    </w:p>
    <w:p>
      <w:pPr>
        <w:spacing w:after="0" w:line="17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262626"/>
        </w:rPr>
        <w:t>Release of Claims</w:t>
      </w:r>
      <w:r>
        <w:rPr>
          <w:rFonts w:ascii="Arial" w:cs="Arial" w:eastAsia="Arial" w:hAnsi="Arial"/>
          <w:sz w:val="18"/>
          <w:szCs w:val="18"/>
          <w:color w:val="262626"/>
        </w:rPr>
        <w:t>: Mr. Kapoor’s severance payments and termination-related equity acceleration are subject to his execution of a release</w:t>
      </w:r>
      <w:r>
        <w:rPr>
          <w:rFonts w:ascii="Arial" w:cs="Arial" w:eastAsia="Arial" w:hAnsi="Arial"/>
          <w:sz w:val="18"/>
          <w:szCs w:val="18"/>
          <w:b w:val="1"/>
          <w:bCs w:val="1"/>
          <w:color w:val="262626"/>
        </w:rPr>
        <w:t xml:space="preserve"> </w:t>
      </w:r>
      <w:r>
        <w:rPr>
          <w:rFonts w:ascii="Arial" w:cs="Arial" w:eastAsia="Arial" w:hAnsi="Arial"/>
          <w:sz w:val="18"/>
          <w:szCs w:val="18"/>
          <w:color w:val="262626"/>
        </w:rPr>
        <w:t>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6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262626"/>
        </w:rPr>
        <w:t>Code Section 280G</w:t>
      </w:r>
      <w:r>
        <w:rPr>
          <w:rFonts w:ascii="Arial" w:cs="Arial" w:eastAsia="Arial" w:hAnsi="Arial"/>
          <w:sz w:val="18"/>
          <w:szCs w:val="18"/>
          <w:color w:val="262626"/>
        </w:rPr>
        <w:t>: Mr. Kapoor’s employment agreement also contains a “modified cut-back” provision such that any payments that</w:t>
      </w:r>
      <w:r>
        <w:rPr>
          <w:rFonts w:ascii="Arial" w:cs="Arial" w:eastAsia="Arial" w:hAnsi="Arial"/>
          <w:sz w:val="18"/>
          <w:szCs w:val="18"/>
          <w:b w:val="1"/>
          <w:bCs w:val="1"/>
          <w:color w:val="262626"/>
        </w:rPr>
        <w:t xml:space="preserve"> </w:t>
      </w:r>
      <w:r>
        <w:rPr>
          <w:rFonts w:ascii="Arial" w:cs="Arial" w:eastAsia="Arial" w:hAnsi="Arial"/>
          <w:sz w:val="18"/>
          <w:szCs w:val="18"/>
          <w:color w:val="262626"/>
        </w:rPr>
        <w:t>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320"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Indicative Payouts for Rohit Kapoor</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520" w:type="dxa"/>
            <w:vAlign w:val="bottom"/>
            <w:tcBorders>
              <w:top w:val="single" w:sz="8" w:color="C3E6FF"/>
              <w:left w:val="single" w:sz="8" w:color="C3E6FF"/>
            </w:tcBorders>
            <w:shd w:val="clear" w:color="auto" w:fill="0093FF"/>
          </w:tcPr>
          <w:p>
            <w:pPr>
              <w:spacing w:after="0"/>
              <w:rPr>
                <w:sz w:val="24"/>
                <w:szCs w:val="24"/>
                <w:color w:val="auto"/>
              </w:rPr>
            </w:pPr>
          </w:p>
        </w:tc>
        <w:tc>
          <w:tcPr>
            <w:tcW w:w="1620" w:type="dxa"/>
            <w:vAlign w:val="bottom"/>
            <w:tcBorders>
              <w:top w:val="single" w:sz="8" w:color="C3E6FF"/>
            </w:tcBorders>
            <w:shd w:val="clear" w:color="auto" w:fill="0093FF"/>
          </w:tcPr>
          <w:p>
            <w:pPr>
              <w:spacing w:after="0"/>
              <w:rPr>
                <w:sz w:val="24"/>
                <w:szCs w:val="24"/>
                <w:color w:val="auto"/>
              </w:rPr>
            </w:pPr>
          </w:p>
        </w:tc>
        <w:tc>
          <w:tcPr>
            <w:tcW w:w="1360" w:type="dxa"/>
            <w:vAlign w:val="bottom"/>
            <w:tcBorders>
              <w:top w:val="single" w:sz="8" w:color="C3E6FF"/>
            </w:tcBorders>
            <w:shd w:val="clear" w:color="auto" w:fill="0093FF"/>
          </w:tcPr>
          <w:p>
            <w:pPr>
              <w:spacing w:after="0"/>
              <w:rPr>
                <w:sz w:val="24"/>
                <w:szCs w:val="24"/>
                <w:color w:val="auto"/>
              </w:rPr>
            </w:pPr>
          </w:p>
        </w:tc>
        <w:tc>
          <w:tcPr>
            <w:tcW w:w="1120" w:type="dxa"/>
            <w:vAlign w:val="bottom"/>
            <w:tcBorders>
              <w:top w:val="single" w:sz="8" w:color="C3E6FF"/>
            </w:tcBorders>
            <w:shd w:val="clear" w:color="auto" w:fill="0093FF"/>
          </w:tcPr>
          <w:p>
            <w:pPr>
              <w:spacing w:after="0"/>
              <w:rPr>
                <w:sz w:val="24"/>
                <w:szCs w:val="24"/>
                <w:color w:val="auto"/>
              </w:rPr>
            </w:pPr>
          </w:p>
        </w:tc>
        <w:tc>
          <w:tcPr>
            <w:tcW w:w="1440" w:type="dxa"/>
            <w:vAlign w:val="bottom"/>
            <w:tcBorders>
              <w:top w:val="single" w:sz="8" w:color="C3E6FF"/>
            </w:tcBorders>
            <w:shd w:val="clear" w:color="auto" w:fill="0093FF"/>
          </w:tcPr>
          <w:p>
            <w:pPr>
              <w:spacing w:after="0"/>
              <w:rPr>
                <w:sz w:val="24"/>
                <w:szCs w:val="24"/>
                <w:color w:val="auto"/>
              </w:rPr>
            </w:pPr>
          </w:p>
        </w:tc>
        <w:tc>
          <w:tcPr>
            <w:tcW w:w="1180" w:type="dxa"/>
            <w:vAlign w:val="bottom"/>
            <w:tcBorders>
              <w:top w:val="single" w:sz="8" w:color="C3E6FF"/>
            </w:tcBorders>
            <w:shd w:val="clear" w:color="auto" w:fill="0093FF"/>
          </w:tcPr>
          <w:p>
            <w:pPr>
              <w:spacing w:after="0"/>
              <w:rPr>
                <w:sz w:val="24"/>
                <w:szCs w:val="24"/>
                <w:color w:val="auto"/>
              </w:rPr>
            </w:pPr>
          </w:p>
        </w:tc>
        <w:tc>
          <w:tcPr>
            <w:tcW w:w="2000" w:type="dxa"/>
            <w:vAlign w:val="bottom"/>
            <w:tcBorders>
              <w:top w:val="single" w:sz="8" w:color="C3E6FF"/>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Termination Without</w:t>
            </w:r>
          </w:p>
        </w:tc>
      </w:tr>
      <w:tr>
        <w:trPr>
          <w:trHeight w:val="162"/>
        </w:trPr>
        <w:tc>
          <w:tcPr>
            <w:tcW w:w="2520" w:type="dxa"/>
            <w:vAlign w:val="bottom"/>
            <w:tcBorders>
              <w:left w:val="single" w:sz="8" w:color="C3E6FF"/>
            </w:tcBorders>
            <w:shd w:val="clear" w:color="auto" w:fill="0093FF"/>
          </w:tcPr>
          <w:p>
            <w:pPr>
              <w:spacing w:after="0"/>
              <w:rPr>
                <w:sz w:val="14"/>
                <w:szCs w:val="14"/>
                <w:color w:val="auto"/>
              </w:rPr>
            </w:pPr>
          </w:p>
        </w:tc>
        <w:tc>
          <w:tcPr>
            <w:tcW w:w="162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440" w:type="dxa"/>
            <w:vAlign w:val="bottom"/>
            <w:shd w:val="clear" w:color="auto" w:fill="0093FF"/>
          </w:tcPr>
          <w:p>
            <w:pPr>
              <w:spacing w:after="0"/>
              <w:rPr>
                <w:sz w:val="14"/>
                <w:szCs w:val="14"/>
                <w:color w:val="auto"/>
              </w:rPr>
            </w:pPr>
          </w:p>
        </w:tc>
        <w:tc>
          <w:tcPr>
            <w:tcW w:w="1180" w:type="dxa"/>
            <w:vAlign w:val="bottom"/>
            <w:shd w:val="clear" w:color="auto" w:fill="0093FF"/>
          </w:tcPr>
          <w:p>
            <w:pPr>
              <w:spacing w:after="0"/>
              <w:rPr>
                <w:sz w:val="14"/>
                <w:szCs w:val="14"/>
                <w:color w:val="auto"/>
              </w:rPr>
            </w:pP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Cause or for Good</w:t>
            </w:r>
          </w:p>
        </w:tc>
      </w:tr>
      <w:tr>
        <w:trPr>
          <w:trHeight w:val="162"/>
        </w:trPr>
        <w:tc>
          <w:tcPr>
            <w:tcW w:w="2520" w:type="dxa"/>
            <w:vAlign w:val="bottom"/>
            <w:tcBorders>
              <w:left w:val="single" w:sz="8" w:color="C3E6FF"/>
            </w:tcBorders>
            <w:shd w:val="clear" w:color="auto" w:fill="0093FF"/>
          </w:tcPr>
          <w:p>
            <w:pPr>
              <w:spacing w:after="0"/>
              <w:rPr>
                <w:sz w:val="14"/>
                <w:szCs w:val="14"/>
                <w:color w:val="auto"/>
              </w:rPr>
            </w:pPr>
          </w:p>
        </w:tc>
        <w:tc>
          <w:tcPr>
            <w:tcW w:w="162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440" w:type="dxa"/>
            <w:vAlign w:val="bottom"/>
            <w:shd w:val="clear" w:color="auto" w:fill="0093FF"/>
          </w:tcPr>
          <w:p>
            <w:pPr>
              <w:spacing w:after="0"/>
              <w:rPr>
                <w:sz w:val="14"/>
                <w:szCs w:val="14"/>
                <w:color w:val="auto"/>
              </w:rPr>
            </w:pPr>
          </w:p>
        </w:tc>
        <w:tc>
          <w:tcPr>
            <w:tcW w:w="1180" w:type="dxa"/>
            <w:vAlign w:val="bottom"/>
            <w:shd w:val="clear" w:color="auto" w:fill="0093FF"/>
          </w:tcPr>
          <w:p>
            <w:pPr>
              <w:spacing w:after="0"/>
              <w:rPr>
                <w:sz w:val="14"/>
                <w:szCs w:val="14"/>
                <w:color w:val="auto"/>
              </w:rPr>
            </w:pP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Reason Following</w:t>
            </w:r>
          </w:p>
        </w:tc>
      </w:tr>
      <w:tr>
        <w:trPr>
          <w:trHeight w:val="162"/>
        </w:trPr>
        <w:tc>
          <w:tcPr>
            <w:tcW w:w="2520" w:type="dxa"/>
            <w:vAlign w:val="bottom"/>
            <w:tcBorders>
              <w:left w:val="single" w:sz="8" w:color="C3E6FF"/>
            </w:tcBorders>
            <w:shd w:val="clear" w:color="auto" w:fill="0093FF"/>
          </w:tcPr>
          <w:p>
            <w:pPr>
              <w:spacing w:after="0"/>
              <w:rPr>
                <w:sz w:val="14"/>
                <w:szCs w:val="14"/>
                <w:color w:val="auto"/>
              </w:rPr>
            </w:pPr>
          </w:p>
        </w:tc>
        <w:tc>
          <w:tcPr>
            <w:tcW w:w="162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440" w:type="dxa"/>
            <w:vAlign w:val="bottom"/>
            <w:shd w:val="clear" w:color="auto" w:fill="0093FF"/>
          </w:tcPr>
          <w:p>
            <w:pPr>
              <w:spacing w:after="0"/>
              <w:rPr>
                <w:sz w:val="14"/>
                <w:szCs w:val="14"/>
                <w:color w:val="auto"/>
              </w:rPr>
            </w:pPr>
          </w:p>
        </w:tc>
        <w:tc>
          <w:tcPr>
            <w:tcW w:w="1180" w:type="dxa"/>
            <w:vAlign w:val="bottom"/>
            <w:shd w:val="clear" w:color="auto" w:fill="0093FF"/>
          </w:tcPr>
          <w:p>
            <w:pPr>
              <w:spacing w:after="0"/>
              <w:rPr>
                <w:sz w:val="14"/>
                <w:szCs w:val="14"/>
                <w:color w:val="auto"/>
              </w:rPr>
            </w:pP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Change in Control or</w:t>
            </w:r>
          </w:p>
        </w:tc>
      </w:tr>
      <w:tr>
        <w:trPr>
          <w:trHeight w:val="162"/>
        </w:trPr>
        <w:tc>
          <w:tcPr>
            <w:tcW w:w="2520" w:type="dxa"/>
            <w:vAlign w:val="bottom"/>
            <w:tcBorders>
              <w:left w:val="single" w:sz="8" w:color="C3E6FF"/>
            </w:tcBorders>
            <w:shd w:val="clear" w:color="auto" w:fill="0093FF"/>
          </w:tcPr>
          <w:p>
            <w:pPr>
              <w:spacing w:after="0"/>
              <w:rPr>
                <w:sz w:val="14"/>
                <w:szCs w:val="14"/>
                <w:color w:val="auto"/>
              </w:rPr>
            </w:pPr>
          </w:p>
        </w:tc>
        <w:tc>
          <w:tcPr>
            <w:tcW w:w="162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440" w:type="dxa"/>
            <w:vAlign w:val="bottom"/>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Termination for</w:t>
            </w:r>
          </w:p>
        </w:tc>
        <w:tc>
          <w:tcPr>
            <w:tcW w:w="1180" w:type="dxa"/>
            <w:vAlign w:val="bottom"/>
            <w:shd w:val="clear" w:color="auto" w:fill="0093FF"/>
          </w:tcPr>
          <w:p>
            <w:pPr>
              <w:spacing w:after="0"/>
              <w:rPr>
                <w:sz w:val="14"/>
                <w:szCs w:val="14"/>
                <w:color w:val="auto"/>
              </w:rPr>
            </w:pP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Termination Without</w:t>
            </w:r>
          </w:p>
        </w:tc>
      </w:tr>
      <w:tr>
        <w:trPr>
          <w:trHeight w:val="162"/>
        </w:trPr>
        <w:tc>
          <w:tcPr>
            <w:tcW w:w="2520" w:type="dxa"/>
            <w:vAlign w:val="bottom"/>
            <w:tcBorders>
              <w:left w:val="single" w:sz="8" w:color="C3E6FF"/>
            </w:tcBorders>
            <w:shd w:val="clear" w:color="auto" w:fill="0093FF"/>
          </w:tcPr>
          <w:p>
            <w:pPr>
              <w:spacing w:after="0"/>
              <w:rPr>
                <w:sz w:val="14"/>
                <w:szCs w:val="14"/>
                <w:color w:val="auto"/>
              </w:rPr>
            </w:pPr>
          </w:p>
        </w:tc>
        <w:tc>
          <w:tcPr>
            <w:tcW w:w="162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440" w:type="dxa"/>
            <w:vAlign w:val="bottom"/>
            <w:shd w:val="clear" w:color="auto" w:fill="0093FF"/>
          </w:tcPr>
          <w:p>
            <w:pPr>
              <w:jc w:val="center"/>
              <w:ind w:right="68"/>
              <w:spacing w:after="0"/>
              <w:rPr>
                <w:sz w:val="20"/>
                <w:szCs w:val="20"/>
                <w:color w:val="auto"/>
              </w:rPr>
            </w:pPr>
            <w:r>
              <w:rPr>
                <w:rFonts w:ascii="Arial" w:cs="Arial" w:eastAsia="Arial" w:hAnsi="Arial"/>
                <w:sz w:val="14"/>
                <w:szCs w:val="14"/>
                <w:b w:val="1"/>
                <w:bCs w:val="1"/>
                <w:color w:val="FFFFFF"/>
              </w:rPr>
              <w:t>Good Reason</w:t>
            </w:r>
          </w:p>
        </w:tc>
        <w:tc>
          <w:tcPr>
            <w:tcW w:w="1180" w:type="dxa"/>
            <w:vAlign w:val="bottom"/>
            <w:shd w:val="clear" w:color="auto" w:fill="0093FF"/>
          </w:tcPr>
          <w:p>
            <w:pPr>
              <w:spacing w:after="0"/>
              <w:rPr>
                <w:sz w:val="14"/>
                <w:szCs w:val="14"/>
                <w:color w:val="auto"/>
              </w:rPr>
            </w:pP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Cause in Specific</w:t>
            </w:r>
          </w:p>
        </w:tc>
      </w:tr>
      <w:tr>
        <w:trPr>
          <w:trHeight w:val="162"/>
        </w:trPr>
        <w:tc>
          <w:tcPr>
            <w:tcW w:w="2520" w:type="dxa"/>
            <w:vAlign w:val="bottom"/>
            <w:tcBorders>
              <w:left w:val="single" w:sz="8" w:color="C3E6FF"/>
            </w:tcBorders>
            <w:shd w:val="clear" w:color="auto" w:fill="0093FF"/>
          </w:tcPr>
          <w:p>
            <w:pPr>
              <w:spacing w:after="0"/>
              <w:rPr>
                <w:sz w:val="14"/>
                <w:szCs w:val="14"/>
                <w:color w:val="auto"/>
              </w:rPr>
            </w:pPr>
          </w:p>
        </w:tc>
        <w:tc>
          <w:tcPr>
            <w:tcW w:w="162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Death Prior to a</w:t>
            </w:r>
          </w:p>
        </w:tc>
        <w:tc>
          <w:tcPr>
            <w:tcW w:w="13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Death After a</w:t>
            </w:r>
          </w:p>
        </w:tc>
        <w:tc>
          <w:tcPr>
            <w:tcW w:w="1120" w:type="dxa"/>
            <w:vAlign w:val="bottom"/>
            <w:shd w:val="clear" w:color="auto" w:fill="0093FF"/>
          </w:tcPr>
          <w:p>
            <w:pPr>
              <w:spacing w:after="0"/>
              <w:rPr>
                <w:sz w:val="14"/>
                <w:szCs w:val="14"/>
                <w:color w:val="auto"/>
              </w:rPr>
            </w:pPr>
          </w:p>
        </w:tc>
        <w:tc>
          <w:tcPr>
            <w:tcW w:w="1440" w:type="dxa"/>
            <w:vAlign w:val="bottom"/>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or Without</w:t>
            </w:r>
          </w:p>
        </w:tc>
        <w:tc>
          <w:tcPr>
            <w:tcW w:w="1180" w:type="dxa"/>
            <w:vAlign w:val="bottom"/>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Change in</w:t>
            </w: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Contemplation of</w:t>
            </w:r>
          </w:p>
        </w:tc>
      </w:tr>
      <w:tr>
        <w:trPr>
          <w:trHeight w:val="162"/>
        </w:trPr>
        <w:tc>
          <w:tcPr>
            <w:tcW w:w="252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Payments upon</w:t>
            </w:r>
          </w:p>
        </w:tc>
        <w:tc>
          <w:tcPr>
            <w:tcW w:w="162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Change in</w:t>
            </w:r>
          </w:p>
        </w:tc>
        <w:tc>
          <w:tcPr>
            <w:tcW w:w="13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Change in</w:t>
            </w:r>
          </w:p>
        </w:tc>
        <w:tc>
          <w:tcPr>
            <w:tcW w:w="1120" w:type="dxa"/>
            <w:vAlign w:val="bottom"/>
            <w:shd w:val="clear" w:color="auto" w:fill="0093FF"/>
          </w:tcPr>
          <w:p>
            <w:pPr>
              <w:jc w:val="right"/>
              <w:ind w:right="248"/>
              <w:spacing w:after="0"/>
              <w:rPr>
                <w:sz w:val="20"/>
                <w:szCs w:val="20"/>
                <w:color w:val="auto"/>
              </w:rPr>
            </w:pPr>
            <w:r>
              <w:rPr>
                <w:rFonts w:ascii="Arial" w:cs="Arial" w:eastAsia="Arial" w:hAnsi="Arial"/>
                <w:sz w:val="14"/>
                <w:szCs w:val="14"/>
                <w:b w:val="1"/>
                <w:bCs w:val="1"/>
                <w:color w:val="FFFFFF"/>
              </w:rPr>
              <w:t>Disability</w:t>
            </w:r>
          </w:p>
        </w:tc>
        <w:tc>
          <w:tcPr>
            <w:tcW w:w="1440" w:type="dxa"/>
            <w:vAlign w:val="bottom"/>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Cause</w:t>
            </w:r>
          </w:p>
        </w:tc>
        <w:tc>
          <w:tcPr>
            <w:tcW w:w="1180" w:type="dxa"/>
            <w:vAlign w:val="bottom"/>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Control</w:t>
            </w: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Change in Control</w:t>
            </w:r>
          </w:p>
        </w:tc>
      </w:tr>
      <w:tr>
        <w:trPr>
          <w:trHeight w:val="190"/>
        </w:trPr>
        <w:tc>
          <w:tcPr>
            <w:tcW w:w="252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Termination</w:t>
            </w:r>
          </w:p>
        </w:tc>
        <w:tc>
          <w:tcPr>
            <w:tcW w:w="162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Control ($)</w:t>
            </w:r>
          </w:p>
        </w:tc>
        <w:tc>
          <w:tcPr>
            <w:tcW w:w="13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Control ($)</w:t>
            </w:r>
          </w:p>
        </w:tc>
        <w:tc>
          <w:tcPr>
            <w:tcW w:w="1120" w:type="dxa"/>
            <w:vAlign w:val="bottom"/>
            <w:shd w:val="clear" w:color="auto" w:fill="0093FF"/>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93FF"/>
          </w:tcPr>
          <w:p>
            <w:pPr>
              <w:jc w:val="center"/>
              <w:ind w:right="6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w:t>
            </w:r>
          </w:p>
        </w:tc>
        <w:tc>
          <w:tcPr>
            <w:tcW w:w="2000" w:type="dxa"/>
            <w:vAlign w:val="bottom"/>
            <w:tcBorders>
              <w:right w:val="single" w:sz="8" w:color="C3E6FF"/>
            </w:tcBorders>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w w:val="93"/>
              </w:rPr>
              <w:t>($)</w:t>
            </w:r>
          </w:p>
        </w:tc>
      </w:tr>
      <w:tr>
        <w:trPr>
          <w:trHeight w:val="93"/>
        </w:trPr>
        <w:tc>
          <w:tcPr>
            <w:tcW w:w="2520" w:type="dxa"/>
            <w:vAlign w:val="bottom"/>
            <w:tcBorders>
              <w:left w:val="single" w:sz="8" w:color="C3E6FF"/>
            </w:tcBorders>
            <w:shd w:val="clear" w:color="auto" w:fill="0093FF"/>
          </w:tcPr>
          <w:p>
            <w:pPr>
              <w:spacing w:after="0"/>
              <w:rPr>
                <w:sz w:val="8"/>
                <w:szCs w:val="8"/>
                <w:color w:val="auto"/>
              </w:rPr>
            </w:pPr>
          </w:p>
        </w:tc>
        <w:tc>
          <w:tcPr>
            <w:tcW w:w="1620" w:type="dxa"/>
            <w:vAlign w:val="bottom"/>
            <w:shd w:val="clear" w:color="auto" w:fill="0093FF"/>
          </w:tcPr>
          <w:p>
            <w:pPr>
              <w:spacing w:after="0"/>
              <w:rPr>
                <w:sz w:val="8"/>
                <w:szCs w:val="8"/>
                <w:color w:val="auto"/>
              </w:rPr>
            </w:pPr>
          </w:p>
        </w:tc>
        <w:tc>
          <w:tcPr>
            <w:tcW w:w="1360" w:type="dxa"/>
            <w:vAlign w:val="bottom"/>
            <w:shd w:val="clear" w:color="auto" w:fill="0093FF"/>
          </w:tcPr>
          <w:p>
            <w:pPr>
              <w:spacing w:after="0"/>
              <w:rPr>
                <w:sz w:val="8"/>
                <w:szCs w:val="8"/>
                <w:color w:val="auto"/>
              </w:rPr>
            </w:pPr>
          </w:p>
        </w:tc>
        <w:tc>
          <w:tcPr>
            <w:tcW w:w="1120" w:type="dxa"/>
            <w:vAlign w:val="bottom"/>
            <w:shd w:val="clear" w:color="auto" w:fill="0093FF"/>
          </w:tcPr>
          <w:p>
            <w:pPr>
              <w:spacing w:after="0"/>
              <w:rPr>
                <w:sz w:val="8"/>
                <w:szCs w:val="8"/>
                <w:color w:val="auto"/>
              </w:rPr>
            </w:pPr>
          </w:p>
        </w:tc>
        <w:tc>
          <w:tcPr>
            <w:tcW w:w="1440" w:type="dxa"/>
            <w:vAlign w:val="bottom"/>
            <w:shd w:val="clear" w:color="auto" w:fill="0093FF"/>
          </w:tcPr>
          <w:p>
            <w:pPr>
              <w:spacing w:after="0"/>
              <w:rPr>
                <w:sz w:val="8"/>
                <w:szCs w:val="8"/>
                <w:color w:val="auto"/>
              </w:rPr>
            </w:pPr>
          </w:p>
        </w:tc>
        <w:tc>
          <w:tcPr>
            <w:tcW w:w="1180" w:type="dxa"/>
            <w:vAlign w:val="bottom"/>
            <w:shd w:val="clear" w:color="auto" w:fill="0093FF"/>
          </w:tcPr>
          <w:p>
            <w:pPr>
              <w:spacing w:after="0"/>
              <w:rPr>
                <w:sz w:val="8"/>
                <w:szCs w:val="8"/>
                <w:color w:val="auto"/>
              </w:rPr>
            </w:pPr>
          </w:p>
        </w:tc>
        <w:tc>
          <w:tcPr>
            <w:tcW w:w="2000" w:type="dxa"/>
            <w:vAlign w:val="bottom"/>
            <w:tcBorders>
              <w:right w:val="single" w:sz="8" w:color="C3E6FF"/>
            </w:tcBorders>
            <w:shd w:val="clear" w:color="auto" w:fill="0093FF"/>
          </w:tcPr>
          <w:p>
            <w:pPr>
              <w:spacing w:after="0"/>
              <w:rPr>
                <w:sz w:val="8"/>
                <w:szCs w:val="8"/>
                <w:color w:val="auto"/>
              </w:rPr>
            </w:pPr>
          </w:p>
        </w:tc>
      </w:tr>
      <w:tr>
        <w:trPr>
          <w:trHeight w:val="285"/>
        </w:trPr>
        <w:tc>
          <w:tcPr>
            <w:tcW w:w="252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Base salary payout</w:t>
            </w:r>
          </w:p>
        </w:tc>
        <w:tc>
          <w:tcPr>
            <w:tcW w:w="162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1,440,000</w:t>
            </w:r>
          </w:p>
        </w:tc>
        <w:tc>
          <w:tcPr>
            <w:tcW w:w="1180" w:type="dxa"/>
            <w:vAlign w:val="bottom"/>
            <w:shd w:val="clear" w:color="auto" w:fill="F3F9FF"/>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1,440,000</w:t>
            </w:r>
          </w:p>
        </w:tc>
      </w:tr>
      <w:tr>
        <w:trPr>
          <w:trHeight w:val="93"/>
        </w:trPr>
        <w:tc>
          <w:tcPr>
            <w:tcW w:w="2520" w:type="dxa"/>
            <w:vAlign w:val="bottom"/>
            <w:tcBorders>
              <w:left w:val="single" w:sz="8" w:color="C3E6FF"/>
            </w:tcBorders>
            <w:shd w:val="clear" w:color="auto" w:fill="F3F9FF"/>
          </w:tcPr>
          <w:p>
            <w:pPr>
              <w:spacing w:after="0"/>
              <w:rPr>
                <w:sz w:val="8"/>
                <w:szCs w:val="8"/>
                <w:color w:val="auto"/>
              </w:rPr>
            </w:pPr>
          </w:p>
        </w:tc>
        <w:tc>
          <w:tcPr>
            <w:tcW w:w="1620" w:type="dxa"/>
            <w:vAlign w:val="bottom"/>
            <w:shd w:val="clear" w:color="auto" w:fill="F3F9FF"/>
          </w:tcPr>
          <w:p>
            <w:pPr>
              <w:spacing w:after="0"/>
              <w:rPr>
                <w:sz w:val="8"/>
                <w:szCs w:val="8"/>
                <w:color w:val="auto"/>
              </w:rPr>
            </w:pPr>
          </w:p>
        </w:tc>
        <w:tc>
          <w:tcPr>
            <w:tcW w:w="136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440" w:type="dxa"/>
            <w:vAlign w:val="bottom"/>
            <w:shd w:val="clear" w:color="auto" w:fill="F3F9FF"/>
          </w:tcPr>
          <w:p>
            <w:pPr>
              <w:spacing w:after="0"/>
              <w:rPr>
                <w:sz w:val="8"/>
                <w:szCs w:val="8"/>
                <w:color w:val="auto"/>
              </w:rPr>
            </w:pPr>
          </w:p>
        </w:tc>
        <w:tc>
          <w:tcPr>
            <w:tcW w:w="1180" w:type="dxa"/>
            <w:vAlign w:val="bottom"/>
            <w:shd w:val="clear" w:color="auto" w:fill="F3F9FF"/>
          </w:tcPr>
          <w:p>
            <w:pPr>
              <w:spacing w:after="0"/>
              <w:rPr>
                <w:sz w:val="8"/>
                <w:szCs w:val="8"/>
                <w:color w:val="auto"/>
              </w:rPr>
            </w:pPr>
          </w:p>
        </w:tc>
        <w:tc>
          <w:tcPr>
            <w:tcW w:w="2000" w:type="dxa"/>
            <w:vAlign w:val="bottom"/>
            <w:tcBorders>
              <w:right w:val="single" w:sz="8" w:color="C3E6FF"/>
            </w:tcBorders>
            <w:shd w:val="clear" w:color="auto" w:fill="F3F9FF"/>
          </w:tcPr>
          <w:p>
            <w:pPr>
              <w:spacing w:after="0"/>
              <w:rPr>
                <w:sz w:val="8"/>
                <w:szCs w:val="8"/>
                <w:color w:val="auto"/>
              </w:rPr>
            </w:pPr>
          </w:p>
        </w:tc>
      </w:tr>
      <w:tr>
        <w:trPr>
          <w:trHeight w:val="285"/>
        </w:trPr>
        <w:tc>
          <w:tcPr>
            <w:tcW w:w="2520" w:type="dxa"/>
            <w:vAlign w:val="bottom"/>
            <w:tcBorders>
              <w:left w:val="single" w:sz="8" w:color="C3E6FF"/>
            </w:tcBorders>
          </w:tcPr>
          <w:p>
            <w:pPr>
              <w:ind w:left="80"/>
              <w:spacing w:after="0"/>
              <w:rPr>
                <w:sz w:val="20"/>
                <w:szCs w:val="20"/>
                <w:color w:val="auto"/>
              </w:rPr>
            </w:pPr>
            <w:r>
              <w:rPr>
                <w:rFonts w:ascii="Arial" w:cs="Arial" w:eastAsia="Arial" w:hAnsi="Arial"/>
                <w:sz w:val="14"/>
                <w:szCs w:val="14"/>
                <w:color w:val="auto"/>
              </w:rPr>
              <w:t>Bonus payout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1,304,453</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1,304,453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1,304,453</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1,304,453</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right w:val="single" w:sz="8" w:color="C3E6FF"/>
            </w:tcBorders>
          </w:tcPr>
          <w:p>
            <w:pPr>
              <w:jc w:val="right"/>
              <w:ind w:right="8"/>
              <w:spacing w:after="0"/>
              <w:rPr>
                <w:sz w:val="20"/>
                <w:szCs w:val="20"/>
                <w:color w:val="auto"/>
              </w:rPr>
            </w:pPr>
            <w:r>
              <w:rPr>
                <w:rFonts w:ascii="Arial" w:cs="Arial" w:eastAsia="Arial" w:hAnsi="Arial"/>
                <w:sz w:val="14"/>
                <w:szCs w:val="14"/>
                <w:color w:val="auto"/>
              </w:rPr>
              <w:t>1,304,453</w:t>
            </w:r>
          </w:p>
        </w:tc>
      </w:tr>
      <w:tr>
        <w:trPr>
          <w:trHeight w:val="93"/>
        </w:trPr>
        <w:tc>
          <w:tcPr>
            <w:tcW w:w="2520" w:type="dxa"/>
            <w:vAlign w:val="bottom"/>
            <w:tcBorders>
              <w:left w:val="single" w:sz="8" w:color="C3E6FF"/>
            </w:tcBorders>
          </w:tcPr>
          <w:p>
            <w:pPr>
              <w:spacing w:after="0"/>
              <w:rPr>
                <w:sz w:val="8"/>
                <w:szCs w:val="8"/>
                <w:color w:val="auto"/>
              </w:rPr>
            </w:pPr>
          </w:p>
        </w:tc>
        <w:tc>
          <w:tcPr>
            <w:tcW w:w="1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0" w:type="dxa"/>
            <w:vAlign w:val="bottom"/>
            <w:tcBorders>
              <w:right w:val="single" w:sz="8" w:color="C3E6FF"/>
            </w:tcBorders>
          </w:tcPr>
          <w:p>
            <w:pPr>
              <w:spacing w:after="0"/>
              <w:rPr>
                <w:sz w:val="8"/>
                <w:szCs w:val="8"/>
                <w:color w:val="auto"/>
              </w:rPr>
            </w:pPr>
          </w:p>
        </w:tc>
      </w:tr>
      <w:tr>
        <w:trPr>
          <w:trHeight w:val="285"/>
        </w:trPr>
        <w:tc>
          <w:tcPr>
            <w:tcW w:w="252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Life insurance</w:t>
            </w:r>
          </w:p>
        </w:tc>
        <w:tc>
          <w:tcPr>
            <w:tcW w:w="162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4,149</w:t>
            </w:r>
          </w:p>
        </w:tc>
        <w:tc>
          <w:tcPr>
            <w:tcW w:w="1180" w:type="dxa"/>
            <w:vAlign w:val="bottom"/>
            <w:shd w:val="clear" w:color="auto" w:fill="F3F9FF"/>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4,149</w:t>
            </w:r>
          </w:p>
        </w:tc>
      </w:tr>
      <w:tr>
        <w:trPr>
          <w:trHeight w:val="93"/>
        </w:trPr>
        <w:tc>
          <w:tcPr>
            <w:tcW w:w="2520" w:type="dxa"/>
            <w:vAlign w:val="bottom"/>
            <w:tcBorders>
              <w:left w:val="single" w:sz="8" w:color="C3E6FF"/>
            </w:tcBorders>
            <w:shd w:val="clear" w:color="auto" w:fill="F3F9FF"/>
          </w:tcPr>
          <w:p>
            <w:pPr>
              <w:spacing w:after="0"/>
              <w:rPr>
                <w:sz w:val="8"/>
                <w:szCs w:val="8"/>
                <w:color w:val="auto"/>
              </w:rPr>
            </w:pPr>
          </w:p>
        </w:tc>
        <w:tc>
          <w:tcPr>
            <w:tcW w:w="1620" w:type="dxa"/>
            <w:vAlign w:val="bottom"/>
            <w:shd w:val="clear" w:color="auto" w:fill="F3F9FF"/>
          </w:tcPr>
          <w:p>
            <w:pPr>
              <w:spacing w:after="0"/>
              <w:rPr>
                <w:sz w:val="8"/>
                <w:szCs w:val="8"/>
                <w:color w:val="auto"/>
              </w:rPr>
            </w:pPr>
          </w:p>
        </w:tc>
        <w:tc>
          <w:tcPr>
            <w:tcW w:w="136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440" w:type="dxa"/>
            <w:vAlign w:val="bottom"/>
            <w:shd w:val="clear" w:color="auto" w:fill="F3F9FF"/>
          </w:tcPr>
          <w:p>
            <w:pPr>
              <w:spacing w:after="0"/>
              <w:rPr>
                <w:sz w:val="8"/>
                <w:szCs w:val="8"/>
                <w:color w:val="auto"/>
              </w:rPr>
            </w:pPr>
          </w:p>
        </w:tc>
        <w:tc>
          <w:tcPr>
            <w:tcW w:w="1180" w:type="dxa"/>
            <w:vAlign w:val="bottom"/>
            <w:shd w:val="clear" w:color="auto" w:fill="F3F9FF"/>
          </w:tcPr>
          <w:p>
            <w:pPr>
              <w:spacing w:after="0"/>
              <w:rPr>
                <w:sz w:val="8"/>
                <w:szCs w:val="8"/>
                <w:color w:val="auto"/>
              </w:rPr>
            </w:pPr>
          </w:p>
        </w:tc>
        <w:tc>
          <w:tcPr>
            <w:tcW w:w="2000" w:type="dxa"/>
            <w:vAlign w:val="bottom"/>
            <w:tcBorders>
              <w:right w:val="single" w:sz="8" w:color="C3E6FF"/>
            </w:tcBorders>
            <w:shd w:val="clear" w:color="auto" w:fill="F3F9FF"/>
          </w:tcPr>
          <w:p>
            <w:pPr>
              <w:spacing w:after="0"/>
              <w:rPr>
                <w:sz w:val="8"/>
                <w:szCs w:val="8"/>
                <w:color w:val="auto"/>
              </w:rPr>
            </w:pPr>
          </w:p>
        </w:tc>
      </w:tr>
      <w:tr>
        <w:trPr>
          <w:trHeight w:val="285"/>
        </w:trPr>
        <w:tc>
          <w:tcPr>
            <w:tcW w:w="2520" w:type="dxa"/>
            <w:vAlign w:val="bottom"/>
            <w:tcBorders>
              <w:left w:val="single" w:sz="8" w:color="C3E6FF"/>
            </w:tcBorders>
          </w:tcPr>
          <w:p>
            <w:pPr>
              <w:ind w:left="80"/>
              <w:spacing w:after="0"/>
              <w:rPr>
                <w:sz w:val="20"/>
                <w:szCs w:val="20"/>
                <w:color w:val="auto"/>
              </w:rPr>
            </w:pPr>
            <w:r>
              <w:rPr>
                <w:rFonts w:ascii="Arial" w:cs="Arial" w:eastAsia="Arial" w:hAnsi="Arial"/>
                <w:sz w:val="14"/>
                <w:szCs w:val="14"/>
                <w:color w:val="auto"/>
              </w:rPr>
              <w:t>Health insurance</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36,676</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right w:val="single" w:sz="8" w:color="C3E6FF"/>
            </w:tcBorders>
          </w:tcPr>
          <w:p>
            <w:pPr>
              <w:jc w:val="right"/>
              <w:ind w:right="8"/>
              <w:spacing w:after="0"/>
              <w:rPr>
                <w:sz w:val="20"/>
                <w:szCs w:val="20"/>
                <w:color w:val="auto"/>
              </w:rPr>
            </w:pPr>
            <w:r>
              <w:rPr>
                <w:rFonts w:ascii="Arial" w:cs="Arial" w:eastAsia="Arial" w:hAnsi="Arial"/>
                <w:sz w:val="14"/>
                <w:szCs w:val="14"/>
                <w:color w:val="auto"/>
              </w:rPr>
              <w:t>36,676</w:t>
            </w:r>
          </w:p>
        </w:tc>
      </w:tr>
      <w:tr>
        <w:trPr>
          <w:trHeight w:val="93"/>
        </w:trPr>
        <w:tc>
          <w:tcPr>
            <w:tcW w:w="2520" w:type="dxa"/>
            <w:vAlign w:val="bottom"/>
            <w:tcBorders>
              <w:left w:val="single" w:sz="8" w:color="C3E6FF"/>
            </w:tcBorders>
          </w:tcPr>
          <w:p>
            <w:pPr>
              <w:spacing w:after="0"/>
              <w:rPr>
                <w:sz w:val="8"/>
                <w:szCs w:val="8"/>
                <w:color w:val="auto"/>
              </w:rPr>
            </w:pPr>
          </w:p>
        </w:tc>
        <w:tc>
          <w:tcPr>
            <w:tcW w:w="1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0" w:type="dxa"/>
            <w:vAlign w:val="bottom"/>
            <w:tcBorders>
              <w:right w:val="single" w:sz="8" w:color="C3E6FF"/>
            </w:tcBorders>
          </w:tcPr>
          <w:p>
            <w:pPr>
              <w:spacing w:after="0"/>
              <w:rPr>
                <w:sz w:val="8"/>
                <w:szCs w:val="8"/>
                <w:color w:val="auto"/>
              </w:rPr>
            </w:pPr>
          </w:p>
        </w:tc>
      </w:tr>
      <w:tr>
        <w:trPr>
          <w:trHeight w:val="285"/>
        </w:trPr>
        <w:tc>
          <w:tcPr>
            <w:tcW w:w="252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Restricted stock units</w:t>
            </w:r>
          </w:p>
        </w:tc>
        <w:tc>
          <w:tcPr>
            <w:tcW w:w="162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5,329,944</w:t>
            </w:r>
          </w:p>
        </w:tc>
        <w:tc>
          <w:tcPr>
            <w:tcW w:w="13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5,329,944</w:t>
            </w:r>
          </w:p>
        </w:tc>
        <w:tc>
          <w:tcPr>
            <w:tcW w:w="112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3,804,810</w:t>
            </w:r>
          </w:p>
        </w:tc>
        <w:tc>
          <w:tcPr>
            <w:tcW w:w="1180" w:type="dxa"/>
            <w:vAlign w:val="bottom"/>
            <w:shd w:val="clear" w:color="auto" w:fill="F3F9FF"/>
          </w:tcPr>
          <w:p>
            <w:pPr>
              <w:jc w:val="right"/>
              <w:ind w:right="108"/>
              <w:spacing w:after="0"/>
              <w:rPr>
                <w:sz w:val="20"/>
                <w:szCs w:val="20"/>
                <w:color w:val="auto"/>
              </w:rPr>
            </w:pPr>
            <w:r>
              <w:rPr>
                <w:rFonts w:ascii="Arial" w:cs="Arial" w:eastAsia="Arial" w:hAnsi="Arial"/>
                <w:sz w:val="14"/>
                <w:szCs w:val="14"/>
                <w:color w:val="auto"/>
              </w:rPr>
              <w:t>2,227,999</w:t>
            </w:r>
          </w:p>
        </w:tc>
        <w:tc>
          <w:tcPr>
            <w:tcW w:w="200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5,329,944</w:t>
            </w:r>
          </w:p>
        </w:tc>
      </w:tr>
      <w:tr>
        <w:trPr>
          <w:trHeight w:val="93"/>
        </w:trPr>
        <w:tc>
          <w:tcPr>
            <w:tcW w:w="2520" w:type="dxa"/>
            <w:vAlign w:val="bottom"/>
            <w:tcBorders>
              <w:left w:val="single" w:sz="8" w:color="C3E6FF"/>
            </w:tcBorders>
            <w:shd w:val="clear" w:color="auto" w:fill="F3F9FF"/>
          </w:tcPr>
          <w:p>
            <w:pPr>
              <w:spacing w:after="0"/>
              <w:rPr>
                <w:sz w:val="8"/>
                <w:szCs w:val="8"/>
                <w:color w:val="auto"/>
              </w:rPr>
            </w:pPr>
          </w:p>
        </w:tc>
        <w:tc>
          <w:tcPr>
            <w:tcW w:w="1620" w:type="dxa"/>
            <w:vAlign w:val="bottom"/>
            <w:shd w:val="clear" w:color="auto" w:fill="F3F9FF"/>
          </w:tcPr>
          <w:p>
            <w:pPr>
              <w:spacing w:after="0"/>
              <w:rPr>
                <w:sz w:val="8"/>
                <w:szCs w:val="8"/>
                <w:color w:val="auto"/>
              </w:rPr>
            </w:pPr>
          </w:p>
        </w:tc>
        <w:tc>
          <w:tcPr>
            <w:tcW w:w="136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440" w:type="dxa"/>
            <w:vAlign w:val="bottom"/>
            <w:shd w:val="clear" w:color="auto" w:fill="F3F9FF"/>
          </w:tcPr>
          <w:p>
            <w:pPr>
              <w:spacing w:after="0"/>
              <w:rPr>
                <w:sz w:val="8"/>
                <w:szCs w:val="8"/>
                <w:color w:val="auto"/>
              </w:rPr>
            </w:pPr>
          </w:p>
        </w:tc>
        <w:tc>
          <w:tcPr>
            <w:tcW w:w="1180" w:type="dxa"/>
            <w:vAlign w:val="bottom"/>
            <w:shd w:val="clear" w:color="auto" w:fill="F3F9FF"/>
          </w:tcPr>
          <w:p>
            <w:pPr>
              <w:spacing w:after="0"/>
              <w:rPr>
                <w:sz w:val="8"/>
                <w:szCs w:val="8"/>
                <w:color w:val="auto"/>
              </w:rPr>
            </w:pPr>
          </w:p>
        </w:tc>
        <w:tc>
          <w:tcPr>
            <w:tcW w:w="2000" w:type="dxa"/>
            <w:vAlign w:val="bottom"/>
            <w:tcBorders>
              <w:right w:val="single" w:sz="8" w:color="C3E6FF"/>
            </w:tcBorders>
            <w:shd w:val="clear" w:color="auto" w:fill="F3F9FF"/>
          </w:tcPr>
          <w:p>
            <w:pPr>
              <w:spacing w:after="0"/>
              <w:rPr>
                <w:sz w:val="8"/>
                <w:szCs w:val="8"/>
                <w:color w:val="auto"/>
              </w:rPr>
            </w:pPr>
          </w:p>
        </w:tc>
      </w:tr>
      <w:tr>
        <w:trPr>
          <w:trHeight w:val="412"/>
        </w:trPr>
        <w:tc>
          <w:tcPr>
            <w:tcW w:w="2520" w:type="dxa"/>
            <w:vAlign w:val="bottom"/>
            <w:tcBorders>
              <w:left w:val="single" w:sz="8" w:color="C3E6FF"/>
              <w:bottom w:val="single" w:sz="8" w:color="C3E6FF"/>
            </w:tcBorders>
          </w:tcPr>
          <w:p>
            <w:pPr>
              <w:ind w:left="80"/>
              <w:spacing w:after="0"/>
              <w:rPr>
                <w:sz w:val="20"/>
                <w:szCs w:val="20"/>
                <w:color w:val="auto"/>
              </w:rPr>
            </w:pPr>
            <w:r>
              <w:rPr>
                <w:rFonts w:ascii="Arial" w:cs="Arial" w:eastAsia="Arial" w:hAnsi="Arial"/>
                <w:sz w:val="14"/>
                <w:szCs w:val="14"/>
                <w:color w:val="auto"/>
              </w:rPr>
              <w:t>Performance restricted stock units</w:t>
            </w:r>
          </w:p>
        </w:tc>
        <w:tc>
          <w:tcPr>
            <w:tcW w:w="1620" w:type="dxa"/>
            <w:vAlign w:val="bottom"/>
            <w:tcBorders>
              <w:bottom w:val="single" w:sz="8" w:color="C3E6FF"/>
            </w:tcBorders>
          </w:tcPr>
          <w:p>
            <w:pPr>
              <w:jc w:val="right"/>
              <w:ind w:right="68"/>
              <w:spacing w:after="0"/>
              <w:rPr>
                <w:sz w:val="20"/>
                <w:szCs w:val="20"/>
                <w:color w:val="auto"/>
              </w:rPr>
            </w:pPr>
            <w:r>
              <w:rPr>
                <w:rFonts w:ascii="Arial" w:cs="Arial" w:eastAsia="Arial" w:hAnsi="Arial"/>
                <w:sz w:val="14"/>
                <w:szCs w:val="14"/>
                <w:color w:val="auto"/>
              </w:rPr>
              <w:t>2,058,797</w:t>
            </w:r>
          </w:p>
        </w:tc>
        <w:tc>
          <w:tcPr>
            <w:tcW w:w="1360" w:type="dxa"/>
            <w:vAlign w:val="bottom"/>
            <w:tcBorders>
              <w:bottom w:val="single" w:sz="8" w:color="C3E6FF"/>
            </w:tcBorders>
          </w:tcPr>
          <w:p>
            <w:pPr>
              <w:jc w:val="right"/>
              <w:ind w:right="68"/>
              <w:spacing w:after="0"/>
              <w:rPr>
                <w:sz w:val="20"/>
                <w:szCs w:val="20"/>
                <w:color w:val="auto"/>
              </w:rPr>
            </w:pPr>
            <w:r>
              <w:rPr>
                <w:rFonts w:ascii="Arial" w:cs="Arial" w:eastAsia="Arial" w:hAnsi="Arial"/>
                <w:sz w:val="14"/>
                <w:szCs w:val="14"/>
                <w:color w:val="auto"/>
              </w:rPr>
              <w:t>3,571,216</w:t>
            </w:r>
          </w:p>
        </w:tc>
        <w:tc>
          <w:tcPr>
            <w:tcW w:w="1120" w:type="dxa"/>
            <w:vAlign w:val="bottom"/>
            <w:tcBorders>
              <w:bottom w:val="single" w:sz="8" w:color="C3E6FF"/>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3E6FF"/>
            </w:tcBorders>
          </w:tcPr>
          <w:p>
            <w:pPr>
              <w:jc w:val="right"/>
              <w:ind w:right="48"/>
              <w:spacing w:after="0"/>
              <w:rPr>
                <w:sz w:val="20"/>
                <w:szCs w:val="20"/>
                <w:color w:val="auto"/>
              </w:rPr>
            </w:pPr>
            <w:r>
              <w:rPr>
                <w:rFonts w:ascii="Arial" w:cs="Arial" w:eastAsia="Arial" w:hAnsi="Arial"/>
                <w:sz w:val="14"/>
                <w:szCs w:val="14"/>
                <w:color w:val="auto"/>
              </w:rPr>
              <w:t>4,092,236</w:t>
            </w:r>
            <w:r>
              <w:rPr>
                <w:rFonts w:ascii="Arial" w:cs="Arial" w:eastAsia="Arial" w:hAnsi="Arial"/>
                <w:sz w:val="23"/>
                <w:szCs w:val="23"/>
                <w:color w:val="auto"/>
                <w:vertAlign w:val="superscript"/>
              </w:rPr>
              <w:t>(1)</w:t>
            </w:r>
          </w:p>
        </w:tc>
        <w:tc>
          <w:tcPr>
            <w:tcW w:w="1180" w:type="dxa"/>
            <w:vAlign w:val="bottom"/>
            <w:tcBorders>
              <w:bottom w:val="single" w:sz="8" w:color="C3E6FF"/>
            </w:tcBorders>
          </w:tcPr>
          <w:p>
            <w:pPr>
              <w:jc w:val="right"/>
              <w:ind w:right="108"/>
              <w:spacing w:after="0"/>
              <w:rPr>
                <w:sz w:val="20"/>
                <w:szCs w:val="20"/>
                <w:color w:val="auto"/>
              </w:rPr>
            </w:pPr>
            <w:r>
              <w:rPr>
                <w:rFonts w:ascii="Arial" w:cs="Arial" w:eastAsia="Arial" w:hAnsi="Arial"/>
                <w:sz w:val="14"/>
                <w:szCs w:val="14"/>
                <w:color w:val="auto"/>
              </w:rPr>
              <w:t>2,901,921</w:t>
            </w:r>
          </w:p>
        </w:tc>
        <w:tc>
          <w:tcPr>
            <w:tcW w:w="2000" w:type="dxa"/>
            <w:vAlign w:val="bottom"/>
            <w:tcBorders>
              <w:bottom w:val="single" w:sz="8" w:color="C3E6FF"/>
              <w:right w:val="single" w:sz="8" w:color="C3E6FF"/>
            </w:tcBorders>
          </w:tcPr>
          <w:p>
            <w:pPr>
              <w:jc w:val="right"/>
              <w:ind w:right="8"/>
              <w:spacing w:after="0"/>
              <w:rPr>
                <w:sz w:val="20"/>
                <w:szCs w:val="20"/>
                <w:color w:val="auto"/>
              </w:rPr>
            </w:pPr>
            <w:r>
              <w:rPr>
                <w:rFonts w:ascii="Arial" w:cs="Arial" w:eastAsia="Arial" w:hAnsi="Arial"/>
                <w:sz w:val="14"/>
                <w:szCs w:val="14"/>
                <w:color w:val="auto"/>
              </w:rPr>
              <w:t>3,571,216</w:t>
            </w:r>
          </w:p>
        </w:tc>
      </w:tr>
    </w:tbl>
    <w:p>
      <w:pPr>
        <w:spacing w:after="0" w:line="5" w:lineRule="exact"/>
        <w:rPr>
          <w:sz w:val="20"/>
          <w:szCs w:val="20"/>
          <w:color w:val="auto"/>
        </w:rPr>
      </w:pPr>
    </w:p>
    <w:p>
      <w:pPr>
        <w:ind w:right="100" w:firstLine="8"/>
        <w:spacing w:after="0" w:line="249" w:lineRule="auto"/>
        <w:tabs>
          <w:tab w:leader="none" w:pos="208" w:val="left"/>
        </w:tabs>
        <w:numPr>
          <w:ilvl w:val="0"/>
          <w:numId w:val="104"/>
        </w:numPr>
        <w:rPr>
          <w:rFonts w:ascii="Arial" w:cs="Arial" w:eastAsia="Arial" w:hAnsi="Arial"/>
          <w:sz w:val="14"/>
          <w:szCs w:val="14"/>
          <w:color w:val="262626"/>
        </w:rPr>
      </w:pPr>
      <w:r>
        <w:rPr>
          <w:rFonts w:ascii="Arial" w:cs="Arial" w:eastAsia="Arial" w:hAnsi="Arial"/>
          <w:sz w:val="14"/>
          <w:szCs w:val="14"/>
          <w:color w:val="262626"/>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Pavan Bagai</w:t>
      </w:r>
    </w:p>
    <w:p>
      <w:pPr>
        <w:spacing w:after="0" w:line="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262626"/>
        </w:rPr>
        <w:t>Either Mr. Bagai or we may terminate Mr. Bagai’s employment at any time with three months’ notice (or pay three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89"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262626"/>
        </w:rPr>
        <w:t>On a “change in control” (as defined in the 2006 Plan, 2015 Plan, or 2018 Plan, as applicable) or death, Mr. Bagai’s outstanding equity awards will vest as described below:</w:t>
      </w:r>
    </w:p>
    <w:p>
      <w:pPr>
        <w:spacing w:after="0" w:line="161" w:lineRule="exact"/>
        <w:rPr>
          <w:sz w:val="20"/>
          <w:szCs w:val="20"/>
          <w:color w:val="auto"/>
        </w:rPr>
      </w:pPr>
    </w:p>
    <w:p>
      <w:pPr>
        <w:ind w:left="660" w:right="80" w:hanging="328"/>
        <w:spacing w:after="0" w:line="244" w:lineRule="auto"/>
        <w:tabs>
          <w:tab w:leader="none" w:pos="660" w:val="left"/>
        </w:tabs>
        <w:numPr>
          <w:ilvl w:val="0"/>
          <w:numId w:val="105"/>
        </w:numPr>
        <w:rPr>
          <w:rFonts w:ascii="Arial" w:cs="Arial" w:eastAsia="Arial" w:hAnsi="Arial"/>
          <w:sz w:val="18"/>
          <w:szCs w:val="18"/>
          <w:color w:val="FF6503"/>
        </w:rPr>
      </w:pPr>
      <w:r>
        <w:rPr>
          <w:rFonts w:ascii="Arial" w:cs="Arial" w:eastAsia="Arial" w:hAnsi="Arial"/>
          <w:sz w:val="18"/>
          <w:szCs w:val="18"/>
          <w:b w:val="1"/>
          <w:bCs w:val="1"/>
          <w:color w:val="262626"/>
        </w:rPr>
        <w:t xml:space="preserve">Time-Vested RSUs: </w:t>
      </w:r>
      <w:r>
        <w:rPr>
          <w:rFonts w:ascii="Arial" w:cs="Arial" w:eastAsia="Arial" w:hAnsi="Arial"/>
          <w:sz w:val="18"/>
          <w:szCs w:val="18"/>
          <w:color w:val="262626"/>
        </w:rPr>
        <w:t>If a change in control occurs prior to the end of the four-year vesting period, Mr. Bagai’s Time-Vested RSUs will</w:t>
      </w:r>
      <w:r>
        <w:rPr>
          <w:rFonts w:ascii="Arial" w:cs="Arial" w:eastAsia="Arial" w:hAnsi="Arial"/>
          <w:sz w:val="18"/>
          <w:szCs w:val="18"/>
          <w:b w:val="1"/>
          <w:bCs w:val="1"/>
          <w:color w:val="262626"/>
        </w:rPr>
        <w:t xml:space="preserve"> </w:t>
      </w:r>
      <w:r>
        <w:rPr>
          <w:rFonts w:ascii="Arial" w:cs="Arial" w:eastAsia="Arial" w:hAnsi="Arial"/>
          <w:sz w:val="18"/>
          <w:szCs w:val="18"/>
          <w:color w:val="262626"/>
        </w:rPr>
        <w:t>be advanced by one year. In addition, all of Mr. Bagai’s outstanding Time-Vested RSUs will become fully vested if, following or in specific contemplation of a change in control, he is terminated without cause or, following a change in control, he terminates his employment for good reason. If Mr. Bagai dies before the end of the four-year vesting period, all of Mr. Bagai’s outstanding Time-Vested RSUs will become fully vested.</w:t>
      </w:r>
    </w:p>
    <w:p>
      <w:pPr>
        <w:spacing w:after="0" w:line="162" w:lineRule="exact"/>
        <w:rPr>
          <w:rFonts w:ascii="Arial" w:cs="Arial" w:eastAsia="Arial" w:hAnsi="Arial"/>
          <w:sz w:val="18"/>
          <w:szCs w:val="18"/>
          <w:color w:val="FF6503"/>
        </w:rPr>
      </w:pPr>
    </w:p>
    <w:p>
      <w:pPr>
        <w:ind w:left="660" w:right="80" w:hanging="328"/>
        <w:spacing w:after="0" w:line="242" w:lineRule="auto"/>
        <w:tabs>
          <w:tab w:leader="none" w:pos="660" w:val="left"/>
        </w:tabs>
        <w:numPr>
          <w:ilvl w:val="0"/>
          <w:numId w:val="105"/>
        </w:numPr>
        <w:rPr>
          <w:rFonts w:ascii="Arial" w:cs="Arial" w:eastAsia="Arial" w:hAnsi="Arial"/>
          <w:sz w:val="18"/>
          <w:szCs w:val="18"/>
          <w:color w:val="FF6503"/>
        </w:rPr>
      </w:pPr>
      <w:r>
        <w:rPr>
          <w:rFonts w:ascii="Arial" w:cs="Arial" w:eastAsia="Arial" w:hAnsi="Arial"/>
          <w:sz w:val="18"/>
          <w:szCs w:val="18"/>
          <w:b w:val="1"/>
          <w:bCs w:val="1"/>
          <w:color w:val="262626"/>
        </w:rPr>
        <w:t xml:space="preserve">Revenue-Linked PRSUs: </w:t>
      </w:r>
      <w:r>
        <w:rPr>
          <w:rFonts w:ascii="Arial" w:cs="Arial" w:eastAsia="Arial" w:hAnsi="Arial"/>
          <w:sz w:val="18"/>
          <w:szCs w:val="18"/>
          <w:color w:val="262626"/>
        </w:rPr>
        <w:t>If a change in control occurs prior to the end of the performance period, 100% of Mr. Bagai’s Revenue-Linked PRSUs will be deemed earned, will be subject to a new three year installment vesting schedule and will be advanced by one year under such schedule. In addition, all of Mr. Bagai’s outstanding Revenue-Linked PRSUs will become fully vested if, following or in specific contemplation of a change in control, he is terminated without cause or, following a change in control, he (i) terminates his employment for good reason or, (ii) dies. If Mr. Bagai dies prior to the end of the performance period and no change in control has occurred, Mr. Bagai will become vested in a portion of the outstanding Revenue-Linked PRSUs equal to (x) the</w:t>
      </w:r>
    </w:p>
    <w:p>
      <w:pPr>
        <w:spacing w:after="0" w:line="32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ind w:left="660" w:right="800"/>
        <w:spacing w:after="0" w:line="246" w:lineRule="auto"/>
        <w:rPr>
          <w:sz w:val="20"/>
          <w:szCs w:val="20"/>
          <w:color w:val="auto"/>
        </w:rPr>
      </w:pPr>
      <w:r>
        <w:rPr>
          <w:rFonts w:ascii="Arial" w:cs="Arial" w:eastAsia="Arial" w:hAnsi="Arial"/>
          <w:sz w:val="18"/>
          <w:szCs w:val="18"/>
          <w:color w:val="262626"/>
        </w:rPr>
        <w:t>number of completed full months during the 3 year performance period up to the date of Mr. Bagai’s death divided by (y) 36 multiplied by (z) 100% of Mr. Bagai’s Revenue-Linked PRSUs.</w:t>
      </w:r>
    </w:p>
    <w:p>
      <w:pPr>
        <w:spacing w:after="0" w:line="161" w:lineRule="exact"/>
        <w:rPr>
          <w:sz w:val="20"/>
          <w:szCs w:val="20"/>
          <w:color w:val="auto"/>
        </w:rPr>
      </w:pPr>
    </w:p>
    <w:p>
      <w:pPr>
        <w:ind w:left="660" w:right="80" w:hanging="328"/>
        <w:spacing w:after="0" w:line="238" w:lineRule="auto"/>
        <w:tabs>
          <w:tab w:leader="none" w:pos="660" w:val="left"/>
        </w:tabs>
        <w:numPr>
          <w:ilvl w:val="0"/>
          <w:numId w:val="106"/>
        </w:numPr>
        <w:rPr>
          <w:rFonts w:ascii="Arial" w:cs="Arial" w:eastAsia="Arial" w:hAnsi="Arial"/>
          <w:sz w:val="18"/>
          <w:szCs w:val="18"/>
          <w:color w:val="FF6503"/>
        </w:rPr>
      </w:pPr>
      <w:r>
        <w:rPr>
          <w:rFonts w:ascii="Arial" w:cs="Arial" w:eastAsia="Arial" w:hAnsi="Arial"/>
          <w:sz w:val="18"/>
          <w:szCs w:val="18"/>
          <w:b w:val="1"/>
          <w:bCs w:val="1"/>
          <w:color w:val="262626"/>
        </w:rPr>
        <w:t xml:space="preserve">Relative TSR-Linked PRSUs: </w:t>
      </w:r>
      <w:r>
        <w:rPr>
          <w:rFonts w:ascii="Arial" w:cs="Arial" w:eastAsia="Arial" w:hAnsi="Arial"/>
          <w:sz w:val="18"/>
          <w:szCs w:val="18"/>
          <w:color w:val="262626"/>
        </w:rPr>
        <w:t>If a change in control occurs on or prior to the first anniversary of the grant date, 100% of Mr. Bagai’s</w:t>
      </w:r>
      <w:r>
        <w:rPr>
          <w:rFonts w:ascii="Arial" w:cs="Arial" w:eastAsia="Arial" w:hAnsi="Arial"/>
          <w:sz w:val="18"/>
          <w:szCs w:val="18"/>
          <w:b w:val="1"/>
          <w:bCs w:val="1"/>
          <w:color w:val="262626"/>
        </w:rPr>
        <w:t xml:space="preserve"> </w:t>
      </w:r>
      <w:r>
        <w:rPr>
          <w:rFonts w:ascii="Arial" w:cs="Arial" w:eastAsia="Arial" w:hAnsi="Arial"/>
          <w:sz w:val="18"/>
          <w:szCs w:val="18"/>
          <w:color w:val="262626"/>
        </w:rPr>
        <w:t>Relative TSR-Linked PRSUs will be deemed earned. If a change in control occurs after the first anniversary of the grant date, the performance period will be deemed to end on the date of the change in control and the Compensation Committee will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Bagai’s outstanding, earned TSR-Linked PRSUs will become fully vested if, following or in specific contemplation of a change in control, he is terminated without cause or, following a change in control, he (i) voluntarily terminates his employment for good reason or, (ii) dies. If Mr. Bagai dies prior to the end of the performance period and no change in control has occurred, Mr. Bagai will become vested in a portion of the outstanding Relative TSR-Linked PRSUs equal to (x) the number of completed full months during the 3 year performance period up to the date of Mr. Bagai’s death divided by (y) 36 multiplied by (z) 100% of Mr. Bagai’s Relative TSR-Linked PRSUs.</w:t>
      </w:r>
    </w:p>
    <w:p>
      <w:pPr>
        <w:spacing w:after="0" w:line="194"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262626"/>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Indicative Payouts for Pavan Bagai</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700" w:type="dxa"/>
            <w:vAlign w:val="bottom"/>
            <w:tcBorders>
              <w:top w:val="single" w:sz="8" w:color="C3E6FF"/>
              <w:left w:val="single" w:sz="8" w:color="C3E6FF"/>
            </w:tcBorders>
            <w:shd w:val="clear" w:color="auto" w:fill="0093FF"/>
          </w:tcPr>
          <w:p>
            <w:pPr>
              <w:spacing w:after="0"/>
              <w:rPr>
                <w:sz w:val="24"/>
                <w:szCs w:val="24"/>
                <w:color w:val="auto"/>
              </w:rPr>
            </w:pPr>
          </w:p>
        </w:tc>
        <w:tc>
          <w:tcPr>
            <w:tcW w:w="1440" w:type="dxa"/>
            <w:vAlign w:val="bottom"/>
            <w:tcBorders>
              <w:top w:val="single" w:sz="8" w:color="C3E6FF"/>
            </w:tcBorders>
            <w:shd w:val="clear" w:color="auto" w:fill="0093FF"/>
          </w:tcPr>
          <w:p>
            <w:pPr>
              <w:spacing w:after="0"/>
              <w:rPr>
                <w:sz w:val="24"/>
                <w:szCs w:val="24"/>
                <w:color w:val="auto"/>
              </w:rPr>
            </w:pPr>
          </w:p>
        </w:tc>
        <w:tc>
          <w:tcPr>
            <w:tcW w:w="1360" w:type="dxa"/>
            <w:vAlign w:val="bottom"/>
            <w:tcBorders>
              <w:top w:val="single" w:sz="8" w:color="C3E6FF"/>
            </w:tcBorders>
            <w:shd w:val="clear" w:color="auto" w:fill="0093FF"/>
          </w:tcPr>
          <w:p>
            <w:pPr>
              <w:spacing w:after="0"/>
              <w:rPr>
                <w:sz w:val="24"/>
                <w:szCs w:val="24"/>
                <w:color w:val="auto"/>
              </w:rPr>
            </w:pPr>
          </w:p>
        </w:tc>
        <w:tc>
          <w:tcPr>
            <w:tcW w:w="1120" w:type="dxa"/>
            <w:vAlign w:val="bottom"/>
            <w:tcBorders>
              <w:top w:val="single" w:sz="8" w:color="C3E6FF"/>
            </w:tcBorders>
            <w:shd w:val="clear" w:color="auto" w:fill="0093FF"/>
          </w:tcPr>
          <w:p>
            <w:pPr>
              <w:spacing w:after="0"/>
              <w:rPr>
                <w:sz w:val="24"/>
                <w:szCs w:val="24"/>
                <w:color w:val="auto"/>
              </w:rPr>
            </w:pPr>
          </w:p>
        </w:tc>
        <w:tc>
          <w:tcPr>
            <w:tcW w:w="1500" w:type="dxa"/>
            <w:vAlign w:val="bottom"/>
            <w:tcBorders>
              <w:top w:val="single" w:sz="8" w:color="C3E6FF"/>
            </w:tcBorders>
            <w:shd w:val="clear" w:color="auto" w:fill="0093FF"/>
          </w:tcPr>
          <w:p>
            <w:pPr>
              <w:spacing w:after="0"/>
              <w:rPr>
                <w:sz w:val="24"/>
                <w:szCs w:val="24"/>
                <w:color w:val="auto"/>
              </w:rPr>
            </w:pPr>
          </w:p>
        </w:tc>
        <w:tc>
          <w:tcPr>
            <w:tcW w:w="1380" w:type="dxa"/>
            <w:vAlign w:val="bottom"/>
            <w:tcBorders>
              <w:top w:val="single" w:sz="8" w:color="C3E6FF"/>
            </w:tcBorders>
            <w:shd w:val="clear" w:color="auto" w:fill="0093FF"/>
          </w:tcPr>
          <w:p>
            <w:pPr>
              <w:spacing w:after="0"/>
              <w:rPr>
                <w:sz w:val="24"/>
                <w:szCs w:val="24"/>
                <w:color w:val="auto"/>
              </w:rPr>
            </w:pPr>
          </w:p>
        </w:tc>
        <w:tc>
          <w:tcPr>
            <w:tcW w:w="2740" w:type="dxa"/>
            <w:vAlign w:val="bottom"/>
            <w:tcBorders>
              <w:top w:val="single" w:sz="8" w:color="C3E6FF"/>
              <w:right w:val="single" w:sz="8" w:color="C3E6FF"/>
            </w:tcBorders>
            <w:shd w:val="clear" w:color="auto" w:fill="0093FF"/>
          </w:tcPr>
          <w:p>
            <w:pPr>
              <w:jc w:val="center"/>
              <w:ind w:right="148"/>
              <w:spacing w:after="0"/>
              <w:rPr>
                <w:sz w:val="20"/>
                <w:szCs w:val="20"/>
                <w:color w:val="auto"/>
              </w:rPr>
            </w:pPr>
            <w:r>
              <w:rPr>
                <w:rFonts w:ascii="Arial" w:cs="Arial" w:eastAsia="Arial" w:hAnsi="Arial"/>
                <w:sz w:val="14"/>
                <w:szCs w:val="14"/>
                <w:b w:val="1"/>
                <w:bCs w:val="1"/>
                <w:color w:val="FFFFFF"/>
              </w:rPr>
              <w:t>Termination Without Cause or</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44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500" w:type="dxa"/>
            <w:vAlign w:val="bottom"/>
            <w:shd w:val="clear" w:color="auto" w:fill="0093FF"/>
          </w:tcPr>
          <w:p>
            <w:pPr>
              <w:spacing w:after="0"/>
              <w:rPr>
                <w:sz w:val="14"/>
                <w:szCs w:val="14"/>
                <w:color w:val="auto"/>
              </w:rPr>
            </w:pPr>
          </w:p>
        </w:tc>
        <w:tc>
          <w:tcPr>
            <w:tcW w:w="1380" w:type="dxa"/>
            <w:vAlign w:val="bottom"/>
            <w:shd w:val="clear" w:color="auto" w:fill="0093FF"/>
          </w:tcPr>
          <w:p>
            <w:pPr>
              <w:spacing w:after="0"/>
              <w:rPr>
                <w:sz w:val="14"/>
                <w:szCs w:val="14"/>
                <w:color w:val="auto"/>
              </w:rPr>
            </w:pPr>
          </w:p>
        </w:tc>
        <w:tc>
          <w:tcPr>
            <w:tcW w:w="2740" w:type="dxa"/>
            <w:vAlign w:val="bottom"/>
            <w:tcBorders>
              <w:right w:val="single" w:sz="8" w:color="C3E6FF"/>
            </w:tcBorders>
            <w:shd w:val="clear" w:color="auto" w:fill="0093FF"/>
          </w:tcPr>
          <w:p>
            <w:pPr>
              <w:jc w:val="center"/>
              <w:ind w:right="148"/>
              <w:spacing w:after="0"/>
              <w:rPr>
                <w:sz w:val="20"/>
                <w:szCs w:val="20"/>
                <w:color w:val="auto"/>
              </w:rPr>
            </w:pPr>
            <w:r>
              <w:rPr>
                <w:rFonts w:ascii="Arial" w:cs="Arial" w:eastAsia="Arial" w:hAnsi="Arial"/>
                <w:sz w:val="14"/>
                <w:szCs w:val="14"/>
                <w:b w:val="1"/>
                <w:bCs w:val="1"/>
                <w:color w:val="FFFFFF"/>
              </w:rPr>
              <w:t>for Good Reason Following</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440" w:type="dxa"/>
            <w:vAlign w:val="bottom"/>
            <w:shd w:val="clear" w:color="auto" w:fill="0093FF"/>
          </w:tcPr>
          <w:p>
            <w:pPr>
              <w:spacing w:after="0"/>
              <w:rPr>
                <w:sz w:val="14"/>
                <w:szCs w:val="14"/>
                <w:color w:val="auto"/>
              </w:rPr>
            </w:pPr>
          </w:p>
        </w:tc>
        <w:tc>
          <w:tcPr>
            <w:tcW w:w="1360" w:type="dxa"/>
            <w:vAlign w:val="bottom"/>
            <w:shd w:val="clear" w:color="auto" w:fill="0093FF"/>
          </w:tcPr>
          <w:p>
            <w:pPr>
              <w:spacing w:after="0"/>
              <w:rPr>
                <w:sz w:val="14"/>
                <w:szCs w:val="14"/>
                <w:color w:val="auto"/>
              </w:rPr>
            </w:pPr>
          </w:p>
        </w:tc>
        <w:tc>
          <w:tcPr>
            <w:tcW w:w="1120" w:type="dxa"/>
            <w:vAlign w:val="bottom"/>
            <w:shd w:val="clear" w:color="auto" w:fill="0093FF"/>
          </w:tcPr>
          <w:p>
            <w:pPr>
              <w:spacing w:after="0"/>
              <w:rPr>
                <w:sz w:val="14"/>
                <w:szCs w:val="14"/>
                <w:color w:val="auto"/>
              </w:rPr>
            </w:pPr>
          </w:p>
        </w:tc>
        <w:tc>
          <w:tcPr>
            <w:tcW w:w="1500" w:type="dxa"/>
            <w:vAlign w:val="bottom"/>
            <w:shd w:val="clear" w:color="auto" w:fill="0093FF"/>
          </w:tcPr>
          <w:p>
            <w:pPr>
              <w:jc w:val="center"/>
              <w:ind w:right="148"/>
              <w:spacing w:after="0"/>
              <w:rPr>
                <w:sz w:val="20"/>
                <w:szCs w:val="20"/>
                <w:color w:val="auto"/>
              </w:rPr>
            </w:pPr>
            <w:r>
              <w:rPr>
                <w:rFonts w:ascii="Arial" w:cs="Arial" w:eastAsia="Arial" w:hAnsi="Arial"/>
                <w:sz w:val="14"/>
                <w:szCs w:val="14"/>
                <w:b w:val="1"/>
                <w:bCs w:val="1"/>
                <w:color w:val="FFFFFF"/>
              </w:rPr>
              <w:t>Termination for</w:t>
            </w:r>
          </w:p>
        </w:tc>
        <w:tc>
          <w:tcPr>
            <w:tcW w:w="1380" w:type="dxa"/>
            <w:vAlign w:val="bottom"/>
            <w:shd w:val="clear" w:color="auto" w:fill="0093FF"/>
          </w:tcPr>
          <w:p>
            <w:pPr>
              <w:spacing w:after="0"/>
              <w:rPr>
                <w:sz w:val="14"/>
                <w:szCs w:val="14"/>
                <w:color w:val="auto"/>
              </w:rPr>
            </w:pPr>
          </w:p>
        </w:tc>
        <w:tc>
          <w:tcPr>
            <w:tcW w:w="2740" w:type="dxa"/>
            <w:vAlign w:val="bottom"/>
            <w:tcBorders>
              <w:right w:val="single" w:sz="8" w:color="C3E6FF"/>
            </w:tcBorders>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Change in Control or</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440" w:type="dxa"/>
            <w:vAlign w:val="bottom"/>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Death Prior to a</w:t>
            </w:r>
          </w:p>
        </w:tc>
        <w:tc>
          <w:tcPr>
            <w:tcW w:w="13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Death After a</w:t>
            </w:r>
          </w:p>
        </w:tc>
        <w:tc>
          <w:tcPr>
            <w:tcW w:w="1120" w:type="dxa"/>
            <w:vAlign w:val="bottom"/>
            <w:shd w:val="clear" w:color="auto" w:fill="0093FF"/>
          </w:tcPr>
          <w:p>
            <w:pPr>
              <w:spacing w:after="0"/>
              <w:rPr>
                <w:sz w:val="14"/>
                <w:szCs w:val="14"/>
                <w:color w:val="auto"/>
              </w:rPr>
            </w:pPr>
          </w:p>
        </w:tc>
        <w:tc>
          <w:tcPr>
            <w:tcW w:w="1500" w:type="dxa"/>
            <w:vAlign w:val="bottom"/>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Good Reason</w:t>
            </w:r>
          </w:p>
        </w:tc>
        <w:tc>
          <w:tcPr>
            <w:tcW w:w="1380" w:type="dxa"/>
            <w:vAlign w:val="bottom"/>
            <w:shd w:val="clear" w:color="auto" w:fill="0093FF"/>
          </w:tcPr>
          <w:p>
            <w:pPr>
              <w:spacing w:after="0"/>
              <w:rPr>
                <w:sz w:val="14"/>
                <w:szCs w:val="14"/>
                <w:color w:val="auto"/>
              </w:rPr>
            </w:pPr>
          </w:p>
        </w:tc>
        <w:tc>
          <w:tcPr>
            <w:tcW w:w="2740" w:type="dxa"/>
            <w:vAlign w:val="bottom"/>
            <w:tcBorders>
              <w:right w:val="single" w:sz="8" w:color="C3E6FF"/>
            </w:tcBorders>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Termination Without Cause in</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440" w:type="dxa"/>
            <w:vAlign w:val="bottom"/>
            <w:shd w:val="clear" w:color="auto" w:fill="0093FF"/>
          </w:tcPr>
          <w:p>
            <w:pPr>
              <w:jc w:val="center"/>
              <w:spacing w:after="0"/>
              <w:rPr>
                <w:sz w:val="20"/>
                <w:szCs w:val="20"/>
                <w:color w:val="auto"/>
              </w:rPr>
            </w:pPr>
            <w:r>
              <w:rPr>
                <w:rFonts w:ascii="Arial" w:cs="Arial" w:eastAsia="Arial" w:hAnsi="Arial"/>
                <w:sz w:val="14"/>
                <w:szCs w:val="14"/>
                <w:b w:val="1"/>
                <w:bCs w:val="1"/>
                <w:color w:val="FFFFFF"/>
              </w:rPr>
              <w:t>Change in</w:t>
            </w:r>
          </w:p>
        </w:tc>
        <w:tc>
          <w:tcPr>
            <w:tcW w:w="13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Change in</w:t>
            </w:r>
          </w:p>
        </w:tc>
        <w:tc>
          <w:tcPr>
            <w:tcW w:w="1120" w:type="dxa"/>
            <w:vAlign w:val="bottom"/>
            <w:vMerge w:val="restart"/>
            <w:shd w:val="clear" w:color="auto" w:fill="0093FF"/>
          </w:tcPr>
          <w:p>
            <w:pPr>
              <w:jc w:val="right"/>
              <w:ind w:right="248"/>
              <w:spacing w:after="0"/>
              <w:rPr>
                <w:sz w:val="20"/>
                <w:szCs w:val="20"/>
                <w:color w:val="auto"/>
              </w:rPr>
            </w:pPr>
            <w:r>
              <w:rPr>
                <w:rFonts w:ascii="Arial" w:cs="Arial" w:eastAsia="Arial" w:hAnsi="Arial"/>
                <w:sz w:val="14"/>
                <w:szCs w:val="14"/>
                <w:b w:val="1"/>
                <w:bCs w:val="1"/>
                <w:color w:val="FFFFFF"/>
              </w:rPr>
              <w:t>Disability</w:t>
            </w:r>
          </w:p>
        </w:tc>
        <w:tc>
          <w:tcPr>
            <w:tcW w:w="1500" w:type="dxa"/>
            <w:vAlign w:val="bottom"/>
            <w:shd w:val="clear" w:color="auto" w:fill="0093FF"/>
          </w:tcPr>
          <w:p>
            <w:pPr>
              <w:jc w:val="center"/>
              <w:ind w:right="148"/>
              <w:spacing w:after="0"/>
              <w:rPr>
                <w:sz w:val="20"/>
                <w:szCs w:val="20"/>
                <w:color w:val="auto"/>
              </w:rPr>
            </w:pPr>
            <w:r>
              <w:rPr>
                <w:rFonts w:ascii="Arial" w:cs="Arial" w:eastAsia="Arial" w:hAnsi="Arial"/>
                <w:sz w:val="14"/>
                <w:szCs w:val="14"/>
                <w:b w:val="1"/>
                <w:bCs w:val="1"/>
                <w:color w:val="FFFFFF"/>
              </w:rPr>
              <w:t>or Without</w:t>
            </w:r>
          </w:p>
        </w:tc>
        <w:tc>
          <w:tcPr>
            <w:tcW w:w="1380" w:type="dxa"/>
            <w:vAlign w:val="bottom"/>
            <w:shd w:val="clear" w:color="auto" w:fill="0093FF"/>
          </w:tcPr>
          <w:p>
            <w:pPr>
              <w:jc w:val="center"/>
              <w:ind w:right="248"/>
              <w:spacing w:after="0"/>
              <w:rPr>
                <w:sz w:val="20"/>
                <w:szCs w:val="20"/>
                <w:color w:val="auto"/>
              </w:rPr>
            </w:pPr>
            <w:r>
              <w:rPr>
                <w:rFonts w:ascii="Arial" w:cs="Arial" w:eastAsia="Arial" w:hAnsi="Arial"/>
                <w:sz w:val="14"/>
                <w:szCs w:val="14"/>
                <w:b w:val="1"/>
                <w:bCs w:val="1"/>
                <w:color w:val="FFFFFF"/>
              </w:rPr>
              <w:t>Change in</w:t>
            </w:r>
          </w:p>
        </w:tc>
        <w:tc>
          <w:tcPr>
            <w:tcW w:w="2740" w:type="dxa"/>
            <w:vAlign w:val="bottom"/>
            <w:tcBorders>
              <w:right w:val="single" w:sz="8" w:color="C3E6FF"/>
            </w:tcBorders>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Specific Contemplation of</w:t>
            </w:r>
          </w:p>
        </w:tc>
        <w:tc>
          <w:tcPr>
            <w:tcW w:w="0" w:type="dxa"/>
            <w:vAlign w:val="bottom"/>
          </w:tcPr>
          <w:p>
            <w:pPr>
              <w:spacing w:after="0"/>
              <w:rPr>
                <w:sz w:val="1"/>
                <w:szCs w:val="1"/>
                <w:color w:val="auto"/>
              </w:rPr>
            </w:pPr>
          </w:p>
        </w:tc>
      </w:tr>
      <w:tr>
        <w:trPr>
          <w:trHeight w:val="108"/>
        </w:trPr>
        <w:tc>
          <w:tcPr>
            <w:tcW w:w="1700" w:type="dxa"/>
            <w:vAlign w:val="bottom"/>
            <w:tcBorders>
              <w:left w:val="single" w:sz="8" w:color="C3E6FF"/>
            </w:tcBorders>
            <w:vMerge w:val="restart"/>
            <w:shd w:val="clear" w:color="auto" w:fill="0093FF"/>
          </w:tcPr>
          <w:p>
            <w:pPr>
              <w:ind w:left="340"/>
              <w:spacing w:after="0"/>
              <w:rPr>
                <w:sz w:val="20"/>
                <w:szCs w:val="20"/>
                <w:color w:val="auto"/>
              </w:rPr>
            </w:pPr>
            <w:r>
              <w:rPr>
                <w:rFonts w:ascii="Arial" w:cs="Arial" w:eastAsia="Arial" w:hAnsi="Arial"/>
                <w:sz w:val="14"/>
                <w:szCs w:val="14"/>
                <w:b w:val="1"/>
                <w:bCs w:val="1"/>
                <w:color w:val="FFFFFF"/>
              </w:rPr>
              <w:t>Payments upon</w:t>
            </w:r>
          </w:p>
        </w:tc>
        <w:tc>
          <w:tcPr>
            <w:tcW w:w="1440" w:type="dxa"/>
            <w:vAlign w:val="bottom"/>
            <w:vMerge w:val="restart"/>
            <w:shd w:val="clear" w:color="auto" w:fill="0093FF"/>
          </w:tcPr>
          <w:p>
            <w:pPr>
              <w:jc w:val="center"/>
              <w:ind w:right="8"/>
              <w:spacing w:after="0"/>
              <w:rPr>
                <w:sz w:val="20"/>
                <w:szCs w:val="20"/>
                <w:color w:val="auto"/>
              </w:rPr>
            </w:pPr>
            <w:r>
              <w:rPr>
                <w:rFonts w:ascii="Arial" w:cs="Arial" w:eastAsia="Arial" w:hAnsi="Arial"/>
                <w:sz w:val="14"/>
                <w:szCs w:val="14"/>
                <w:b w:val="1"/>
                <w:bCs w:val="1"/>
                <w:color w:val="FFFFFF"/>
              </w:rPr>
              <w:t>Control</w:t>
            </w:r>
          </w:p>
        </w:tc>
        <w:tc>
          <w:tcPr>
            <w:tcW w:w="1360" w:type="dxa"/>
            <w:vAlign w:val="bottom"/>
            <w:vMerge w:val="restart"/>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Control</w:t>
            </w:r>
          </w:p>
        </w:tc>
        <w:tc>
          <w:tcPr>
            <w:tcW w:w="1120" w:type="dxa"/>
            <w:vAlign w:val="bottom"/>
            <w:vMerge w:val="continue"/>
            <w:shd w:val="clear" w:color="auto" w:fill="0093FF"/>
          </w:tcPr>
          <w:p>
            <w:pPr>
              <w:spacing w:after="0"/>
              <w:rPr>
                <w:sz w:val="9"/>
                <w:szCs w:val="9"/>
                <w:color w:val="auto"/>
              </w:rPr>
            </w:pPr>
          </w:p>
        </w:tc>
        <w:tc>
          <w:tcPr>
            <w:tcW w:w="1500" w:type="dxa"/>
            <w:vAlign w:val="bottom"/>
            <w:vMerge w:val="restart"/>
            <w:shd w:val="clear" w:color="auto" w:fill="0093FF"/>
          </w:tcPr>
          <w:p>
            <w:pPr>
              <w:jc w:val="center"/>
              <w:ind w:right="148"/>
              <w:spacing w:after="0"/>
              <w:rPr>
                <w:sz w:val="20"/>
                <w:szCs w:val="20"/>
                <w:color w:val="auto"/>
              </w:rPr>
            </w:pPr>
            <w:r>
              <w:rPr>
                <w:rFonts w:ascii="Arial" w:cs="Arial" w:eastAsia="Arial" w:hAnsi="Arial"/>
                <w:sz w:val="14"/>
                <w:szCs w:val="14"/>
                <w:b w:val="1"/>
                <w:bCs w:val="1"/>
                <w:color w:val="FFFFFF"/>
              </w:rPr>
              <w:t>Cause</w:t>
            </w:r>
          </w:p>
        </w:tc>
        <w:tc>
          <w:tcPr>
            <w:tcW w:w="1380" w:type="dxa"/>
            <w:vAlign w:val="bottom"/>
            <w:vMerge w:val="restart"/>
            <w:shd w:val="clear" w:color="auto" w:fill="0093FF"/>
          </w:tcPr>
          <w:p>
            <w:pPr>
              <w:jc w:val="center"/>
              <w:ind w:right="228"/>
              <w:spacing w:after="0"/>
              <w:rPr>
                <w:sz w:val="20"/>
                <w:szCs w:val="20"/>
                <w:color w:val="auto"/>
              </w:rPr>
            </w:pPr>
            <w:r>
              <w:rPr>
                <w:rFonts w:ascii="Arial" w:cs="Arial" w:eastAsia="Arial" w:hAnsi="Arial"/>
                <w:sz w:val="14"/>
                <w:szCs w:val="14"/>
                <w:b w:val="1"/>
                <w:bCs w:val="1"/>
                <w:color w:val="FFFFFF"/>
              </w:rPr>
              <w:t>Control</w:t>
            </w:r>
          </w:p>
        </w:tc>
        <w:tc>
          <w:tcPr>
            <w:tcW w:w="2740" w:type="dxa"/>
            <w:vAlign w:val="bottom"/>
            <w:tcBorders>
              <w:right w:val="single" w:sz="8" w:color="C3E6FF"/>
            </w:tcBorders>
            <w:vMerge w:val="restart"/>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Change in Control</w:t>
            </w:r>
          </w:p>
        </w:tc>
        <w:tc>
          <w:tcPr>
            <w:tcW w:w="0" w:type="dxa"/>
            <w:vAlign w:val="bottom"/>
          </w:tcPr>
          <w:p>
            <w:pPr>
              <w:spacing w:after="0"/>
              <w:rPr>
                <w:sz w:val="1"/>
                <w:szCs w:val="1"/>
                <w:color w:val="auto"/>
              </w:rPr>
            </w:pPr>
          </w:p>
        </w:tc>
      </w:tr>
      <w:tr>
        <w:trPr>
          <w:trHeight w:val="54"/>
        </w:trPr>
        <w:tc>
          <w:tcPr>
            <w:tcW w:w="1700" w:type="dxa"/>
            <w:vAlign w:val="bottom"/>
            <w:tcBorders>
              <w:left w:val="single" w:sz="8" w:color="C3E6FF"/>
            </w:tcBorders>
            <w:vMerge w:val="continue"/>
            <w:shd w:val="clear" w:color="auto" w:fill="0093FF"/>
          </w:tcPr>
          <w:p>
            <w:pPr>
              <w:spacing w:after="0"/>
              <w:rPr>
                <w:sz w:val="4"/>
                <w:szCs w:val="4"/>
                <w:color w:val="auto"/>
              </w:rPr>
            </w:pPr>
          </w:p>
        </w:tc>
        <w:tc>
          <w:tcPr>
            <w:tcW w:w="1440" w:type="dxa"/>
            <w:vAlign w:val="bottom"/>
            <w:vMerge w:val="continue"/>
            <w:shd w:val="clear" w:color="auto" w:fill="0093FF"/>
          </w:tcPr>
          <w:p>
            <w:pPr>
              <w:spacing w:after="0"/>
              <w:rPr>
                <w:sz w:val="4"/>
                <w:szCs w:val="4"/>
                <w:color w:val="auto"/>
              </w:rPr>
            </w:pPr>
          </w:p>
        </w:tc>
        <w:tc>
          <w:tcPr>
            <w:tcW w:w="1360" w:type="dxa"/>
            <w:vAlign w:val="bottom"/>
            <w:vMerge w:val="continue"/>
            <w:shd w:val="clear" w:color="auto" w:fill="0093FF"/>
          </w:tcPr>
          <w:p>
            <w:pPr>
              <w:spacing w:after="0"/>
              <w:rPr>
                <w:sz w:val="4"/>
                <w:szCs w:val="4"/>
                <w:color w:val="auto"/>
              </w:rPr>
            </w:pPr>
          </w:p>
        </w:tc>
        <w:tc>
          <w:tcPr>
            <w:tcW w:w="1120" w:type="dxa"/>
            <w:vAlign w:val="bottom"/>
            <w:vMerge w:val="restart"/>
            <w:shd w:val="clear" w:color="auto" w:fill="0093FF"/>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500" w:type="dxa"/>
            <w:vAlign w:val="bottom"/>
            <w:vMerge w:val="continue"/>
            <w:shd w:val="clear" w:color="auto" w:fill="0093FF"/>
          </w:tcPr>
          <w:p>
            <w:pPr>
              <w:spacing w:after="0"/>
              <w:rPr>
                <w:sz w:val="4"/>
                <w:szCs w:val="4"/>
                <w:color w:val="auto"/>
              </w:rPr>
            </w:pPr>
          </w:p>
        </w:tc>
        <w:tc>
          <w:tcPr>
            <w:tcW w:w="1380" w:type="dxa"/>
            <w:vAlign w:val="bottom"/>
            <w:vMerge w:val="continue"/>
            <w:shd w:val="clear" w:color="auto" w:fill="0093FF"/>
          </w:tcPr>
          <w:p>
            <w:pPr>
              <w:spacing w:after="0"/>
              <w:rPr>
                <w:sz w:val="4"/>
                <w:szCs w:val="4"/>
                <w:color w:val="auto"/>
              </w:rPr>
            </w:pPr>
          </w:p>
        </w:tc>
        <w:tc>
          <w:tcPr>
            <w:tcW w:w="2740" w:type="dxa"/>
            <w:vAlign w:val="bottom"/>
            <w:tcBorders>
              <w:right w:val="single" w:sz="8" w:color="C3E6FF"/>
            </w:tcBorders>
            <w:vMerge w:val="continue"/>
            <w:shd w:val="clear" w:color="auto" w:fill="0093FF"/>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700" w:type="dxa"/>
            <w:vAlign w:val="bottom"/>
            <w:tcBorders>
              <w:left w:val="single" w:sz="8" w:color="C3E6FF"/>
            </w:tcBorders>
            <w:vMerge w:val="restart"/>
            <w:shd w:val="clear" w:color="auto" w:fill="0093FF"/>
          </w:tcPr>
          <w:p>
            <w:pPr>
              <w:ind w:left="460"/>
              <w:spacing w:after="0"/>
              <w:rPr>
                <w:sz w:val="20"/>
                <w:szCs w:val="20"/>
                <w:color w:val="auto"/>
              </w:rPr>
            </w:pPr>
            <w:r>
              <w:rPr>
                <w:rFonts w:ascii="Arial" w:cs="Arial" w:eastAsia="Arial" w:hAnsi="Arial"/>
                <w:sz w:val="14"/>
                <w:szCs w:val="14"/>
                <w:b w:val="1"/>
                <w:bCs w:val="1"/>
                <w:color w:val="FFFFFF"/>
              </w:rPr>
              <w:t>Termination</w:t>
            </w:r>
          </w:p>
        </w:tc>
        <w:tc>
          <w:tcPr>
            <w:tcW w:w="1440" w:type="dxa"/>
            <w:vAlign w:val="bottom"/>
            <w:vMerge w:val="restart"/>
            <w:shd w:val="clear" w:color="auto" w:fill="0093FF"/>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vMerge w:val="restart"/>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w:t>
            </w:r>
          </w:p>
        </w:tc>
        <w:tc>
          <w:tcPr>
            <w:tcW w:w="1120" w:type="dxa"/>
            <w:vAlign w:val="bottom"/>
            <w:vMerge w:val="continue"/>
            <w:shd w:val="clear" w:color="auto" w:fill="0093FF"/>
          </w:tcPr>
          <w:p>
            <w:pPr>
              <w:spacing w:after="0"/>
              <w:rPr>
                <w:sz w:val="11"/>
                <w:szCs w:val="11"/>
                <w:color w:val="auto"/>
              </w:rPr>
            </w:pPr>
          </w:p>
        </w:tc>
        <w:tc>
          <w:tcPr>
            <w:tcW w:w="1500" w:type="dxa"/>
            <w:vAlign w:val="bottom"/>
            <w:vMerge w:val="restart"/>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w:t>
            </w:r>
          </w:p>
        </w:tc>
        <w:tc>
          <w:tcPr>
            <w:tcW w:w="1380" w:type="dxa"/>
            <w:vAlign w:val="bottom"/>
            <w:vMerge w:val="restart"/>
            <w:shd w:val="clear" w:color="auto" w:fill="0093FF"/>
          </w:tcPr>
          <w:p>
            <w:pPr>
              <w:jc w:val="center"/>
              <w:ind w:right="248"/>
              <w:spacing w:after="0"/>
              <w:rPr>
                <w:sz w:val="20"/>
                <w:szCs w:val="20"/>
                <w:color w:val="auto"/>
              </w:rPr>
            </w:pPr>
            <w:r>
              <w:rPr>
                <w:rFonts w:ascii="Arial" w:cs="Arial" w:eastAsia="Arial" w:hAnsi="Arial"/>
                <w:sz w:val="14"/>
                <w:szCs w:val="14"/>
                <w:b w:val="1"/>
                <w:bCs w:val="1"/>
                <w:color w:val="FFFFFF"/>
              </w:rPr>
              <w:t>($)</w:t>
            </w:r>
          </w:p>
        </w:tc>
        <w:tc>
          <w:tcPr>
            <w:tcW w:w="2740" w:type="dxa"/>
            <w:vAlign w:val="bottom"/>
            <w:tcBorders>
              <w:right w:val="single" w:sz="8" w:color="C3E6FF"/>
            </w:tcBorders>
            <w:vMerge w:val="restart"/>
            <w:shd w:val="clear" w:color="auto" w:fill="0093FF"/>
          </w:tcPr>
          <w:p>
            <w:pPr>
              <w:jc w:val="center"/>
              <w:ind w:right="1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1700" w:type="dxa"/>
            <w:vAlign w:val="bottom"/>
            <w:tcBorders>
              <w:left w:val="single" w:sz="8" w:color="C3E6FF"/>
            </w:tcBorders>
            <w:vMerge w:val="continue"/>
            <w:shd w:val="clear" w:color="auto" w:fill="0093FF"/>
          </w:tcPr>
          <w:p>
            <w:pPr>
              <w:spacing w:after="0"/>
              <w:rPr>
                <w:sz w:val="4"/>
                <w:szCs w:val="4"/>
                <w:color w:val="auto"/>
              </w:rPr>
            </w:pPr>
          </w:p>
        </w:tc>
        <w:tc>
          <w:tcPr>
            <w:tcW w:w="1440" w:type="dxa"/>
            <w:vAlign w:val="bottom"/>
            <w:vMerge w:val="continue"/>
            <w:shd w:val="clear" w:color="auto" w:fill="0093FF"/>
          </w:tcPr>
          <w:p>
            <w:pPr>
              <w:spacing w:after="0"/>
              <w:rPr>
                <w:sz w:val="4"/>
                <w:szCs w:val="4"/>
                <w:color w:val="auto"/>
              </w:rPr>
            </w:pPr>
          </w:p>
        </w:tc>
        <w:tc>
          <w:tcPr>
            <w:tcW w:w="1360" w:type="dxa"/>
            <w:vAlign w:val="bottom"/>
            <w:vMerge w:val="continue"/>
            <w:shd w:val="clear" w:color="auto" w:fill="0093FF"/>
          </w:tcPr>
          <w:p>
            <w:pPr>
              <w:spacing w:after="0"/>
              <w:rPr>
                <w:sz w:val="4"/>
                <w:szCs w:val="4"/>
                <w:color w:val="auto"/>
              </w:rPr>
            </w:pPr>
          </w:p>
        </w:tc>
        <w:tc>
          <w:tcPr>
            <w:tcW w:w="1120" w:type="dxa"/>
            <w:vAlign w:val="bottom"/>
            <w:shd w:val="clear" w:color="auto" w:fill="0093FF"/>
          </w:tcPr>
          <w:p>
            <w:pPr>
              <w:spacing w:after="0"/>
              <w:rPr>
                <w:sz w:val="4"/>
                <w:szCs w:val="4"/>
                <w:color w:val="auto"/>
              </w:rPr>
            </w:pPr>
          </w:p>
        </w:tc>
        <w:tc>
          <w:tcPr>
            <w:tcW w:w="1500" w:type="dxa"/>
            <w:vAlign w:val="bottom"/>
            <w:vMerge w:val="continue"/>
            <w:shd w:val="clear" w:color="auto" w:fill="0093FF"/>
          </w:tcPr>
          <w:p>
            <w:pPr>
              <w:spacing w:after="0"/>
              <w:rPr>
                <w:sz w:val="4"/>
                <w:szCs w:val="4"/>
                <w:color w:val="auto"/>
              </w:rPr>
            </w:pPr>
          </w:p>
        </w:tc>
        <w:tc>
          <w:tcPr>
            <w:tcW w:w="1380" w:type="dxa"/>
            <w:vAlign w:val="bottom"/>
            <w:vMerge w:val="continue"/>
            <w:shd w:val="clear" w:color="auto" w:fill="0093FF"/>
          </w:tcPr>
          <w:p>
            <w:pPr>
              <w:spacing w:after="0"/>
              <w:rPr>
                <w:sz w:val="4"/>
                <w:szCs w:val="4"/>
                <w:color w:val="auto"/>
              </w:rPr>
            </w:pPr>
          </w:p>
        </w:tc>
        <w:tc>
          <w:tcPr>
            <w:tcW w:w="2740" w:type="dxa"/>
            <w:vAlign w:val="bottom"/>
            <w:tcBorders>
              <w:right w:val="single" w:sz="8" w:color="C3E6FF"/>
            </w:tcBorders>
            <w:vMerge w:val="continue"/>
            <w:shd w:val="clear" w:color="auto" w:fill="0093FF"/>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shd w:val="clear" w:color="auto" w:fill="0093FF"/>
          </w:tcPr>
          <w:p>
            <w:pPr>
              <w:spacing w:after="0"/>
              <w:rPr>
                <w:sz w:val="8"/>
                <w:szCs w:val="8"/>
                <w:color w:val="auto"/>
              </w:rPr>
            </w:pPr>
          </w:p>
        </w:tc>
        <w:tc>
          <w:tcPr>
            <w:tcW w:w="1440" w:type="dxa"/>
            <w:vAlign w:val="bottom"/>
            <w:shd w:val="clear" w:color="auto" w:fill="0093FF"/>
          </w:tcPr>
          <w:p>
            <w:pPr>
              <w:spacing w:after="0"/>
              <w:rPr>
                <w:sz w:val="8"/>
                <w:szCs w:val="8"/>
                <w:color w:val="auto"/>
              </w:rPr>
            </w:pPr>
          </w:p>
        </w:tc>
        <w:tc>
          <w:tcPr>
            <w:tcW w:w="1360" w:type="dxa"/>
            <w:vAlign w:val="bottom"/>
            <w:shd w:val="clear" w:color="auto" w:fill="0093FF"/>
          </w:tcPr>
          <w:p>
            <w:pPr>
              <w:spacing w:after="0"/>
              <w:rPr>
                <w:sz w:val="8"/>
                <w:szCs w:val="8"/>
                <w:color w:val="auto"/>
              </w:rPr>
            </w:pPr>
          </w:p>
        </w:tc>
        <w:tc>
          <w:tcPr>
            <w:tcW w:w="1120" w:type="dxa"/>
            <w:vAlign w:val="bottom"/>
            <w:shd w:val="clear" w:color="auto" w:fill="0093FF"/>
          </w:tcPr>
          <w:p>
            <w:pPr>
              <w:spacing w:after="0"/>
              <w:rPr>
                <w:sz w:val="8"/>
                <w:szCs w:val="8"/>
                <w:color w:val="auto"/>
              </w:rPr>
            </w:pPr>
          </w:p>
        </w:tc>
        <w:tc>
          <w:tcPr>
            <w:tcW w:w="1500" w:type="dxa"/>
            <w:vAlign w:val="bottom"/>
            <w:shd w:val="clear" w:color="auto" w:fill="0093FF"/>
          </w:tcPr>
          <w:p>
            <w:pPr>
              <w:spacing w:after="0"/>
              <w:rPr>
                <w:sz w:val="8"/>
                <w:szCs w:val="8"/>
                <w:color w:val="auto"/>
              </w:rPr>
            </w:pPr>
          </w:p>
        </w:tc>
        <w:tc>
          <w:tcPr>
            <w:tcW w:w="1380" w:type="dxa"/>
            <w:vAlign w:val="bottom"/>
            <w:shd w:val="clear" w:color="auto" w:fill="0093FF"/>
          </w:tcPr>
          <w:p>
            <w:pPr>
              <w:spacing w:after="0"/>
              <w:rPr>
                <w:sz w:val="8"/>
                <w:szCs w:val="8"/>
                <w:color w:val="auto"/>
              </w:rPr>
            </w:pPr>
          </w:p>
        </w:tc>
        <w:tc>
          <w:tcPr>
            <w:tcW w:w="2740" w:type="dxa"/>
            <w:vAlign w:val="bottom"/>
            <w:tcBorders>
              <w:right w:val="single" w:sz="8" w:color="C3E6FF"/>
            </w:tcBorders>
            <w:shd w:val="clear" w:color="auto" w:fill="0093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Base salary payout</w:t>
            </w:r>
          </w:p>
        </w:tc>
        <w:tc>
          <w:tcPr>
            <w:tcW w:w="144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F3F9FF"/>
          </w:tcPr>
          <w:p>
            <w:pPr>
              <w:jc w:val="right"/>
              <w:ind w:right="108"/>
              <w:spacing w:after="0"/>
              <w:rPr>
                <w:sz w:val="20"/>
                <w:szCs w:val="20"/>
                <w:color w:val="auto"/>
              </w:rPr>
            </w:pPr>
            <w:r>
              <w:rPr>
                <w:rFonts w:ascii="Arial" w:cs="Arial" w:eastAsia="Arial" w:hAnsi="Arial"/>
                <w:sz w:val="14"/>
                <w:szCs w:val="14"/>
                <w:color w:val="auto"/>
              </w:rPr>
              <w:t>364,248</w:t>
            </w:r>
          </w:p>
        </w:tc>
        <w:tc>
          <w:tcPr>
            <w:tcW w:w="1380" w:type="dxa"/>
            <w:vAlign w:val="bottom"/>
            <w:shd w:val="clear" w:color="auto" w:fill="F3F9FF"/>
          </w:tcPr>
          <w:p>
            <w:pPr>
              <w:jc w:val="right"/>
              <w:ind w:right="148"/>
              <w:spacing w:after="0"/>
              <w:rPr>
                <w:sz w:val="20"/>
                <w:szCs w:val="20"/>
                <w:color w:val="auto"/>
              </w:rPr>
            </w:pPr>
            <w:r>
              <w:rPr>
                <w:rFonts w:ascii="Arial" w:cs="Arial" w:eastAsia="Arial" w:hAnsi="Arial"/>
                <w:sz w:val="14"/>
                <w:szCs w:val="14"/>
                <w:color w:val="auto"/>
              </w:rPr>
              <w:t>—</w:t>
            </w:r>
          </w:p>
        </w:tc>
        <w:tc>
          <w:tcPr>
            <w:tcW w:w="274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364,248</w:t>
            </w: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shd w:val="clear" w:color="auto" w:fill="F3F9FF"/>
          </w:tcPr>
          <w:p>
            <w:pPr>
              <w:spacing w:after="0"/>
              <w:rPr>
                <w:sz w:val="8"/>
                <w:szCs w:val="8"/>
                <w:color w:val="auto"/>
              </w:rPr>
            </w:pPr>
          </w:p>
        </w:tc>
        <w:tc>
          <w:tcPr>
            <w:tcW w:w="1440" w:type="dxa"/>
            <w:vAlign w:val="bottom"/>
            <w:shd w:val="clear" w:color="auto" w:fill="F3F9FF"/>
          </w:tcPr>
          <w:p>
            <w:pPr>
              <w:spacing w:after="0"/>
              <w:rPr>
                <w:sz w:val="8"/>
                <w:szCs w:val="8"/>
                <w:color w:val="auto"/>
              </w:rPr>
            </w:pPr>
          </w:p>
        </w:tc>
        <w:tc>
          <w:tcPr>
            <w:tcW w:w="136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500" w:type="dxa"/>
            <w:vAlign w:val="bottom"/>
            <w:shd w:val="clear" w:color="auto" w:fill="F3F9FF"/>
          </w:tcPr>
          <w:p>
            <w:pPr>
              <w:spacing w:after="0"/>
              <w:rPr>
                <w:sz w:val="8"/>
                <w:szCs w:val="8"/>
                <w:color w:val="auto"/>
              </w:rPr>
            </w:pPr>
          </w:p>
        </w:tc>
        <w:tc>
          <w:tcPr>
            <w:tcW w:w="1380" w:type="dxa"/>
            <w:vAlign w:val="bottom"/>
            <w:shd w:val="clear" w:color="auto" w:fill="F3F9FF"/>
          </w:tcPr>
          <w:p>
            <w:pPr>
              <w:spacing w:after="0"/>
              <w:rPr>
                <w:sz w:val="8"/>
                <w:szCs w:val="8"/>
                <w:color w:val="auto"/>
              </w:rPr>
            </w:pPr>
          </w:p>
        </w:tc>
        <w:tc>
          <w:tcPr>
            <w:tcW w:w="274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700" w:type="dxa"/>
            <w:vAlign w:val="bottom"/>
            <w:tcBorders>
              <w:left w:val="single" w:sz="8" w:color="C3E6FF"/>
            </w:tcBorders>
            <w:vMerge w:val="restart"/>
          </w:tcPr>
          <w:p>
            <w:pPr>
              <w:ind w:left="80"/>
              <w:spacing w:after="0"/>
              <w:rPr>
                <w:sz w:val="20"/>
                <w:szCs w:val="20"/>
                <w:color w:val="auto"/>
              </w:rPr>
            </w:pPr>
            <w:r>
              <w:rPr>
                <w:rFonts w:ascii="Arial" w:cs="Arial" w:eastAsia="Arial" w:hAnsi="Arial"/>
                <w:sz w:val="14"/>
                <w:szCs w:val="14"/>
                <w:color w:val="auto"/>
              </w:rPr>
              <w:t>Restricted stock units</w:t>
            </w:r>
          </w:p>
        </w:tc>
        <w:tc>
          <w:tcPr>
            <w:tcW w:w="1440" w:type="dxa"/>
            <w:vAlign w:val="bottom"/>
            <w:vMerge w:val="restart"/>
          </w:tcPr>
          <w:p>
            <w:pPr>
              <w:jc w:val="right"/>
              <w:ind w:right="68"/>
              <w:spacing w:after="0"/>
              <w:rPr>
                <w:sz w:val="20"/>
                <w:szCs w:val="20"/>
                <w:color w:val="auto"/>
              </w:rPr>
            </w:pPr>
            <w:r>
              <w:rPr>
                <w:rFonts w:ascii="Arial" w:cs="Arial" w:eastAsia="Arial" w:hAnsi="Arial"/>
                <w:sz w:val="14"/>
                <w:szCs w:val="14"/>
                <w:color w:val="auto"/>
              </w:rPr>
              <w:t>1,927,515</w:t>
            </w:r>
          </w:p>
        </w:tc>
        <w:tc>
          <w:tcPr>
            <w:tcW w:w="1360" w:type="dxa"/>
            <w:vAlign w:val="bottom"/>
            <w:vMerge w:val="restart"/>
          </w:tcPr>
          <w:p>
            <w:pPr>
              <w:jc w:val="right"/>
              <w:ind w:right="68"/>
              <w:spacing w:after="0"/>
              <w:rPr>
                <w:sz w:val="20"/>
                <w:szCs w:val="20"/>
                <w:color w:val="auto"/>
              </w:rPr>
            </w:pPr>
            <w:r>
              <w:rPr>
                <w:rFonts w:ascii="Arial" w:cs="Arial" w:eastAsia="Arial" w:hAnsi="Arial"/>
                <w:sz w:val="14"/>
                <w:szCs w:val="14"/>
                <w:color w:val="auto"/>
              </w:rPr>
              <w:t>1,927,515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color w:val="auto"/>
              </w:rPr>
              <w:t>790,542</w:t>
            </w:r>
          </w:p>
        </w:tc>
        <w:tc>
          <w:tcPr>
            <w:tcW w:w="2740" w:type="dxa"/>
            <w:vAlign w:val="bottom"/>
            <w:tcBorders>
              <w:right w:val="single" w:sz="8" w:color="C3E6FF"/>
            </w:tcBorders>
            <w:vMerge w:val="restart"/>
          </w:tcPr>
          <w:p>
            <w:pPr>
              <w:jc w:val="right"/>
              <w:ind w:right="8"/>
              <w:spacing w:after="0"/>
              <w:rPr>
                <w:sz w:val="20"/>
                <w:szCs w:val="20"/>
                <w:color w:val="auto"/>
              </w:rPr>
            </w:pPr>
            <w:r>
              <w:rPr>
                <w:rFonts w:ascii="Arial" w:cs="Arial" w:eastAsia="Arial" w:hAnsi="Arial"/>
                <w:sz w:val="14"/>
                <w:szCs w:val="14"/>
                <w:color w:val="auto"/>
              </w:rPr>
              <w:t>1,927,515</w:t>
            </w:r>
          </w:p>
        </w:tc>
        <w:tc>
          <w:tcPr>
            <w:tcW w:w="0" w:type="dxa"/>
            <w:vAlign w:val="bottom"/>
          </w:tcPr>
          <w:p>
            <w:pPr>
              <w:spacing w:after="0"/>
              <w:rPr>
                <w:sz w:val="1"/>
                <w:szCs w:val="1"/>
                <w:color w:val="auto"/>
              </w:rPr>
            </w:pPr>
          </w:p>
        </w:tc>
      </w:tr>
      <w:tr>
        <w:trPr>
          <w:trHeight w:val="108"/>
        </w:trPr>
        <w:tc>
          <w:tcPr>
            <w:tcW w:w="1700" w:type="dxa"/>
            <w:vAlign w:val="bottom"/>
            <w:tcBorders>
              <w:left w:val="single" w:sz="8" w:color="C3E6FF"/>
            </w:tcBorders>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740" w:type="dxa"/>
            <w:vAlign w:val="bottom"/>
            <w:tcBorders>
              <w:right w:val="single" w:sz="8" w:color="C3E6F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tcPr>
          <w:p>
            <w:pPr>
              <w:spacing w:after="0"/>
              <w:rPr>
                <w:sz w:val="8"/>
                <w:szCs w:val="8"/>
                <w:color w:val="auto"/>
              </w:rPr>
            </w:pPr>
          </w:p>
        </w:tc>
        <w:tc>
          <w:tcPr>
            <w:tcW w:w="1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74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700" w:type="dxa"/>
            <w:vAlign w:val="bottom"/>
            <w:tcBorders>
              <w:left w:val="single" w:sz="8" w:color="C3E6FF"/>
            </w:tcBorders>
            <w:vMerge w:val="restart"/>
            <w:shd w:val="clear" w:color="auto" w:fill="F3F9FF"/>
          </w:tcPr>
          <w:p>
            <w:pPr>
              <w:ind w:left="80"/>
              <w:spacing w:after="0"/>
              <w:rPr>
                <w:sz w:val="20"/>
                <w:szCs w:val="20"/>
                <w:color w:val="auto"/>
              </w:rPr>
            </w:pPr>
            <w:r>
              <w:rPr>
                <w:rFonts w:ascii="Arial" w:cs="Arial" w:eastAsia="Arial" w:hAnsi="Arial"/>
                <w:sz w:val="14"/>
                <w:szCs w:val="14"/>
                <w:color w:val="auto"/>
              </w:rPr>
              <w:t>Performance restricted</w:t>
            </w:r>
          </w:p>
        </w:tc>
        <w:tc>
          <w:tcPr>
            <w:tcW w:w="1440" w:type="dxa"/>
            <w:vAlign w:val="bottom"/>
            <w:shd w:val="clear" w:color="auto" w:fill="F3F9FF"/>
          </w:tcPr>
          <w:p>
            <w:pPr>
              <w:spacing w:after="0"/>
              <w:rPr>
                <w:sz w:val="15"/>
                <w:szCs w:val="15"/>
                <w:color w:val="auto"/>
              </w:rPr>
            </w:pPr>
          </w:p>
        </w:tc>
        <w:tc>
          <w:tcPr>
            <w:tcW w:w="1360" w:type="dxa"/>
            <w:vAlign w:val="bottom"/>
            <w:shd w:val="clear" w:color="auto" w:fill="F3F9FF"/>
          </w:tcPr>
          <w:p>
            <w:pPr>
              <w:spacing w:after="0"/>
              <w:rPr>
                <w:sz w:val="15"/>
                <w:szCs w:val="15"/>
                <w:color w:val="auto"/>
              </w:rPr>
            </w:pPr>
          </w:p>
        </w:tc>
        <w:tc>
          <w:tcPr>
            <w:tcW w:w="1120" w:type="dxa"/>
            <w:vAlign w:val="bottom"/>
            <w:shd w:val="clear" w:color="auto" w:fill="F3F9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F3F9FF"/>
          </w:tcPr>
          <w:p>
            <w:pPr>
              <w:spacing w:after="0"/>
              <w:rPr>
                <w:sz w:val="15"/>
                <w:szCs w:val="15"/>
                <w:color w:val="auto"/>
              </w:rPr>
            </w:pPr>
          </w:p>
        </w:tc>
        <w:tc>
          <w:tcPr>
            <w:tcW w:w="1380" w:type="dxa"/>
            <w:vAlign w:val="bottom"/>
            <w:shd w:val="clear" w:color="auto" w:fill="F3F9FF"/>
          </w:tcPr>
          <w:p>
            <w:pPr>
              <w:spacing w:after="0"/>
              <w:rPr>
                <w:sz w:val="15"/>
                <w:szCs w:val="15"/>
                <w:color w:val="auto"/>
              </w:rPr>
            </w:pPr>
          </w:p>
        </w:tc>
        <w:tc>
          <w:tcPr>
            <w:tcW w:w="2740" w:type="dxa"/>
            <w:vAlign w:val="bottom"/>
            <w:tcBorders>
              <w:right w:val="single" w:sz="8" w:color="C3E6FF"/>
            </w:tcBorders>
            <w:shd w:val="clear" w:color="auto" w:fill="F3F9FF"/>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1700" w:type="dxa"/>
            <w:vAlign w:val="bottom"/>
            <w:tcBorders>
              <w:left w:val="single" w:sz="8" w:color="C3E6FF"/>
            </w:tcBorders>
            <w:vMerge w:val="continue"/>
            <w:shd w:val="clear" w:color="auto" w:fill="F3F9FF"/>
          </w:tcPr>
          <w:p>
            <w:pPr>
              <w:spacing w:after="0"/>
              <w:rPr>
                <w:sz w:val="8"/>
                <w:szCs w:val="8"/>
                <w:color w:val="auto"/>
              </w:rPr>
            </w:pPr>
          </w:p>
        </w:tc>
        <w:tc>
          <w:tcPr>
            <w:tcW w:w="1440" w:type="dxa"/>
            <w:vAlign w:val="bottom"/>
            <w:shd w:val="clear" w:color="auto" w:fill="F3F9FF"/>
          </w:tcPr>
          <w:p>
            <w:pPr>
              <w:spacing w:after="0"/>
              <w:rPr>
                <w:sz w:val="8"/>
                <w:szCs w:val="8"/>
                <w:color w:val="auto"/>
              </w:rPr>
            </w:pPr>
          </w:p>
        </w:tc>
        <w:tc>
          <w:tcPr>
            <w:tcW w:w="136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500" w:type="dxa"/>
            <w:vAlign w:val="bottom"/>
            <w:shd w:val="clear" w:color="auto" w:fill="F3F9FF"/>
          </w:tcPr>
          <w:p>
            <w:pPr>
              <w:spacing w:after="0"/>
              <w:rPr>
                <w:sz w:val="8"/>
                <w:szCs w:val="8"/>
                <w:color w:val="auto"/>
              </w:rPr>
            </w:pPr>
          </w:p>
        </w:tc>
        <w:tc>
          <w:tcPr>
            <w:tcW w:w="1380" w:type="dxa"/>
            <w:vAlign w:val="bottom"/>
            <w:shd w:val="clear" w:color="auto" w:fill="F3F9FF"/>
          </w:tcPr>
          <w:p>
            <w:pPr>
              <w:spacing w:after="0"/>
              <w:rPr>
                <w:sz w:val="8"/>
                <w:szCs w:val="8"/>
                <w:color w:val="auto"/>
              </w:rPr>
            </w:pPr>
          </w:p>
        </w:tc>
        <w:tc>
          <w:tcPr>
            <w:tcW w:w="274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7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stock units</w:t>
            </w:r>
          </w:p>
        </w:tc>
        <w:tc>
          <w:tcPr>
            <w:tcW w:w="144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743,800</w:t>
            </w:r>
          </w:p>
        </w:tc>
        <w:tc>
          <w:tcPr>
            <w:tcW w:w="13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1,311,058</w:t>
            </w:r>
          </w:p>
        </w:tc>
        <w:tc>
          <w:tcPr>
            <w:tcW w:w="1120" w:type="dxa"/>
            <w:vAlign w:val="bottom"/>
            <w:shd w:val="clear" w:color="auto" w:fill="F3F9FF"/>
          </w:tcPr>
          <w:p>
            <w:pPr>
              <w:spacing w:after="0"/>
              <w:rPr>
                <w:sz w:val="14"/>
                <w:szCs w:val="14"/>
                <w:color w:val="auto"/>
              </w:rPr>
            </w:pPr>
          </w:p>
        </w:tc>
        <w:tc>
          <w:tcPr>
            <w:tcW w:w="1500" w:type="dxa"/>
            <w:vAlign w:val="bottom"/>
            <w:shd w:val="clear" w:color="auto" w:fill="F3F9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F3F9FF"/>
          </w:tcPr>
          <w:p>
            <w:pPr>
              <w:jc w:val="right"/>
              <w:ind w:right="148"/>
              <w:spacing w:after="0"/>
              <w:rPr>
                <w:sz w:val="20"/>
                <w:szCs w:val="20"/>
                <w:color w:val="auto"/>
              </w:rPr>
            </w:pPr>
            <w:r>
              <w:rPr>
                <w:rFonts w:ascii="Arial" w:cs="Arial" w:eastAsia="Arial" w:hAnsi="Arial"/>
                <w:sz w:val="14"/>
                <w:szCs w:val="14"/>
                <w:color w:val="auto"/>
              </w:rPr>
              <w:t>1,058,133</w:t>
            </w:r>
          </w:p>
        </w:tc>
        <w:tc>
          <w:tcPr>
            <w:tcW w:w="274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1,311,058</w:t>
            </w: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shd w:val="clear" w:color="auto" w:fill="F3F9FF"/>
          </w:tcPr>
          <w:p>
            <w:pPr>
              <w:spacing w:after="0"/>
              <w:rPr>
                <w:sz w:val="8"/>
                <w:szCs w:val="8"/>
                <w:color w:val="auto"/>
              </w:rPr>
            </w:pPr>
          </w:p>
        </w:tc>
        <w:tc>
          <w:tcPr>
            <w:tcW w:w="1440" w:type="dxa"/>
            <w:vAlign w:val="bottom"/>
            <w:shd w:val="clear" w:color="auto" w:fill="F3F9FF"/>
          </w:tcPr>
          <w:p>
            <w:pPr>
              <w:spacing w:after="0"/>
              <w:rPr>
                <w:sz w:val="8"/>
                <w:szCs w:val="8"/>
                <w:color w:val="auto"/>
              </w:rPr>
            </w:pPr>
          </w:p>
        </w:tc>
        <w:tc>
          <w:tcPr>
            <w:tcW w:w="136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500" w:type="dxa"/>
            <w:vAlign w:val="bottom"/>
            <w:shd w:val="clear" w:color="auto" w:fill="F3F9FF"/>
          </w:tcPr>
          <w:p>
            <w:pPr>
              <w:spacing w:after="0"/>
              <w:rPr>
                <w:sz w:val="8"/>
                <w:szCs w:val="8"/>
                <w:color w:val="auto"/>
              </w:rPr>
            </w:pPr>
          </w:p>
        </w:tc>
        <w:tc>
          <w:tcPr>
            <w:tcW w:w="1380" w:type="dxa"/>
            <w:vAlign w:val="bottom"/>
            <w:shd w:val="clear" w:color="auto" w:fill="F3F9FF"/>
          </w:tcPr>
          <w:p>
            <w:pPr>
              <w:spacing w:after="0"/>
              <w:rPr>
                <w:sz w:val="8"/>
                <w:szCs w:val="8"/>
                <w:color w:val="auto"/>
              </w:rPr>
            </w:pPr>
          </w:p>
        </w:tc>
        <w:tc>
          <w:tcPr>
            <w:tcW w:w="274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700" w:type="dxa"/>
            <w:vAlign w:val="bottom"/>
            <w:tcBorders>
              <w:left w:val="single" w:sz="8" w:color="C3E6FF"/>
            </w:tcBorders>
            <w:vMerge w:val="restart"/>
          </w:tcPr>
          <w:p>
            <w:pPr>
              <w:ind w:left="80"/>
              <w:spacing w:after="0"/>
              <w:rPr>
                <w:sz w:val="20"/>
                <w:szCs w:val="20"/>
                <w:color w:val="auto"/>
              </w:rPr>
            </w:pPr>
            <w:r>
              <w:rPr>
                <w:rFonts w:ascii="Arial" w:cs="Arial" w:eastAsia="Arial" w:hAnsi="Arial"/>
                <w:sz w:val="14"/>
                <w:szCs w:val="14"/>
                <w:color w:val="auto"/>
              </w:rPr>
              <w:t>Government-required</w:t>
            </w: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104,196</w:t>
            </w: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740" w:type="dxa"/>
            <w:vAlign w:val="bottom"/>
            <w:tcBorders>
              <w:right w:val="single" w:sz="8" w:color="C3E6FF"/>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vMerge w:val="continue"/>
          </w:tcPr>
          <w:p>
            <w:pPr>
              <w:spacing w:after="0"/>
              <w:rPr>
                <w:sz w:val="8"/>
                <w:szCs w:val="8"/>
                <w:color w:val="auto"/>
              </w:rPr>
            </w:pPr>
          </w:p>
        </w:tc>
        <w:tc>
          <w:tcPr>
            <w:tcW w:w="1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74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700" w:type="dxa"/>
            <w:vAlign w:val="bottom"/>
            <w:tcBorders>
              <w:left w:val="single" w:sz="8" w:color="C3E6FF"/>
              <w:bottom w:val="single" w:sz="8" w:color="C3E6FF"/>
            </w:tcBorders>
          </w:tcPr>
          <w:p>
            <w:pPr>
              <w:ind w:left="80"/>
              <w:spacing w:after="0"/>
              <w:rPr>
                <w:sz w:val="20"/>
                <w:szCs w:val="20"/>
                <w:color w:val="auto"/>
              </w:rPr>
            </w:pPr>
            <w:r>
              <w:rPr>
                <w:rFonts w:ascii="Arial" w:cs="Arial" w:eastAsia="Arial" w:hAnsi="Arial"/>
                <w:sz w:val="14"/>
                <w:szCs w:val="14"/>
                <w:color w:val="auto"/>
              </w:rPr>
              <w:t>payouts</w:t>
            </w:r>
            <w:r>
              <w:rPr>
                <w:rFonts w:ascii="Arial" w:cs="Arial" w:eastAsia="Arial" w:hAnsi="Arial"/>
                <w:sz w:val="23"/>
                <w:szCs w:val="23"/>
                <w:color w:val="auto"/>
                <w:vertAlign w:val="superscript"/>
              </w:rPr>
              <w:t>(1)</w:t>
            </w:r>
          </w:p>
        </w:tc>
        <w:tc>
          <w:tcPr>
            <w:tcW w:w="1440" w:type="dxa"/>
            <w:vAlign w:val="bottom"/>
            <w:tcBorders>
              <w:bottom w:val="single" w:sz="8" w:color="C3E6FF"/>
            </w:tcBorders>
          </w:tcPr>
          <w:p>
            <w:pPr>
              <w:jc w:val="right"/>
              <w:ind w:right="68"/>
              <w:spacing w:after="0"/>
              <w:rPr>
                <w:sz w:val="20"/>
                <w:szCs w:val="20"/>
                <w:color w:val="auto"/>
              </w:rPr>
            </w:pPr>
            <w:r>
              <w:rPr>
                <w:rFonts w:ascii="Arial" w:cs="Arial" w:eastAsia="Arial" w:hAnsi="Arial"/>
                <w:sz w:val="14"/>
                <w:szCs w:val="14"/>
                <w:color w:val="auto"/>
              </w:rPr>
              <w:t>104,196</w:t>
            </w:r>
          </w:p>
        </w:tc>
        <w:tc>
          <w:tcPr>
            <w:tcW w:w="1360" w:type="dxa"/>
            <w:vAlign w:val="bottom"/>
            <w:tcBorders>
              <w:bottom w:val="single" w:sz="8" w:color="C3E6FF"/>
            </w:tcBorders>
          </w:tcPr>
          <w:p>
            <w:pPr>
              <w:jc w:val="right"/>
              <w:ind w:right="68"/>
              <w:spacing w:after="0"/>
              <w:rPr>
                <w:sz w:val="20"/>
                <w:szCs w:val="20"/>
                <w:color w:val="auto"/>
              </w:rPr>
            </w:pPr>
            <w:r>
              <w:rPr>
                <w:rFonts w:ascii="Arial" w:cs="Arial" w:eastAsia="Arial" w:hAnsi="Arial"/>
                <w:sz w:val="14"/>
                <w:szCs w:val="14"/>
                <w:color w:val="auto"/>
              </w:rPr>
              <w:t>104,196</w:t>
            </w:r>
          </w:p>
        </w:tc>
        <w:tc>
          <w:tcPr>
            <w:tcW w:w="1120" w:type="dxa"/>
            <w:vAlign w:val="bottom"/>
            <w:tcBorders>
              <w:bottom w:val="single" w:sz="8" w:color="C3E6FF"/>
            </w:tcBorders>
          </w:tcPr>
          <w:p>
            <w:pPr>
              <w:spacing w:after="0"/>
              <w:rPr>
                <w:sz w:val="24"/>
                <w:szCs w:val="24"/>
                <w:color w:val="auto"/>
              </w:rPr>
            </w:pPr>
          </w:p>
        </w:tc>
        <w:tc>
          <w:tcPr>
            <w:tcW w:w="1500" w:type="dxa"/>
            <w:vAlign w:val="bottom"/>
            <w:tcBorders>
              <w:bottom w:val="single" w:sz="8" w:color="C3E6FF"/>
            </w:tcBorders>
          </w:tcPr>
          <w:p>
            <w:pPr>
              <w:jc w:val="right"/>
              <w:ind w:right="108"/>
              <w:spacing w:after="0"/>
              <w:rPr>
                <w:sz w:val="20"/>
                <w:szCs w:val="20"/>
                <w:color w:val="auto"/>
              </w:rPr>
            </w:pPr>
            <w:r>
              <w:rPr>
                <w:rFonts w:ascii="Arial" w:cs="Arial" w:eastAsia="Arial" w:hAnsi="Arial"/>
                <w:sz w:val="14"/>
                <w:szCs w:val="14"/>
                <w:color w:val="auto"/>
              </w:rPr>
              <w:t>104,196</w:t>
            </w:r>
          </w:p>
        </w:tc>
        <w:tc>
          <w:tcPr>
            <w:tcW w:w="1380" w:type="dxa"/>
            <w:vAlign w:val="bottom"/>
            <w:tcBorders>
              <w:bottom w:val="single" w:sz="8" w:color="C3E6FF"/>
            </w:tcBorders>
          </w:tcPr>
          <w:p>
            <w:pPr>
              <w:jc w:val="right"/>
              <w:ind w:right="148"/>
              <w:spacing w:after="0"/>
              <w:rPr>
                <w:sz w:val="20"/>
                <w:szCs w:val="20"/>
                <w:color w:val="auto"/>
              </w:rPr>
            </w:pPr>
            <w:r>
              <w:rPr>
                <w:rFonts w:ascii="Arial" w:cs="Arial" w:eastAsia="Arial" w:hAnsi="Arial"/>
                <w:sz w:val="14"/>
                <w:szCs w:val="14"/>
                <w:color w:val="auto"/>
              </w:rPr>
              <w:t>—</w:t>
            </w:r>
          </w:p>
        </w:tc>
        <w:tc>
          <w:tcPr>
            <w:tcW w:w="2740" w:type="dxa"/>
            <w:vAlign w:val="bottom"/>
            <w:tcBorders>
              <w:bottom w:val="single" w:sz="8" w:color="C3E6FF"/>
              <w:right w:val="single" w:sz="8" w:color="C3E6FF"/>
            </w:tcBorders>
          </w:tcPr>
          <w:p>
            <w:pPr>
              <w:jc w:val="right"/>
              <w:ind w:right="8"/>
              <w:spacing w:after="0"/>
              <w:rPr>
                <w:sz w:val="20"/>
                <w:szCs w:val="20"/>
                <w:color w:val="auto"/>
              </w:rPr>
            </w:pPr>
            <w:r>
              <w:rPr>
                <w:rFonts w:ascii="Arial" w:cs="Arial" w:eastAsia="Arial" w:hAnsi="Arial"/>
                <w:sz w:val="14"/>
                <w:szCs w:val="14"/>
                <w:color w:val="auto"/>
              </w:rPr>
              <w:t>104,196</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262626"/>
        </w:rPr>
        <w:t>(1) Represents distributions under the Gratuity Plan, which is due to Mr. Bagai because he has earned over five years of credited service.</w:t>
      </w:r>
    </w:p>
    <w:p>
      <w:pPr>
        <w:spacing w:after="0" w:line="33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F6503"/>
        </w:rPr>
        <w:t>Nalin Miglani</w:t>
      </w:r>
    </w:p>
    <w:p>
      <w:pPr>
        <w:spacing w:after="0" w:line="1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262626"/>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8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262626"/>
        </w:rPr>
        <w:t>On a “change in control” (as defined in the 2006 Plan, 2015 Plan, or 2018 Plan, as applicable) or death, Mr. Miglani’s outstanding equity awards will vest in the same manner as described for Mr. Bagai’s outstanding equity awards beginning on page 73.</w:t>
      </w:r>
    </w:p>
    <w:p>
      <w:pPr>
        <w:spacing w:after="0" w:line="18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262626"/>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Indicative Payouts for Nalin Miglani</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700" w:type="dxa"/>
            <w:vAlign w:val="bottom"/>
            <w:tcBorders>
              <w:top w:val="single" w:sz="8" w:color="C3E6FF"/>
              <w:left w:val="single" w:sz="8" w:color="C3E6FF"/>
            </w:tcBorders>
            <w:shd w:val="clear" w:color="auto" w:fill="0093FF"/>
          </w:tcPr>
          <w:p>
            <w:pPr>
              <w:spacing w:after="0"/>
              <w:rPr>
                <w:sz w:val="24"/>
                <w:szCs w:val="24"/>
                <w:color w:val="auto"/>
              </w:rPr>
            </w:pPr>
          </w:p>
        </w:tc>
        <w:tc>
          <w:tcPr>
            <w:tcW w:w="1560" w:type="dxa"/>
            <w:vAlign w:val="bottom"/>
            <w:tcBorders>
              <w:top w:val="single" w:sz="8" w:color="C3E6FF"/>
            </w:tcBorders>
            <w:shd w:val="clear" w:color="auto" w:fill="0093FF"/>
          </w:tcPr>
          <w:p>
            <w:pPr>
              <w:spacing w:after="0"/>
              <w:rPr>
                <w:sz w:val="24"/>
                <w:szCs w:val="24"/>
                <w:color w:val="auto"/>
              </w:rPr>
            </w:pPr>
          </w:p>
        </w:tc>
        <w:tc>
          <w:tcPr>
            <w:tcW w:w="1340" w:type="dxa"/>
            <w:vAlign w:val="bottom"/>
            <w:tcBorders>
              <w:top w:val="single" w:sz="8" w:color="C3E6FF"/>
            </w:tcBorders>
            <w:shd w:val="clear" w:color="auto" w:fill="0093FF"/>
          </w:tcPr>
          <w:p>
            <w:pPr>
              <w:spacing w:after="0"/>
              <w:rPr>
                <w:sz w:val="24"/>
                <w:szCs w:val="24"/>
                <w:color w:val="auto"/>
              </w:rPr>
            </w:pPr>
          </w:p>
        </w:tc>
        <w:tc>
          <w:tcPr>
            <w:tcW w:w="1680" w:type="dxa"/>
            <w:vAlign w:val="bottom"/>
            <w:tcBorders>
              <w:top w:val="single" w:sz="8" w:color="C3E6FF"/>
            </w:tcBorders>
            <w:shd w:val="clear" w:color="auto" w:fill="0093FF"/>
          </w:tcPr>
          <w:p>
            <w:pPr>
              <w:spacing w:after="0"/>
              <w:rPr>
                <w:sz w:val="24"/>
                <w:szCs w:val="24"/>
                <w:color w:val="auto"/>
              </w:rPr>
            </w:pPr>
          </w:p>
        </w:tc>
        <w:tc>
          <w:tcPr>
            <w:tcW w:w="1580" w:type="dxa"/>
            <w:vAlign w:val="bottom"/>
            <w:tcBorders>
              <w:top w:val="single" w:sz="8" w:color="C3E6FF"/>
            </w:tcBorders>
            <w:shd w:val="clear" w:color="auto" w:fill="0093FF"/>
          </w:tcPr>
          <w:p>
            <w:pPr>
              <w:spacing w:after="0"/>
              <w:rPr>
                <w:sz w:val="24"/>
                <w:szCs w:val="24"/>
                <w:color w:val="auto"/>
              </w:rPr>
            </w:pPr>
          </w:p>
        </w:tc>
        <w:tc>
          <w:tcPr>
            <w:tcW w:w="3380" w:type="dxa"/>
            <w:vAlign w:val="bottom"/>
            <w:tcBorders>
              <w:top w:val="single" w:sz="8" w:color="C3E6FF"/>
              <w:right w:val="single" w:sz="8" w:color="C3E6FF"/>
            </w:tcBorders>
            <w:shd w:val="clear" w:color="auto" w:fill="0093FF"/>
          </w:tcPr>
          <w:p>
            <w:pPr>
              <w:jc w:val="center"/>
              <w:ind w:right="168"/>
              <w:spacing w:after="0"/>
              <w:rPr>
                <w:sz w:val="20"/>
                <w:szCs w:val="20"/>
                <w:color w:val="auto"/>
              </w:rPr>
            </w:pPr>
            <w:r>
              <w:rPr>
                <w:rFonts w:ascii="Arial" w:cs="Arial" w:eastAsia="Arial" w:hAnsi="Arial"/>
                <w:sz w:val="14"/>
                <w:szCs w:val="14"/>
                <w:b w:val="1"/>
                <w:bCs w:val="1"/>
                <w:color w:val="FFFFFF"/>
              </w:rPr>
              <w:t>Termination Without Cause or for</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560" w:type="dxa"/>
            <w:vAlign w:val="bottom"/>
            <w:shd w:val="clear" w:color="auto" w:fill="0093FF"/>
          </w:tcPr>
          <w:p>
            <w:pPr>
              <w:spacing w:after="0"/>
              <w:rPr>
                <w:sz w:val="14"/>
                <w:szCs w:val="14"/>
                <w:color w:val="auto"/>
              </w:rPr>
            </w:pPr>
          </w:p>
        </w:tc>
        <w:tc>
          <w:tcPr>
            <w:tcW w:w="1340" w:type="dxa"/>
            <w:vAlign w:val="bottom"/>
            <w:shd w:val="clear" w:color="auto" w:fill="0093FF"/>
          </w:tcPr>
          <w:p>
            <w:pPr>
              <w:spacing w:after="0"/>
              <w:rPr>
                <w:sz w:val="14"/>
                <w:szCs w:val="14"/>
                <w:color w:val="auto"/>
              </w:rPr>
            </w:pPr>
          </w:p>
        </w:tc>
        <w:tc>
          <w:tcPr>
            <w:tcW w:w="1680" w:type="dxa"/>
            <w:vAlign w:val="bottom"/>
            <w:shd w:val="clear" w:color="auto" w:fill="0093FF"/>
          </w:tcPr>
          <w:p>
            <w:pPr>
              <w:spacing w:after="0"/>
              <w:rPr>
                <w:sz w:val="14"/>
                <w:szCs w:val="14"/>
                <w:color w:val="auto"/>
              </w:rPr>
            </w:pPr>
          </w:p>
        </w:tc>
        <w:tc>
          <w:tcPr>
            <w:tcW w:w="1580" w:type="dxa"/>
            <w:vAlign w:val="bottom"/>
            <w:shd w:val="clear" w:color="auto" w:fill="0093FF"/>
          </w:tcPr>
          <w:p>
            <w:pPr>
              <w:spacing w:after="0"/>
              <w:rPr>
                <w:sz w:val="14"/>
                <w:szCs w:val="14"/>
                <w:color w:val="auto"/>
              </w:rPr>
            </w:pPr>
          </w:p>
        </w:tc>
        <w:tc>
          <w:tcPr>
            <w:tcW w:w="3380" w:type="dxa"/>
            <w:vAlign w:val="bottom"/>
            <w:tcBorders>
              <w:right w:val="single" w:sz="8" w:color="C3E6FF"/>
            </w:tcBorders>
            <w:shd w:val="clear" w:color="auto" w:fill="0093FF"/>
          </w:tcPr>
          <w:p>
            <w:pPr>
              <w:jc w:val="center"/>
              <w:ind w:right="168"/>
              <w:spacing w:after="0"/>
              <w:rPr>
                <w:sz w:val="20"/>
                <w:szCs w:val="20"/>
                <w:color w:val="auto"/>
              </w:rPr>
            </w:pPr>
            <w:r>
              <w:rPr>
                <w:rFonts w:ascii="Arial" w:cs="Arial" w:eastAsia="Arial" w:hAnsi="Arial"/>
                <w:sz w:val="14"/>
                <w:szCs w:val="14"/>
                <w:b w:val="1"/>
                <w:bCs w:val="1"/>
                <w:color w:val="FFFFFF"/>
              </w:rPr>
              <w:t>Good Reason Following Change in</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5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Death Prior to a</w:t>
            </w:r>
          </w:p>
        </w:tc>
        <w:tc>
          <w:tcPr>
            <w:tcW w:w="1340" w:type="dxa"/>
            <w:vAlign w:val="bottom"/>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Death After a</w:t>
            </w:r>
          </w:p>
        </w:tc>
        <w:tc>
          <w:tcPr>
            <w:tcW w:w="1680" w:type="dxa"/>
            <w:vAlign w:val="bottom"/>
            <w:shd w:val="clear" w:color="auto" w:fill="0093FF"/>
          </w:tcPr>
          <w:p>
            <w:pPr>
              <w:jc w:val="center"/>
              <w:ind w:right="208"/>
              <w:spacing w:after="0"/>
              <w:rPr>
                <w:sz w:val="20"/>
                <w:szCs w:val="20"/>
                <w:color w:val="auto"/>
              </w:rPr>
            </w:pPr>
            <w:r>
              <w:rPr>
                <w:rFonts w:ascii="Arial" w:cs="Arial" w:eastAsia="Arial" w:hAnsi="Arial"/>
                <w:sz w:val="14"/>
                <w:szCs w:val="14"/>
                <w:b w:val="1"/>
                <w:bCs w:val="1"/>
                <w:color w:val="FFFFFF"/>
              </w:rPr>
              <w:t>Termination for</w:t>
            </w:r>
          </w:p>
        </w:tc>
        <w:tc>
          <w:tcPr>
            <w:tcW w:w="1580" w:type="dxa"/>
            <w:vAlign w:val="bottom"/>
            <w:shd w:val="clear" w:color="auto" w:fill="0093FF"/>
          </w:tcPr>
          <w:p>
            <w:pPr>
              <w:spacing w:after="0"/>
              <w:rPr>
                <w:sz w:val="14"/>
                <w:szCs w:val="14"/>
                <w:color w:val="auto"/>
              </w:rPr>
            </w:pPr>
          </w:p>
        </w:tc>
        <w:tc>
          <w:tcPr>
            <w:tcW w:w="3380" w:type="dxa"/>
            <w:vAlign w:val="bottom"/>
            <w:tcBorders>
              <w:right w:val="single" w:sz="8" w:color="C3E6FF"/>
            </w:tcBorders>
            <w:shd w:val="clear" w:color="auto" w:fill="0093FF"/>
          </w:tcPr>
          <w:p>
            <w:pPr>
              <w:jc w:val="center"/>
              <w:ind w:right="168"/>
              <w:spacing w:after="0"/>
              <w:rPr>
                <w:sz w:val="20"/>
                <w:szCs w:val="20"/>
                <w:color w:val="auto"/>
              </w:rPr>
            </w:pPr>
            <w:r>
              <w:rPr>
                <w:rFonts w:ascii="Arial" w:cs="Arial" w:eastAsia="Arial" w:hAnsi="Arial"/>
                <w:sz w:val="14"/>
                <w:szCs w:val="14"/>
                <w:b w:val="1"/>
                <w:bCs w:val="1"/>
                <w:color w:val="FFFFFF"/>
              </w:rPr>
              <w:t>Control or Termination Without Cause</w:t>
            </w:r>
          </w:p>
        </w:tc>
        <w:tc>
          <w:tcPr>
            <w:tcW w:w="0" w:type="dxa"/>
            <w:vAlign w:val="bottom"/>
          </w:tcPr>
          <w:p>
            <w:pPr>
              <w:spacing w:after="0"/>
              <w:rPr>
                <w:sz w:val="1"/>
                <w:szCs w:val="1"/>
                <w:color w:val="auto"/>
              </w:rPr>
            </w:pPr>
          </w:p>
        </w:tc>
      </w:tr>
      <w:tr>
        <w:trPr>
          <w:trHeight w:val="162"/>
        </w:trPr>
        <w:tc>
          <w:tcPr>
            <w:tcW w:w="1700" w:type="dxa"/>
            <w:vAlign w:val="bottom"/>
            <w:tcBorders>
              <w:left w:val="single" w:sz="8" w:color="C3E6FF"/>
            </w:tcBorders>
            <w:shd w:val="clear" w:color="auto" w:fill="0093FF"/>
          </w:tcPr>
          <w:p>
            <w:pPr>
              <w:spacing w:after="0"/>
              <w:rPr>
                <w:sz w:val="14"/>
                <w:szCs w:val="14"/>
                <w:color w:val="auto"/>
              </w:rPr>
            </w:pPr>
          </w:p>
        </w:tc>
        <w:tc>
          <w:tcPr>
            <w:tcW w:w="15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Change in</w:t>
            </w:r>
          </w:p>
        </w:tc>
        <w:tc>
          <w:tcPr>
            <w:tcW w:w="1340" w:type="dxa"/>
            <w:vAlign w:val="bottom"/>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Change in</w:t>
            </w:r>
          </w:p>
        </w:tc>
        <w:tc>
          <w:tcPr>
            <w:tcW w:w="1680" w:type="dxa"/>
            <w:vAlign w:val="bottom"/>
            <w:shd w:val="clear" w:color="auto" w:fill="0093FF"/>
          </w:tcPr>
          <w:p>
            <w:pPr>
              <w:jc w:val="center"/>
              <w:ind w:right="208"/>
              <w:spacing w:after="0"/>
              <w:rPr>
                <w:sz w:val="20"/>
                <w:szCs w:val="20"/>
                <w:color w:val="auto"/>
              </w:rPr>
            </w:pPr>
            <w:r>
              <w:rPr>
                <w:rFonts w:ascii="Arial" w:cs="Arial" w:eastAsia="Arial" w:hAnsi="Arial"/>
                <w:sz w:val="14"/>
                <w:szCs w:val="14"/>
                <w:b w:val="1"/>
                <w:bCs w:val="1"/>
                <w:color w:val="FFFFFF"/>
              </w:rPr>
              <w:t>Good Reason or</w:t>
            </w:r>
          </w:p>
        </w:tc>
        <w:tc>
          <w:tcPr>
            <w:tcW w:w="1580" w:type="dxa"/>
            <w:vAlign w:val="bottom"/>
            <w:shd w:val="clear" w:color="auto" w:fill="0093FF"/>
          </w:tcPr>
          <w:p>
            <w:pPr>
              <w:jc w:val="center"/>
              <w:ind w:right="328"/>
              <w:spacing w:after="0"/>
              <w:rPr>
                <w:sz w:val="20"/>
                <w:szCs w:val="20"/>
                <w:color w:val="auto"/>
              </w:rPr>
            </w:pPr>
            <w:r>
              <w:rPr>
                <w:rFonts w:ascii="Arial" w:cs="Arial" w:eastAsia="Arial" w:hAnsi="Arial"/>
                <w:sz w:val="14"/>
                <w:szCs w:val="14"/>
                <w:b w:val="1"/>
                <w:bCs w:val="1"/>
                <w:color w:val="FFFFFF"/>
              </w:rPr>
              <w:t>Change in</w:t>
            </w:r>
          </w:p>
        </w:tc>
        <w:tc>
          <w:tcPr>
            <w:tcW w:w="3380" w:type="dxa"/>
            <w:vAlign w:val="bottom"/>
            <w:tcBorders>
              <w:right w:val="single" w:sz="8" w:color="C3E6FF"/>
            </w:tcBorders>
            <w:shd w:val="clear" w:color="auto" w:fill="0093FF"/>
          </w:tcPr>
          <w:p>
            <w:pPr>
              <w:jc w:val="center"/>
              <w:ind w:right="168"/>
              <w:spacing w:after="0"/>
              <w:rPr>
                <w:sz w:val="20"/>
                <w:szCs w:val="20"/>
                <w:color w:val="auto"/>
              </w:rPr>
            </w:pPr>
            <w:r>
              <w:rPr>
                <w:rFonts w:ascii="Arial" w:cs="Arial" w:eastAsia="Arial" w:hAnsi="Arial"/>
                <w:sz w:val="14"/>
                <w:szCs w:val="14"/>
                <w:b w:val="1"/>
                <w:bCs w:val="1"/>
                <w:color w:val="FFFFFF"/>
              </w:rPr>
              <w:t>in Specific Contemplation of Change</w:t>
            </w:r>
          </w:p>
        </w:tc>
        <w:tc>
          <w:tcPr>
            <w:tcW w:w="0" w:type="dxa"/>
            <w:vAlign w:val="bottom"/>
          </w:tcPr>
          <w:p>
            <w:pPr>
              <w:spacing w:after="0"/>
              <w:rPr>
                <w:sz w:val="1"/>
                <w:szCs w:val="1"/>
                <w:color w:val="auto"/>
              </w:rPr>
            </w:pPr>
          </w:p>
        </w:tc>
      </w:tr>
      <w:tr>
        <w:trPr>
          <w:trHeight w:val="190"/>
        </w:trPr>
        <w:tc>
          <w:tcPr>
            <w:tcW w:w="1700" w:type="dxa"/>
            <w:vAlign w:val="bottom"/>
            <w:tcBorders>
              <w:left w:val="single" w:sz="8" w:color="C3E6FF"/>
            </w:tcBorders>
            <w:shd w:val="clear" w:color="auto" w:fill="0093FF"/>
          </w:tcPr>
          <w:p>
            <w:pPr>
              <w:spacing w:after="0"/>
              <w:rPr>
                <w:sz w:val="16"/>
                <w:szCs w:val="16"/>
                <w:color w:val="auto"/>
              </w:rPr>
            </w:pPr>
          </w:p>
        </w:tc>
        <w:tc>
          <w:tcPr>
            <w:tcW w:w="1560" w:type="dxa"/>
            <w:vAlign w:val="bottom"/>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Control</w:t>
            </w:r>
          </w:p>
        </w:tc>
        <w:tc>
          <w:tcPr>
            <w:tcW w:w="1340" w:type="dxa"/>
            <w:vAlign w:val="bottom"/>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Control</w:t>
            </w:r>
          </w:p>
        </w:tc>
        <w:tc>
          <w:tcPr>
            <w:tcW w:w="1680" w:type="dxa"/>
            <w:vAlign w:val="bottom"/>
            <w:shd w:val="clear" w:color="auto" w:fill="0093FF"/>
          </w:tcPr>
          <w:p>
            <w:pPr>
              <w:jc w:val="center"/>
              <w:ind w:right="208"/>
              <w:spacing w:after="0"/>
              <w:rPr>
                <w:sz w:val="20"/>
                <w:szCs w:val="20"/>
                <w:color w:val="auto"/>
              </w:rPr>
            </w:pPr>
            <w:r>
              <w:rPr>
                <w:rFonts w:ascii="Arial" w:cs="Arial" w:eastAsia="Arial" w:hAnsi="Arial"/>
                <w:sz w:val="14"/>
                <w:szCs w:val="14"/>
                <w:b w:val="1"/>
                <w:bCs w:val="1"/>
                <w:color w:val="FFFFFF"/>
              </w:rPr>
              <w:t>Without Cause</w:t>
            </w:r>
          </w:p>
        </w:tc>
        <w:tc>
          <w:tcPr>
            <w:tcW w:w="1580" w:type="dxa"/>
            <w:vAlign w:val="bottom"/>
            <w:shd w:val="clear" w:color="auto" w:fill="0093FF"/>
          </w:tcPr>
          <w:p>
            <w:pPr>
              <w:jc w:val="center"/>
              <w:ind w:right="328"/>
              <w:spacing w:after="0"/>
              <w:rPr>
                <w:sz w:val="20"/>
                <w:szCs w:val="20"/>
                <w:color w:val="auto"/>
              </w:rPr>
            </w:pPr>
            <w:r>
              <w:rPr>
                <w:rFonts w:ascii="Arial" w:cs="Arial" w:eastAsia="Arial" w:hAnsi="Arial"/>
                <w:sz w:val="14"/>
                <w:szCs w:val="14"/>
                <w:b w:val="1"/>
                <w:bCs w:val="1"/>
                <w:color w:val="FFFFFF"/>
              </w:rPr>
              <w:t>Control</w:t>
            </w:r>
          </w:p>
        </w:tc>
        <w:tc>
          <w:tcPr>
            <w:tcW w:w="3380" w:type="dxa"/>
            <w:vAlign w:val="bottom"/>
            <w:tcBorders>
              <w:right w:val="single" w:sz="8" w:color="C3E6FF"/>
            </w:tcBorders>
            <w:shd w:val="clear" w:color="auto" w:fill="0093FF"/>
          </w:tcPr>
          <w:p>
            <w:pPr>
              <w:jc w:val="center"/>
              <w:ind w:right="148"/>
              <w:spacing w:after="0"/>
              <w:rPr>
                <w:sz w:val="20"/>
                <w:szCs w:val="20"/>
                <w:color w:val="auto"/>
              </w:rPr>
            </w:pPr>
            <w:r>
              <w:rPr>
                <w:rFonts w:ascii="Arial" w:cs="Arial" w:eastAsia="Arial" w:hAnsi="Arial"/>
                <w:sz w:val="14"/>
                <w:szCs w:val="14"/>
                <w:b w:val="1"/>
                <w:bCs w:val="1"/>
                <w:color w:val="FFFFFF"/>
              </w:rPr>
              <w:t>in Control</w:t>
            </w:r>
          </w:p>
        </w:tc>
        <w:tc>
          <w:tcPr>
            <w:tcW w:w="0" w:type="dxa"/>
            <w:vAlign w:val="bottom"/>
          </w:tcPr>
          <w:p>
            <w:pPr>
              <w:spacing w:after="0"/>
              <w:rPr>
                <w:sz w:val="1"/>
                <w:szCs w:val="1"/>
                <w:color w:val="auto"/>
              </w:rPr>
            </w:pPr>
          </w:p>
        </w:tc>
      </w:tr>
      <w:tr>
        <w:trPr>
          <w:trHeight w:val="188"/>
        </w:trPr>
        <w:tc>
          <w:tcPr>
            <w:tcW w:w="170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Payments upon</w:t>
            </w:r>
          </w:p>
        </w:tc>
        <w:tc>
          <w:tcPr>
            <w:tcW w:w="1560" w:type="dxa"/>
            <w:vAlign w:val="bottom"/>
            <w:vMerge w:val="restart"/>
            <w:shd w:val="clear" w:color="auto" w:fill="0093FF"/>
          </w:tcPr>
          <w:p>
            <w:pPr>
              <w:jc w:val="center"/>
              <w:ind w:right="108"/>
              <w:spacing w:after="0"/>
              <w:rPr>
                <w:sz w:val="20"/>
                <w:szCs w:val="20"/>
                <w:color w:val="auto"/>
              </w:rPr>
            </w:pPr>
            <w:r>
              <w:rPr>
                <w:rFonts w:ascii="Arial" w:cs="Arial" w:eastAsia="Arial" w:hAnsi="Arial"/>
                <w:sz w:val="14"/>
                <w:szCs w:val="14"/>
                <w:b w:val="1"/>
                <w:bCs w:val="1"/>
                <w:color w:val="FFFFFF"/>
              </w:rPr>
              <w:t>($)</w:t>
            </w:r>
          </w:p>
        </w:tc>
        <w:tc>
          <w:tcPr>
            <w:tcW w:w="1340" w:type="dxa"/>
            <w:vAlign w:val="bottom"/>
            <w:vMerge w:val="restart"/>
            <w:shd w:val="clear" w:color="auto" w:fill="0093FF"/>
          </w:tcPr>
          <w:p>
            <w:pPr>
              <w:jc w:val="center"/>
              <w:ind w:right="88"/>
              <w:spacing w:after="0"/>
              <w:rPr>
                <w:sz w:val="20"/>
                <w:szCs w:val="20"/>
                <w:color w:val="auto"/>
              </w:rPr>
            </w:pPr>
            <w:r>
              <w:rPr>
                <w:rFonts w:ascii="Arial" w:cs="Arial" w:eastAsia="Arial" w:hAnsi="Arial"/>
                <w:sz w:val="14"/>
                <w:szCs w:val="14"/>
                <w:b w:val="1"/>
                <w:bCs w:val="1"/>
                <w:color w:val="FFFFFF"/>
              </w:rPr>
              <w:t>($)</w:t>
            </w:r>
          </w:p>
        </w:tc>
        <w:tc>
          <w:tcPr>
            <w:tcW w:w="1680" w:type="dxa"/>
            <w:vAlign w:val="bottom"/>
            <w:vMerge w:val="restart"/>
            <w:shd w:val="clear" w:color="auto" w:fill="0093FF"/>
          </w:tcPr>
          <w:p>
            <w:pPr>
              <w:jc w:val="center"/>
              <w:ind w:right="208"/>
              <w:spacing w:after="0"/>
              <w:rPr>
                <w:sz w:val="20"/>
                <w:szCs w:val="20"/>
                <w:color w:val="auto"/>
              </w:rPr>
            </w:pPr>
            <w:r>
              <w:rPr>
                <w:rFonts w:ascii="Arial" w:cs="Arial" w:eastAsia="Arial" w:hAnsi="Arial"/>
                <w:sz w:val="14"/>
                <w:szCs w:val="14"/>
                <w:b w:val="1"/>
                <w:bCs w:val="1"/>
                <w:color w:val="FFFFFF"/>
                <w:w w:val="93"/>
              </w:rPr>
              <w:t>($)</w:t>
            </w:r>
          </w:p>
        </w:tc>
        <w:tc>
          <w:tcPr>
            <w:tcW w:w="1580" w:type="dxa"/>
            <w:vAlign w:val="bottom"/>
            <w:vMerge w:val="restart"/>
            <w:shd w:val="clear" w:color="auto" w:fill="0093FF"/>
          </w:tcPr>
          <w:p>
            <w:pPr>
              <w:jc w:val="center"/>
              <w:ind w:right="328"/>
              <w:spacing w:after="0"/>
              <w:rPr>
                <w:sz w:val="20"/>
                <w:szCs w:val="20"/>
                <w:color w:val="auto"/>
              </w:rPr>
            </w:pPr>
            <w:r>
              <w:rPr>
                <w:rFonts w:ascii="Arial" w:cs="Arial" w:eastAsia="Arial" w:hAnsi="Arial"/>
                <w:sz w:val="14"/>
                <w:szCs w:val="14"/>
                <w:b w:val="1"/>
                <w:bCs w:val="1"/>
                <w:color w:val="FFFFFF"/>
              </w:rPr>
              <w:t>($)</w:t>
            </w:r>
          </w:p>
        </w:tc>
        <w:tc>
          <w:tcPr>
            <w:tcW w:w="3380" w:type="dxa"/>
            <w:vAlign w:val="bottom"/>
            <w:tcBorders>
              <w:right w:val="single" w:sz="8" w:color="C3E6FF"/>
            </w:tcBorders>
            <w:vMerge w:val="restart"/>
            <w:shd w:val="clear" w:color="auto" w:fill="0093FF"/>
          </w:tcPr>
          <w:p>
            <w:pPr>
              <w:jc w:val="center"/>
              <w:ind w:right="1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36"/>
        </w:trPr>
        <w:tc>
          <w:tcPr>
            <w:tcW w:w="1700" w:type="dxa"/>
            <w:vAlign w:val="bottom"/>
            <w:tcBorders>
              <w:left w:val="single" w:sz="8" w:color="C3E6FF"/>
            </w:tcBorders>
            <w:vMerge w:val="restart"/>
            <w:shd w:val="clear" w:color="auto" w:fill="0093FF"/>
          </w:tcPr>
          <w:p>
            <w:pPr>
              <w:ind w:left="80"/>
              <w:spacing w:after="0"/>
              <w:rPr>
                <w:sz w:val="20"/>
                <w:szCs w:val="20"/>
                <w:color w:val="auto"/>
              </w:rPr>
            </w:pPr>
            <w:r>
              <w:rPr>
                <w:rFonts w:ascii="Arial" w:cs="Arial" w:eastAsia="Arial" w:hAnsi="Arial"/>
                <w:sz w:val="14"/>
                <w:szCs w:val="14"/>
                <w:b w:val="1"/>
                <w:bCs w:val="1"/>
                <w:color w:val="FFFFFF"/>
              </w:rPr>
              <w:t>Termination</w:t>
            </w:r>
          </w:p>
        </w:tc>
        <w:tc>
          <w:tcPr>
            <w:tcW w:w="1560" w:type="dxa"/>
            <w:vAlign w:val="bottom"/>
            <w:vMerge w:val="continue"/>
            <w:shd w:val="clear" w:color="auto" w:fill="0093FF"/>
          </w:tcPr>
          <w:p>
            <w:pPr>
              <w:spacing w:after="0"/>
              <w:rPr>
                <w:sz w:val="11"/>
                <w:szCs w:val="11"/>
                <w:color w:val="auto"/>
              </w:rPr>
            </w:pPr>
          </w:p>
        </w:tc>
        <w:tc>
          <w:tcPr>
            <w:tcW w:w="1340" w:type="dxa"/>
            <w:vAlign w:val="bottom"/>
            <w:vMerge w:val="continue"/>
            <w:shd w:val="clear" w:color="auto" w:fill="0093FF"/>
          </w:tcPr>
          <w:p>
            <w:pPr>
              <w:spacing w:after="0"/>
              <w:rPr>
                <w:sz w:val="11"/>
                <w:szCs w:val="11"/>
                <w:color w:val="auto"/>
              </w:rPr>
            </w:pPr>
          </w:p>
        </w:tc>
        <w:tc>
          <w:tcPr>
            <w:tcW w:w="1680" w:type="dxa"/>
            <w:vAlign w:val="bottom"/>
            <w:vMerge w:val="continue"/>
            <w:shd w:val="clear" w:color="auto" w:fill="0093FF"/>
          </w:tcPr>
          <w:p>
            <w:pPr>
              <w:spacing w:after="0"/>
              <w:rPr>
                <w:sz w:val="11"/>
                <w:szCs w:val="11"/>
                <w:color w:val="auto"/>
              </w:rPr>
            </w:pPr>
          </w:p>
        </w:tc>
        <w:tc>
          <w:tcPr>
            <w:tcW w:w="1580" w:type="dxa"/>
            <w:vAlign w:val="bottom"/>
            <w:vMerge w:val="continue"/>
            <w:shd w:val="clear" w:color="auto" w:fill="0093FF"/>
          </w:tcPr>
          <w:p>
            <w:pPr>
              <w:spacing w:after="0"/>
              <w:rPr>
                <w:sz w:val="11"/>
                <w:szCs w:val="11"/>
                <w:color w:val="auto"/>
              </w:rPr>
            </w:pPr>
          </w:p>
        </w:tc>
        <w:tc>
          <w:tcPr>
            <w:tcW w:w="3380" w:type="dxa"/>
            <w:vAlign w:val="bottom"/>
            <w:tcBorders>
              <w:right w:val="single" w:sz="8" w:color="C3E6FF"/>
            </w:tcBorders>
            <w:vMerge w:val="continue"/>
            <w:shd w:val="clear" w:color="auto" w:fill="0093FF"/>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00" w:type="dxa"/>
            <w:vAlign w:val="bottom"/>
            <w:tcBorders>
              <w:left w:val="single" w:sz="8" w:color="C3E6FF"/>
            </w:tcBorders>
            <w:vMerge w:val="continue"/>
            <w:shd w:val="clear" w:color="auto" w:fill="0093FF"/>
          </w:tcPr>
          <w:p>
            <w:pPr>
              <w:spacing w:after="0"/>
              <w:rPr>
                <w:sz w:val="4"/>
                <w:szCs w:val="4"/>
                <w:color w:val="auto"/>
              </w:rPr>
            </w:pPr>
          </w:p>
        </w:tc>
        <w:tc>
          <w:tcPr>
            <w:tcW w:w="1560" w:type="dxa"/>
            <w:vAlign w:val="bottom"/>
            <w:shd w:val="clear" w:color="auto" w:fill="0093FF"/>
          </w:tcPr>
          <w:p>
            <w:pPr>
              <w:spacing w:after="0"/>
              <w:rPr>
                <w:sz w:val="4"/>
                <w:szCs w:val="4"/>
                <w:color w:val="auto"/>
              </w:rPr>
            </w:pPr>
          </w:p>
        </w:tc>
        <w:tc>
          <w:tcPr>
            <w:tcW w:w="1340" w:type="dxa"/>
            <w:vAlign w:val="bottom"/>
            <w:shd w:val="clear" w:color="auto" w:fill="0093FF"/>
          </w:tcPr>
          <w:p>
            <w:pPr>
              <w:spacing w:after="0"/>
              <w:rPr>
                <w:sz w:val="4"/>
                <w:szCs w:val="4"/>
                <w:color w:val="auto"/>
              </w:rPr>
            </w:pPr>
          </w:p>
        </w:tc>
        <w:tc>
          <w:tcPr>
            <w:tcW w:w="1680" w:type="dxa"/>
            <w:vAlign w:val="bottom"/>
            <w:shd w:val="clear" w:color="auto" w:fill="0093FF"/>
          </w:tcPr>
          <w:p>
            <w:pPr>
              <w:spacing w:after="0"/>
              <w:rPr>
                <w:sz w:val="4"/>
                <w:szCs w:val="4"/>
                <w:color w:val="auto"/>
              </w:rPr>
            </w:pPr>
          </w:p>
        </w:tc>
        <w:tc>
          <w:tcPr>
            <w:tcW w:w="1580" w:type="dxa"/>
            <w:vAlign w:val="bottom"/>
            <w:shd w:val="clear" w:color="auto" w:fill="0093FF"/>
          </w:tcPr>
          <w:p>
            <w:pPr>
              <w:spacing w:after="0"/>
              <w:rPr>
                <w:sz w:val="4"/>
                <w:szCs w:val="4"/>
                <w:color w:val="auto"/>
              </w:rPr>
            </w:pPr>
          </w:p>
        </w:tc>
        <w:tc>
          <w:tcPr>
            <w:tcW w:w="3380" w:type="dxa"/>
            <w:vAlign w:val="bottom"/>
            <w:tcBorders>
              <w:right w:val="single" w:sz="8" w:color="C3E6FF"/>
            </w:tcBorders>
            <w:shd w:val="clear" w:color="auto" w:fill="0093FF"/>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shd w:val="clear" w:color="auto" w:fill="0093FF"/>
          </w:tcPr>
          <w:p>
            <w:pPr>
              <w:spacing w:after="0"/>
              <w:rPr>
                <w:sz w:val="8"/>
                <w:szCs w:val="8"/>
                <w:color w:val="auto"/>
              </w:rPr>
            </w:pPr>
          </w:p>
        </w:tc>
        <w:tc>
          <w:tcPr>
            <w:tcW w:w="1560" w:type="dxa"/>
            <w:vAlign w:val="bottom"/>
            <w:shd w:val="clear" w:color="auto" w:fill="0093FF"/>
          </w:tcPr>
          <w:p>
            <w:pPr>
              <w:spacing w:after="0"/>
              <w:rPr>
                <w:sz w:val="8"/>
                <w:szCs w:val="8"/>
                <w:color w:val="auto"/>
              </w:rPr>
            </w:pPr>
          </w:p>
        </w:tc>
        <w:tc>
          <w:tcPr>
            <w:tcW w:w="1340" w:type="dxa"/>
            <w:vAlign w:val="bottom"/>
            <w:shd w:val="clear" w:color="auto" w:fill="0093FF"/>
          </w:tcPr>
          <w:p>
            <w:pPr>
              <w:spacing w:after="0"/>
              <w:rPr>
                <w:sz w:val="8"/>
                <w:szCs w:val="8"/>
                <w:color w:val="auto"/>
              </w:rPr>
            </w:pPr>
          </w:p>
        </w:tc>
        <w:tc>
          <w:tcPr>
            <w:tcW w:w="1680" w:type="dxa"/>
            <w:vAlign w:val="bottom"/>
            <w:shd w:val="clear" w:color="auto" w:fill="0093FF"/>
          </w:tcPr>
          <w:p>
            <w:pPr>
              <w:spacing w:after="0"/>
              <w:rPr>
                <w:sz w:val="8"/>
                <w:szCs w:val="8"/>
                <w:color w:val="auto"/>
              </w:rPr>
            </w:pPr>
          </w:p>
        </w:tc>
        <w:tc>
          <w:tcPr>
            <w:tcW w:w="1580" w:type="dxa"/>
            <w:vAlign w:val="bottom"/>
            <w:shd w:val="clear" w:color="auto" w:fill="0093FF"/>
          </w:tcPr>
          <w:p>
            <w:pPr>
              <w:spacing w:after="0"/>
              <w:rPr>
                <w:sz w:val="8"/>
                <w:szCs w:val="8"/>
                <w:color w:val="auto"/>
              </w:rPr>
            </w:pPr>
          </w:p>
        </w:tc>
        <w:tc>
          <w:tcPr>
            <w:tcW w:w="3380" w:type="dxa"/>
            <w:vAlign w:val="bottom"/>
            <w:tcBorders>
              <w:right w:val="single" w:sz="8" w:color="C3E6FF"/>
            </w:tcBorders>
            <w:shd w:val="clear" w:color="auto" w:fill="0093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Base salary payout</w:t>
            </w:r>
          </w:p>
        </w:tc>
        <w:tc>
          <w:tcPr>
            <w:tcW w:w="15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F3F9FF"/>
          </w:tcPr>
          <w:p>
            <w:pPr>
              <w:jc w:val="right"/>
              <w:ind w:right="168"/>
              <w:spacing w:after="0"/>
              <w:rPr>
                <w:sz w:val="20"/>
                <w:szCs w:val="20"/>
                <w:color w:val="auto"/>
              </w:rPr>
            </w:pPr>
            <w:r>
              <w:rPr>
                <w:rFonts w:ascii="Arial" w:cs="Arial" w:eastAsia="Arial" w:hAnsi="Arial"/>
                <w:sz w:val="14"/>
                <w:szCs w:val="14"/>
                <w:color w:val="auto"/>
              </w:rPr>
              <w:t>450,000</w:t>
            </w:r>
          </w:p>
        </w:tc>
        <w:tc>
          <w:tcPr>
            <w:tcW w:w="1580" w:type="dxa"/>
            <w:vAlign w:val="bottom"/>
            <w:shd w:val="clear" w:color="auto" w:fill="F3F9FF"/>
          </w:tcPr>
          <w:p>
            <w:pPr>
              <w:jc w:val="right"/>
              <w:ind w:right="188"/>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shd w:val="clear" w:color="auto" w:fill="F3F9FF"/>
          </w:tcPr>
          <w:p>
            <w:pPr>
              <w:spacing w:after="0"/>
              <w:rPr>
                <w:sz w:val="8"/>
                <w:szCs w:val="8"/>
                <w:color w:val="auto"/>
              </w:rPr>
            </w:pPr>
          </w:p>
        </w:tc>
        <w:tc>
          <w:tcPr>
            <w:tcW w:w="1560" w:type="dxa"/>
            <w:vAlign w:val="bottom"/>
            <w:shd w:val="clear" w:color="auto" w:fill="F3F9FF"/>
          </w:tcPr>
          <w:p>
            <w:pPr>
              <w:spacing w:after="0"/>
              <w:rPr>
                <w:sz w:val="8"/>
                <w:szCs w:val="8"/>
                <w:color w:val="auto"/>
              </w:rPr>
            </w:pPr>
          </w:p>
        </w:tc>
        <w:tc>
          <w:tcPr>
            <w:tcW w:w="1340" w:type="dxa"/>
            <w:vAlign w:val="bottom"/>
            <w:shd w:val="clear" w:color="auto" w:fill="F3F9FF"/>
          </w:tcPr>
          <w:p>
            <w:pPr>
              <w:spacing w:after="0"/>
              <w:rPr>
                <w:sz w:val="8"/>
                <w:szCs w:val="8"/>
                <w:color w:val="auto"/>
              </w:rPr>
            </w:pPr>
          </w:p>
        </w:tc>
        <w:tc>
          <w:tcPr>
            <w:tcW w:w="1680" w:type="dxa"/>
            <w:vAlign w:val="bottom"/>
            <w:shd w:val="clear" w:color="auto" w:fill="F3F9FF"/>
          </w:tcPr>
          <w:p>
            <w:pPr>
              <w:spacing w:after="0"/>
              <w:rPr>
                <w:sz w:val="8"/>
                <w:szCs w:val="8"/>
                <w:color w:val="auto"/>
              </w:rPr>
            </w:pPr>
          </w:p>
        </w:tc>
        <w:tc>
          <w:tcPr>
            <w:tcW w:w="1580" w:type="dxa"/>
            <w:vAlign w:val="bottom"/>
            <w:shd w:val="clear" w:color="auto" w:fill="F3F9FF"/>
          </w:tcPr>
          <w:p>
            <w:pPr>
              <w:spacing w:after="0"/>
              <w:rPr>
                <w:sz w:val="8"/>
                <w:szCs w:val="8"/>
                <w:color w:val="auto"/>
              </w:rPr>
            </w:pPr>
          </w:p>
        </w:tc>
        <w:tc>
          <w:tcPr>
            <w:tcW w:w="338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Borders>
              <w:left w:val="single" w:sz="8" w:color="C3E6FF"/>
            </w:tcBorders>
          </w:tcPr>
          <w:p>
            <w:pPr>
              <w:ind w:left="80"/>
              <w:spacing w:after="0"/>
              <w:rPr>
                <w:sz w:val="20"/>
                <w:szCs w:val="20"/>
                <w:color w:val="auto"/>
              </w:rPr>
            </w:pPr>
            <w:r>
              <w:rPr>
                <w:rFonts w:ascii="Arial" w:cs="Arial" w:eastAsia="Arial" w:hAnsi="Arial"/>
                <w:sz w:val="14"/>
                <w:szCs w:val="14"/>
                <w:color w:val="auto"/>
              </w:rPr>
              <w:t>Restricted stock units</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1,115,389</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1,115,389</w:t>
            </w:r>
          </w:p>
        </w:tc>
        <w:tc>
          <w:tcPr>
            <w:tcW w:w="16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88"/>
              <w:spacing w:after="0"/>
              <w:rPr>
                <w:sz w:val="20"/>
                <w:szCs w:val="20"/>
                <w:color w:val="auto"/>
              </w:rPr>
            </w:pPr>
            <w:r>
              <w:rPr>
                <w:rFonts w:ascii="Arial" w:cs="Arial" w:eastAsia="Arial" w:hAnsi="Arial"/>
                <w:sz w:val="14"/>
                <w:szCs w:val="14"/>
                <w:color w:val="auto"/>
              </w:rPr>
              <w:t>446,888</w:t>
            </w:r>
          </w:p>
        </w:tc>
        <w:tc>
          <w:tcPr>
            <w:tcW w:w="3380" w:type="dxa"/>
            <w:vAlign w:val="bottom"/>
            <w:tcBorders>
              <w:right w:val="single" w:sz="8" w:color="C3E6FF"/>
            </w:tcBorders>
          </w:tcPr>
          <w:p>
            <w:pPr>
              <w:jc w:val="right"/>
              <w:ind w:right="8"/>
              <w:spacing w:after="0"/>
              <w:rPr>
                <w:sz w:val="20"/>
                <w:szCs w:val="20"/>
                <w:color w:val="auto"/>
              </w:rPr>
            </w:pPr>
            <w:r>
              <w:rPr>
                <w:rFonts w:ascii="Arial" w:cs="Arial" w:eastAsia="Arial" w:hAnsi="Arial"/>
                <w:sz w:val="14"/>
                <w:szCs w:val="14"/>
                <w:color w:val="auto"/>
              </w:rPr>
              <w:t>1,115,389</w:t>
            </w:r>
          </w:p>
        </w:tc>
        <w:tc>
          <w:tcPr>
            <w:tcW w:w="0" w:type="dxa"/>
            <w:vAlign w:val="bottom"/>
          </w:tcPr>
          <w:p>
            <w:pPr>
              <w:spacing w:after="0"/>
              <w:rPr>
                <w:sz w:val="1"/>
                <w:szCs w:val="1"/>
                <w:color w:val="auto"/>
              </w:rPr>
            </w:pPr>
          </w:p>
        </w:tc>
      </w:tr>
      <w:tr>
        <w:trPr>
          <w:trHeight w:val="93"/>
        </w:trPr>
        <w:tc>
          <w:tcPr>
            <w:tcW w:w="1700" w:type="dxa"/>
            <w:vAlign w:val="bottom"/>
            <w:tcBorders>
              <w:left w:val="single" w:sz="8" w:color="C3E6FF"/>
            </w:tcBorders>
          </w:tcPr>
          <w:p>
            <w:pPr>
              <w:spacing w:after="0"/>
              <w:rPr>
                <w:sz w:val="8"/>
                <w:szCs w:val="8"/>
                <w:color w:val="auto"/>
              </w:rPr>
            </w:pPr>
          </w:p>
        </w:tc>
        <w:tc>
          <w:tcPr>
            <w:tcW w:w="1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38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7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Performance restricted</w:t>
            </w:r>
          </w:p>
        </w:tc>
        <w:tc>
          <w:tcPr>
            <w:tcW w:w="1560" w:type="dxa"/>
            <w:vAlign w:val="bottom"/>
            <w:shd w:val="clear" w:color="auto" w:fill="F3F9FF"/>
          </w:tcPr>
          <w:p>
            <w:pPr>
              <w:spacing w:after="0"/>
              <w:rPr>
                <w:sz w:val="23"/>
                <w:szCs w:val="23"/>
                <w:color w:val="auto"/>
              </w:rPr>
            </w:pPr>
          </w:p>
        </w:tc>
        <w:tc>
          <w:tcPr>
            <w:tcW w:w="1340" w:type="dxa"/>
            <w:vAlign w:val="bottom"/>
            <w:shd w:val="clear" w:color="auto" w:fill="F3F9FF"/>
          </w:tcPr>
          <w:p>
            <w:pPr>
              <w:spacing w:after="0"/>
              <w:rPr>
                <w:sz w:val="23"/>
                <w:szCs w:val="23"/>
                <w:color w:val="auto"/>
              </w:rPr>
            </w:pPr>
          </w:p>
        </w:tc>
        <w:tc>
          <w:tcPr>
            <w:tcW w:w="1680" w:type="dxa"/>
            <w:vAlign w:val="bottom"/>
            <w:shd w:val="clear" w:color="auto" w:fill="F3F9FF"/>
          </w:tcPr>
          <w:p>
            <w:pPr>
              <w:spacing w:after="0"/>
              <w:rPr>
                <w:sz w:val="23"/>
                <w:szCs w:val="23"/>
                <w:color w:val="auto"/>
              </w:rPr>
            </w:pPr>
          </w:p>
        </w:tc>
        <w:tc>
          <w:tcPr>
            <w:tcW w:w="1580" w:type="dxa"/>
            <w:vAlign w:val="bottom"/>
            <w:shd w:val="clear" w:color="auto" w:fill="F3F9FF"/>
          </w:tcPr>
          <w:p>
            <w:pPr>
              <w:spacing w:after="0"/>
              <w:rPr>
                <w:sz w:val="23"/>
                <w:szCs w:val="23"/>
                <w:color w:val="auto"/>
              </w:rPr>
            </w:pPr>
          </w:p>
        </w:tc>
        <w:tc>
          <w:tcPr>
            <w:tcW w:w="3380" w:type="dxa"/>
            <w:vAlign w:val="bottom"/>
            <w:tcBorders>
              <w:right w:val="single" w:sz="8" w:color="C3E6FF"/>
            </w:tcBorders>
            <w:shd w:val="clear" w:color="auto" w:fill="F3F9FF"/>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7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stock units</w:t>
            </w:r>
          </w:p>
        </w:tc>
        <w:tc>
          <w:tcPr>
            <w:tcW w:w="156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439,798</w:t>
            </w:r>
          </w:p>
        </w:tc>
        <w:tc>
          <w:tcPr>
            <w:tcW w:w="1340" w:type="dxa"/>
            <w:vAlign w:val="bottom"/>
            <w:shd w:val="clear" w:color="auto" w:fill="F3F9FF"/>
          </w:tcPr>
          <w:p>
            <w:pPr>
              <w:jc w:val="right"/>
              <w:ind w:right="68"/>
              <w:spacing w:after="0"/>
              <w:rPr>
                <w:sz w:val="20"/>
                <w:szCs w:val="20"/>
                <w:color w:val="auto"/>
              </w:rPr>
            </w:pPr>
            <w:r>
              <w:rPr>
                <w:rFonts w:ascii="Arial" w:cs="Arial" w:eastAsia="Arial" w:hAnsi="Arial"/>
                <w:sz w:val="14"/>
                <w:szCs w:val="14"/>
                <w:color w:val="auto"/>
              </w:rPr>
              <w:t>762,844</w:t>
            </w:r>
          </w:p>
        </w:tc>
        <w:tc>
          <w:tcPr>
            <w:tcW w:w="1680" w:type="dxa"/>
            <w:vAlign w:val="bottom"/>
            <w:shd w:val="clear" w:color="auto" w:fill="F3F9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F3F9FF"/>
          </w:tcPr>
          <w:p>
            <w:pPr>
              <w:jc w:val="right"/>
              <w:ind w:right="188"/>
              <w:spacing w:after="0"/>
              <w:rPr>
                <w:sz w:val="20"/>
                <w:szCs w:val="20"/>
                <w:color w:val="auto"/>
              </w:rPr>
            </w:pPr>
            <w:r>
              <w:rPr>
                <w:rFonts w:ascii="Arial" w:cs="Arial" w:eastAsia="Arial" w:hAnsi="Arial"/>
                <w:sz w:val="14"/>
                <w:szCs w:val="14"/>
                <w:color w:val="auto"/>
              </w:rPr>
              <w:t>619,887</w:t>
            </w:r>
          </w:p>
        </w:tc>
        <w:tc>
          <w:tcPr>
            <w:tcW w:w="338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762,844</w:t>
            </w:r>
          </w:p>
        </w:tc>
        <w:tc>
          <w:tcPr>
            <w:tcW w:w="0" w:type="dxa"/>
            <w:vAlign w:val="bottom"/>
          </w:tcPr>
          <w:p>
            <w:pPr>
              <w:spacing w:after="0"/>
              <w:rPr>
                <w:sz w:val="1"/>
                <w:szCs w:val="1"/>
                <w:color w:val="auto"/>
              </w:rPr>
            </w:pPr>
          </w:p>
        </w:tc>
      </w:tr>
      <w:tr>
        <w:trPr>
          <w:trHeight w:val="100"/>
        </w:trPr>
        <w:tc>
          <w:tcPr>
            <w:tcW w:w="1700" w:type="dxa"/>
            <w:vAlign w:val="bottom"/>
            <w:tcBorders>
              <w:left w:val="single" w:sz="8" w:color="C3E6FF"/>
              <w:bottom w:val="single" w:sz="8" w:color="C3E6FF"/>
            </w:tcBorders>
            <w:shd w:val="clear" w:color="auto" w:fill="F3F9FF"/>
          </w:tcPr>
          <w:p>
            <w:pPr>
              <w:spacing w:after="0"/>
              <w:rPr>
                <w:sz w:val="8"/>
                <w:szCs w:val="8"/>
                <w:color w:val="auto"/>
              </w:rPr>
            </w:pPr>
          </w:p>
        </w:tc>
        <w:tc>
          <w:tcPr>
            <w:tcW w:w="1560" w:type="dxa"/>
            <w:vAlign w:val="bottom"/>
            <w:tcBorders>
              <w:bottom w:val="single" w:sz="8" w:color="C3E6FF"/>
            </w:tcBorders>
            <w:shd w:val="clear" w:color="auto" w:fill="F3F9FF"/>
          </w:tcPr>
          <w:p>
            <w:pPr>
              <w:spacing w:after="0"/>
              <w:rPr>
                <w:sz w:val="8"/>
                <w:szCs w:val="8"/>
                <w:color w:val="auto"/>
              </w:rPr>
            </w:pPr>
          </w:p>
        </w:tc>
        <w:tc>
          <w:tcPr>
            <w:tcW w:w="1340" w:type="dxa"/>
            <w:vAlign w:val="bottom"/>
            <w:tcBorders>
              <w:bottom w:val="single" w:sz="8" w:color="C3E6FF"/>
            </w:tcBorders>
            <w:shd w:val="clear" w:color="auto" w:fill="F3F9FF"/>
          </w:tcPr>
          <w:p>
            <w:pPr>
              <w:spacing w:after="0"/>
              <w:rPr>
                <w:sz w:val="8"/>
                <w:szCs w:val="8"/>
                <w:color w:val="auto"/>
              </w:rPr>
            </w:pPr>
          </w:p>
        </w:tc>
        <w:tc>
          <w:tcPr>
            <w:tcW w:w="1680" w:type="dxa"/>
            <w:vAlign w:val="bottom"/>
            <w:tcBorders>
              <w:bottom w:val="single" w:sz="8" w:color="C3E6FF"/>
            </w:tcBorders>
            <w:shd w:val="clear" w:color="auto" w:fill="F3F9FF"/>
          </w:tcPr>
          <w:p>
            <w:pPr>
              <w:spacing w:after="0"/>
              <w:rPr>
                <w:sz w:val="8"/>
                <w:szCs w:val="8"/>
                <w:color w:val="auto"/>
              </w:rPr>
            </w:pPr>
          </w:p>
        </w:tc>
        <w:tc>
          <w:tcPr>
            <w:tcW w:w="1580" w:type="dxa"/>
            <w:vAlign w:val="bottom"/>
            <w:tcBorders>
              <w:bottom w:val="single" w:sz="8" w:color="C3E6FF"/>
            </w:tcBorders>
            <w:shd w:val="clear" w:color="auto" w:fill="F3F9FF"/>
          </w:tcPr>
          <w:p>
            <w:pPr>
              <w:spacing w:after="0"/>
              <w:rPr>
                <w:sz w:val="8"/>
                <w:szCs w:val="8"/>
                <w:color w:val="auto"/>
              </w:rPr>
            </w:pPr>
          </w:p>
        </w:tc>
        <w:tc>
          <w:tcPr>
            <w:tcW w:w="3380" w:type="dxa"/>
            <w:vAlign w:val="bottom"/>
            <w:tcBorders>
              <w:bottom w:val="single" w:sz="8" w:color="C3E6FF"/>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Vikas Bhalla</w:t>
      </w:r>
    </w:p>
    <w:p>
      <w:pPr>
        <w:spacing w:after="0" w:line="1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262626"/>
        </w:rPr>
        <w:t>Either Mr. Bhalla or we may terminate Mr. Bhalla’s employment at any time with three months’ notice (or pay three months’ salary in lieu of notice). If Mr. Bhalla is terminated by us without “cause” (other than due to disability) at any time following a change in control or in specific contemplation of a change in control, or if Mr. Bhalla resigns for “good reason” after at least six months following a “change in control” (as defined in the 2015 Plan), Mr. Bhalla will receive a cash severance payment equal to twelve months’ of his then-current annual fixed compensation, payable in twelve equal monthly installments.</w:t>
      </w:r>
    </w:p>
    <w:p>
      <w:pPr>
        <w:spacing w:after="0" w:line="189"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262626"/>
        </w:rPr>
        <w:t>On a “change in control” (as defined in the 2006 Plan, 2015 Plan, or 2018 Plan, as applicable) or death, Mr. Bhalla’s outstanding equity awards will vest in the same manner as described for Mr. Bagai’s outstanding equity awards beginning on page 73.</w:t>
      </w:r>
    </w:p>
    <w:p>
      <w:pPr>
        <w:spacing w:after="0" w:line="183"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262626"/>
        </w:rPr>
        <w:t>Mr. Bhalla’s severance payments and termination-related equity acceleration are subject to his execution of a waiver and release of claims against us. Mr. Bhalla is subject to confidentiality restrictions at all times, as well as noncompetition and nonsolicitation restrictions for two years following termination of his employment.</w:t>
      </w:r>
    </w:p>
    <w:p>
      <w:pPr>
        <w:spacing w:after="0" w:line="32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Indicative Payouts for Vikas Bhalla</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00" w:type="dxa"/>
            <w:vAlign w:val="bottom"/>
            <w:tcBorders>
              <w:top w:val="single" w:sz="8" w:color="C3E6FF"/>
              <w:left w:val="single" w:sz="8" w:color="C3E6FF"/>
            </w:tcBorders>
            <w:shd w:val="clear" w:color="auto" w:fill="0093FF"/>
          </w:tcPr>
          <w:p>
            <w:pPr>
              <w:spacing w:after="0"/>
              <w:rPr>
                <w:sz w:val="24"/>
                <w:szCs w:val="24"/>
                <w:color w:val="auto"/>
              </w:rPr>
            </w:pPr>
          </w:p>
        </w:tc>
        <w:tc>
          <w:tcPr>
            <w:tcW w:w="1020" w:type="dxa"/>
            <w:vAlign w:val="bottom"/>
            <w:tcBorders>
              <w:top w:val="single" w:sz="8" w:color="C3E6FF"/>
            </w:tcBorders>
            <w:shd w:val="clear" w:color="auto" w:fill="0093FF"/>
          </w:tcPr>
          <w:p>
            <w:pPr>
              <w:ind w:left="60"/>
              <w:spacing w:after="0"/>
              <w:rPr>
                <w:sz w:val="20"/>
                <w:szCs w:val="20"/>
                <w:color w:val="auto"/>
              </w:rPr>
            </w:pPr>
            <w:r>
              <w:rPr>
                <w:rFonts w:ascii="Arial" w:cs="Arial" w:eastAsia="Arial" w:hAnsi="Arial"/>
                <w:sz w:val="14"/>
                <w:szCs w:val="14"/>
                <w:b w:val="1"/>
                <w:bCs w:val="1"/>
                <w:color w:val="FFFFFF"/>
              </w:rPr>
              <w:t>Death</w:t>
            </w:r>
          </w:p>
        </w:tc>
        <w:tc>
          <w:tcPr>
            <w:tcW w:w="1240" w:type="dxa"/>
            <w:vAlign w:val="bottom"/>
            <w:tcBorders>
              <w:top w:val="single" w:sz="8" w:color="C3E6FF"/>
            </w:tcBorders>
            <w:shd w:val="clear" w:color="auto" w:fill="0093FF"/>
          </w:tcPr>
          <w:p>
            <w:pPr>
              <w:ind w:left="40"/>
              <w:spacing w:after="0"/>
              <w:rPr>
                <w:sz w:val="20"/>
                <w:szCs w:val="20"/>
                <w:color w:val="auto"/>
              </w:rPr>
            </w:pPr>
            <w:r>
              <w:rPr>
                <w:rFonts w:ascii="Arial" w:cs="Arial" w:eastAsia="Arial" w:hAnsi="Arial"/>
                <w:sz w:val="14"/>
                <w:szCs w:val="14"/>
                <w:b w:val="1"/>
                <w:bCs w:val="1"/>
                <w:color w:val="FFFFFF"/>
              </w:rPr>
              <w:t>Death</w:t>
            </w:r>
          </w:p>
        </w:tc>
        <w:tc>
          <w:tcPr>
            <w:tcW w:w="1660" w:type="dxa"/>
            <w:vAlign w:val="bottom"/>
            <w:tcBorders>
              <w:top w:val="single" w:sz="8" w:color="C3E6FF"/>
            </w:tcBorders>
            <w:shd w:val="clear" w:color="auto" w:fill="0093FF"/>
          </w:tcPr>
          <w:p>
            <w:pPr>
              <w:spacing w:after="0"/>
              <w:rPr>
                <w:sz w:val="24"/>
                <w:szCs w:val="24"/>
                <w:color w:val="auto"/>
              </w:rPr>
            </w:pPr>
          </w:p>
        </w:tc>
        <w:tc>
          <w:tcPr>
            <w:tcW w:w="1340" w:type="dxa"/>
            <w:vAlign w:val="bottom"/>
            <w:tcBorders>
              <w:top w:val="single" w:sz="8" w:color="C3E6FF"/>
            </w:tcBorders>
            <w:shd w:val="clear" w:color="auto" w:fill="0093FF"/>
          </w:tcPr>
          <w:p>
            <w:pPr>
              <w:spacing w:after="0"/>
              <w:rPr>
                <w:sz w:val="24"/>
                <w:szCs w:val="24"/>
                <w:color w:val="auto"/>
              </w:rPr>
            </w:pPr>
          </w:p>
        </w:tc>
        <w:tc>
          <w:tcPr>
            <w:tcW w:w="4380" w:type="dxa"/>
            <w:vAlign w:val="bottom"/>
            <w:tcBorders>
              <w:top w:val="single" w:sz="8" w:color="C3E6FF"/>
              <w:right w:val="single" w:sz="8" w:color="C3E6FF"/>
            </w:tcBorders>
            <w:shd w:val="clear" w:color="auto" w:fill="0093FF"/>
          </w:tcPr>
          <w:p>
            <w:pPr>
              <w:ind w:left="60"/>
              <w:spacing w:after="0"/>
              <w:rPr>
                <w:sz w:val="20"/>
                <w:szCs w:val="20"/>
                <w:color w:val="auto"/>
              </w:rPr>
            </w:pPr>
            <w:r>
              <w:rPr>
                <w:rFonts w:ascii="Arial" w:cs="Arial" w:eastAsia="Arial" w:hAnsi="Arial"/>
                <w:sz w:val="14"/>
                <w:szCs w:val="14"/>
                <w:b w:val="1"/>
                <w:bCs w:val="1"/>
                <w:color w:val="FFFFFF"/>
              </w:rPr>
              <w:t>Termination Without Cause or for Good</w:t>
            </w:r>
          </w:p>
        </w:tc>
      </w:tr>
      <w:tr>
        <w:trPr>
          <w:trHeight w:val="162"/>
        </w:trPr>
        <w:tc>
          <w:tcPr>
            <w:tcW w:w="1600" w:type="dxa"/>
            <w:vAlign w:val="bottom"/>
            <w:tcBorders>
              <w:left w:val="single" w:sz="8" w:color="C3E6FF"/>
            </w:tcBorders>
            <w:shd w:val="clear" w:color="auto" w:fill="0093FF"/>
          </w:tcPr>
          <w:p>
            <w:pPr>
              <w:spacing w:after="0"/>
              <w:rPr>
                <w:sz w:val="14"/>
                <w:szCs w:val="14"/>
                <w:color w:val="auto"/>
              </w:rPr>
            </w:pPr>
          </w:p>
        </w:tc>
        <w:tc>
          <w:tcPr>
            <w:tcW w:w="102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Prior to a</w:t>
            </w:r>
          </w:p>
        </w:tc>
        <w:tc>
          <w:tcPr>
            <w:tcW w:w="124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After a</w:t>
            </w:r>
          </w:p>
        </w:tc>
        <w:tc>
          <w:tcPr>
            <w:tcW w:w="166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Termination for</w:t>
            </w:r>
          </w:p>
        </w:tc>
        <w:tc>
          <w:tcPr>
            <w:tcW w:w="1340" w:type="dxa"/>
            <w:vAlign w:val="bottom"/>
            <w:shd w:val="clear" w:color="auto" w:fill="0093FF"/>
          </w:tcPr>
          <w:p>
            <w:pPr>
              <w:spacing w:after="0"/>
              <w:rPr>
                <w:sz w:val="14"/>
                <w:szCs w:val="14"/>
                <w:color w:val="auto"/>
              </w:rPr>
            </w:pPr>
          </w:p>
        </w:tc>
        <w:tc>
          <w:tcPr>
            <w:tcW w:w="4380" w:type="dxa"/>
            <w:vAlign w:val="bottom"/>
            <w:tcBorders>
              <w:right w:val="single" w:sz="8" w:color="C3E6FF"/>
            </w:tcBorders>
            <w:shd w:val="clear" w:color="auto" w:fill="0093FF"/>
          </w:tcPr>
          <w:p>
            <w:pPr>
              <w:ind w:left="60"/>
              <w:spacing w:after="0"/>
              <w:rPr>
                <w:sz w:val="20"/>
                <w:szCs w:val="20"/>
                <w:color w:val="auto"/>
              </w:rPr>
            </w:pPr>
            <w:r>
              <w:rPr>
                <w:rFonts w:ascii="Arial" w:cs="Arial" w:eastAsia="Arial" w:hAnsi="Arial"/>
                <w:sz w:val="14"/>
                <w:szCs w:val="14"/>
                <w:b w:val="1"/>
                <w:bCs w:val="1"/>
                <w:color w:val="FFFFFF"/>
              </w:rPr>
              <w:t>Reason Following Change in Control or</w:t>
            </w:r>
          </w:p>
        </w:tc>
      </w:tr>
      <w:tr>
        <w:trPr>
          <w:trHeight w:val="162"/>
        </w:trPr>
        <w:tc>
          <w:tcPr>
            <w:tcW w:w="1600" w:type="dxa"/>
            <w:vAlign w:val="bottom"/>
            <w:tcBorders>
              <w:left w:val="single" w:sz="8" w:color="C3E6FF"/>
            </w:tcBorders>
            <w:shd w:val="clear" w:color="auto" w:fill="0093FF"/>
          </w:tcPr>
          <w:p>
            <w:pPr>
              <w:spacing w:after="0"/>
              <w:rPr>
                <w:sz w:val="14"/>
                <w:szCs w:val="14"/>
                <w:color w:val="auto"/>
              </w:rPr>
            </w:pPr>
          </w:p>
        </w:tc>
        <w:tc>
          <w:tcPr>
            <w:tcW w:w="102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Change</w:t>
            </w:r>
          </w:p>
        </w:tc>
        <w:tc>
          <w:tcPr>
            <w:tcW w:w="124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Change in</w:t>
            </w:r>
          </w:p>
        </w:tc>
        <w:tc>
          <w:tcPr>
            <w:tcW w:w="166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Good Reason or</w:t>
            </w:r>
          </w:p>
        </w:tc>
        <w:tc>
          <w:tcPr>
            <w:tcW w:w="134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Change in</w:t>
            </w:r>
          </w:p>
        </w:tc>
        <w:tc>
          <w:tcPr>
            <w:tcW w:w="4380" w:type="dxa"/>
            <w:vAlign w:val="bottom"/>
            <w:tcBorders>
              <w:right w:val="single" w:sz="8" w:color="C3E6FF"/>
            </w:tcBorders>
            <w:shd w:val="clear" w:color="auto" w:fill="0093FF"/>
          </w:tcPr>
          <w:p>
            <w:pPr>
              <w:ind w:left="60"/>
              <w:spacing w:after="0"/>
              <w:rPr>
                <w:sz w:val="20"/>
                <w:szCs w:val="20"/>
                <w:color w:val="auto"/>
              </w:rPr>
            </w:pPr>
            <w:r>
              <w:rPr>
                <w:rFonts w:ascii="Arial" w:cs="Arial" w:eastAsia="Arial" w:hAnsi="Arial"/>
                <w:sz w:val="14"/>
                <w:szCs w:val="14"/>
                <w:b w:val="1"/>
                <w:bCs w:val="1"/>
                <w:color w:val="FFFFFF"/>
              </w:rPr>
              <w:t>Termination Without Cause in Specific</w:t>
            </w:r>
          </w:p>
        </w:tc>
      </w:tr>
      <w:tr>
        <w:trPr>
          <w:trHeight w:val="162"/>
        </w:trPr>
        <w:tc>
          <w:tcPr>
            <w:tcW w:w="160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Payments upon</w:t>
            </w:r>
          </w:p>
        </w:tc>
        <w:tc>
          <w:tcPr>
            <w:tcW w:w="102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in Control</w:t>
            </w:r>
          </w:p>
        </w:tc>
        <w:tc>
          <w:tcPr>
            <w:tcW w:w="124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Control</w:t>
            </w:r>
          </w:p>
        </w:tc>
        <w:tc>
          <w:tcPr>
            <w:tcW w:w="166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Without Cause</w:t>
            </w:r>
          </w:p>
        </w:tc>
        <w:tc>
          <w:tcPr>
            <w:tcW w:w="134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Control</w:t>
            </w:r>
          </w:p>
        </w:tc>
        <w:tc>
          <w:tcPr>
            <w:tcW w:w="4380" w:type="dxa"/>
            <w:vAlign w:val="bottom"/>
            <w:tcBorders>
              <w:right w:val="single" w:sz="8" w:color="C3E6FF"/>
            </w:tcBorders>
            <w:shd w:val="clear" w:color="auto" w:fill="0093FF"/>
          </w:tcPr>
          <w:p>
            <w:pPr>
              <w:ind w:left="60"/>
              <w:spacing w:after="0"/>
              <w:rPr>
                <w:sz w:val="20"/>
                <w:szCs w:val="20"/>
                <w:color w:val="auto"/>
              </w:rPr>
            </w:pPr>
            <w:r>
              <w:rPr>
                <w:rFonts w:ascii="Arial" w:cs="Arial" w:eastAsia="Arial" w:hAnsi="Arial"/>
                <w:sz w:val="14"/>
                <w:szCs w:val="14"/>
                <w:b w:val="1"/>
                <w:bCs w:val="1"/>
                <w:color w:val="FFFFFF"/>
              </w:rPr>
              <w:t>Contemplation of Change in Control</w:t>
            </w:r>
          </w:p>
        </w:tc>
      </w:tr>
      <w:tr>
        <w:trPr>
          <w:trHeight w:val="190"/>
        </w:trPr>
        <w:tc>
          <w:tcPr>
            <w:tcW w:w="160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Termination</w:t>
            </w:r>
          </w:p>
        </w:tc>
        <w:tc>
          <w:tcPr>
            <w:tcW w:w="102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0093FF"/>
          </w:tcPr>
          <w:p>
            <w:pPr>
              <w:ind w:left="40"/>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93FF"/>
          </w:tcPr>
          <w:p>
            <w:pPr>
              <w:ind w:left="60"/>
              <w:spacing w:after="0"/>
              <w:rPr>
                <w:sz w:val="20"/>
                <w:szCs w:val="20"/>
                <w:color w:val="auto"/>
              </w:rPr>
            </w:pPr>
            <w:r>
              <w:rPr>
                <w:rFonts w:ascii="Arial" w:cs="Arial" w:eastAsia="Arial" w:hAnsi="Arial"/>
                <w:sz w:val="14"/>
                <w:szCs w:val="14"/>
                <w:b w:val="1"/>
                <w:bCs w:val="1"/>
                <w:color w:val="FFFFFF"/>
              </w:rPr>
              <w:t>($)</w:t>
            </w:r>
          </w:p>
        </w:tc>
        <w:tc>
          <w:tcPr>
            <w:tcW w:w="4380" w:type="dxa"/>
            <w:vAlign w:val="bottom"/>
            <w:tcBorders>
              <w:right w:val="single" w:sz="8" w:color="C3E6FF"/>
            </w:tcBorders>
            <w:shd w:val="clear" w:color="auto" w:fill="0093FF"/>
          </w:tcPr>
          <w:p>
            <w:pPr>
              <w:ind w:left="60"/>
              <w:spacing w:after="0"/>
              <w:rPr>
                <w:sz w:val="20"/>
                <w:szCs w:val="20"/>
                <w:color w:val="auto"/>
              </w:rPr>
            </w:pPr>
            <w:r>
              <w:rPr>
                <w:rFonts w:ascii="Arial" w:cs="Arial" w:eastAsia="Arial" w:hAnsi="Arial"/>
                <w:sz w:val="14"/>
                <w:szCs w:val="14"/>
                <w:b w:val="1"/>
                <w:bCs w:val="1"/>
                <w:color w:val="FFFFFF"/>
              </w:rPr>
              <w:t>($)</w:t>
            </w:r>
          </w:p>
        </w:tc>
      </w:tr>
      <w:tr>
        <w:trPr>
          <w:trHeight w:val="93"/>
        </w:trPr>
        <w:tc>
          <w:tcPr>
            <w:tcW w:w="1600" w:type="dxa"/>
            <w:vAlign w:val="bottom"/>
            <w:tcBorders>
              <w:left w:val="single" w:sz="8" w:color="C3E6FF"/>
            </w:tcBorders>
            <w:shd w:val="clear" w:color="auto" w:fill="0093FF"/>
          </w:tcPr>
          <w:p>
            <w:pPr>
              <w:spacing w:after="0"/>
              <w:rPr>
                <w:sz w:val="8"/>
                <w:szCs w:val="8"/>
                <w:color w:val="auto"/>
              </w:rPr>
            </w:pPr>
          </w:p>
        </w:tc>
        <w:tc>
          <w:tcPr>
            <w:tcW w:w="1020" w:type="dxa"/>
            <w:vAlign w:val="bottom"/>
            <w:shd w:val="clear" w:color="auto" w:fill="0093FF"/>
          </w:tcPr>
          <w:p>
            <w:pPr>
              <w:spacing w:after="0"/>
              <w:rPr>
                <w:sz w:val="8"/>
                <w:szCs w:val="8"/>
                <w:color w:val="auto"/>
              </w:rPr>
            </w:pPr>
          </w:p>
        </w:tc>
        <w:tc>
          <w:tcPr>
            <w:tcW w:w="1240" w:type="dxa"/>
            <w:vAlign w:val="bottom"/>
            <w:shd w:val="clear" w:color="auto" w:fill="0093FF"/>
          </w:tcPr>
          <w:p>
            <w:pPr>
              <w:spacing w:after="0"/>
              <w:rPr>
                <w:sz w:val="8"/>
                <w:szCs w:val="8"/>
                <w:color w:val="auto"/>
              </w:rPr>
            </w:pPr>
          </w:p>
        </w:tc>
        <w:tc>
          <w:tcPr>
            <w:tcW w:w="1660" w:type="dxa"/>
            <w:vAlign w:val="bottom"/>
            <w:shd w:val="clear" w:color="auto" w:fill="0093FF"/>
          </w:tcPr>
          <w:p>
            <w:pPr>
              <w:spacing w:after="0"/>
              <w:rPr>
                <w:sz w:val="8"/>
                <w:szCs w:val="8"/>
                <w:color w:val="auto"/>
              </w:rPr>
            </w:pPr>
          </w:p>
        </w:tc>
        <w:tc>
          <w:tcPr>
            <w:tcW w:w="1340" w:type="dxa"/>
            <w:vAlign w:val="bottom"/>
            <w:shd w:val="clear" w:color="auto" w:fill="0093FF"/>
          </w:tcPr>
          <w:p>
            <w:pPr>
              <w:spacing w:after="0"/>
              <w:rPr>
                <w:sz w:val="8"/>
                <w:szCs w:val="8"/>
                <w:color w:val="auto"/>
              </w:rPr>
            </w:pPr>
          </w:p>
        </w:tc>
        <w:tc>
          <w:tcPr>
            <w:tcW w:w="4380" w:type="dxa"/>
            <w:vAlign w:val="bottom"/>
            <w:tcBorders>
              <w:right w:val="single" w:sz="8" w:color="C3E6FF"/>
            </w:tcBorders>
            <w:shd w:val="clear" w:color="auto" w:fill="0093FF"/>
          </w:tcPr>
          <w:p>
            <w:pPr>
              <w:spacing w:after="0"/>
              <w:rPr>
                <w:sz w:val="8"/>
                <w:szCs w:val="8"/>
                <w:color w:val="auto"/>
              </w:rPr>
            </w:pPr>
          </w:p>
        </w:tc>
      </w:tr>
      <w:tr>
        <w:trPr>
          <w:trHeight w:val="285"/>
        </w:trPr>
        <w:tc>
          <w:tcPr>
            <w:tcW w:w="16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Base salary payout</w:t>
            </w:r>
          </w:p>
        </w:tc>
        <w:tc>
          <w:tcPr>
            <w:tcW w:w="10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F3F9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F3F9FF"/>
          </w:tcPr>
          <w:p>
            <w:pPr>
              <w:jc w:val="right"/>
              <w:spacing w:after="0"/>
              <w:rPr>
                <w:sz w:val="20"/>
                <w:szCs w:val="20"/>
                <w:color w:val="auto"/>
              </w:rPr>
            </w:pPr>
            <w:r>
              <w:rPr>
                <w:rFonts w:ascii="Arial" w:cs="Arial" w:eastAsia="Arial" w:hAnsi="Arial"/>
                <w:sz w:val="14"/>
                <w:szCs w:val="14"/>
                <w:color w:val="auto"/>
              </w:rPr>
              <w:t>308,210</w:t>
            </w:r>
          </w:p>
        </w:tc>
        <w:tc>
          <w:tcPr>
            <w:tcW w:w="1340" w:type="dxa"/>
            <w:vAlign w:val="bottom"/>
            <w:shd w:val="clear" w:color="auto" w:fill="F3F9FF"/>
          </w:tcPr>
          <w:p>
            <w:pPr>
              <w:jc w:val="right"/>
              <w:spacing w:after="0"/>
              <w:rPr>
                <w:sz w:val="20"/>
                <w:szCs w:val="20"/>
                <w:color w:val="auto"/>
              </w:rPr>
            </w:pPr>
            <w:r>
              <w:rPr>
                <w:rFonts w:ascii="Arial" w:cs="Arial" w:eastAsia="Arial" w:hAnsi="Arial"/>
                <w:sz w:val="14"/>
                <w:szCs w:val="14"/>
                <w:color w:val="auto"/>
              </w:rPr>
              <w:t>—</w:t>
            </w:r>
          </w:p>
        </w:tc>
        <w:tc>
          <w:tcPr>
            <w:tcW w:w="438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308,210</w:t>
            </w:r>
          </w:p>
        </w:tc>
      </w:tr>
      <w:tr>
        <w:trPr>
          <w:trHeight w:val="93"/>
        </w:trPr>
        <w:tc>
          <w:tcPr>
            <w:tcW w:w="1600" w:type="dxa"/>
            <w:vAlign w:val="bottom"/>
            <w:tcBorders>
              <w:left w:val="single" w:sz="8" w:color="C3E6FF"/>
            </w:tcBorders>
            <w:shd w:val="clear" w:color="auto" w:fill="F3F9FF"/>
          </w:tcPr>
          <w:p>
            <w:pPr>
              <w:spacing w:after="0"/>
              <w:rPr>
                <w:sz w:val="8"/>
                <w:szCs w:val="8"/>
                <w:color w:val="auto"/>
              </w:rPr>
            </w:pPr>
          </w:p>
        </w:tc>
        <w:tc>
          <w:tcPr>
            <w:tcW w:w="1020" w:type="dxa"/>
            <w:vAlign w:val="bottom"/>
            <w:shd w:val="clear" w:color="auto" w:fill="F3F9FF"/>
          </w:tcPr>
          <w:p>
            <w:pPr>
              <w:spacing w:after="0"/>
              <w:rPr>
                <w:sz w:val="8"/>
                <w:szCs w:val="8"/>
                <w:color w:val="auto"/>
              </w:rPr>
            </w:pPr>
          </w:p>
        </w:tc>
        <w:tc>
          <w:tcPr>
            <w:tcW w:w="1240" w:type="dxa"/>
            <w:vAlign w:val="bottom"/>
            <w:shd w:val="clear" w:color="auto" w:fill="F3F9FF"/>
          </w:tcPr>
          <w:p>
            <w:pPr>
              <w:spacing w:after="0"/>
              <w:rPr>
                <w:sz w:val="8"/>
                <w:szCs w:val="8"/>
                <w:color w:val="auto"/>
              </w:rPr>
            </w:pPr>
          </w:p>
        </w:tc>
        <w:tc>
          <w:tcPr>
            <w:tcW w:w="1660" w:type="dxa"/>
            <w:vAlign w:val="bottom"/>
            <w:shd w:val="clear" w:color="auto" w:fill="F3F9FF"/>
          </w:tcPr>
          <w:p>
            <w:pPr>
              <w:spacing w:after="0"/>
              <w:rPr>
                <w:sz w:val="8"/>
                <w:szCs w:val="8"/>
                <w:color w:val="auto"/>
              </w:rPr>
            </w:pPr>
          </w:p>
        </w:tc>
        <w:tc>
          <w:tcPr>
            <w:tcW w:w="1340" w:type="dxa"/>
            <w:vAlign w:val="bottom"/>
            <w:shd w:val="clear" w:color="auto" w:fill="F3F9FF"/>
          </w:tcPr>
          <w:p>
            <w:pPr>
              <w:spacing w:after="0"/>
              <w:rPr>
                <w:sz w:val="8"/>
                <w:szCs w:val="8"/>
                <w:color w:val="auto"/>
              </w:rPr>
            </w:pPr>
          </w:p>
        </w:tc>
        <w:tc>
          <w:tcPr>
            <w:tcW w:w="4380" w:type="dxa"/>
            <w:vAlign w:val="bottom"/>
            <w:tcBorders>
              <w:right w:val="single" w:sz="8" w:color="C3E6FF"/>
            </w:tcBorders>
            <w:shd w:val="clear" w:color="auto" w:fill="F3F9FF"/>
          </w:tcPr>
          <w:p>
            <w:pPr>
              <w:spacing w:after="0"/>
              <w:rPr>
                <w:sz w:val="8"/>
                <w:szCs w:val="8"/>
                <w:color w:val="auto"/>
              </w:rPr>
            </w:pPr>
          </w:p>
        </w:tc>
      </w:tr>
      <w:tr>
        <w:trPr>
          <w:trHeight w:val="285"/>
        </w:trPr>
        <w:tc>
          <w:tcPr>
            <w:tcW w:w="1600" w:type="dxa"/>
            <w:vAlign w:val="bottom"/>
            <w:tcBorders>
              <w:left w:val="single" w:sz="8" w:color="C3E6FF"/>
            </w:tcBorders>
          </w:tcPr>
          <w:p>
            <w:pPr>
              <w:ind w:left="80"/>
              <w:spacing w:after="0"/>
              <w:rPr>
                <w:sz w:val="20"/>
                <w:szCs w:val="20"/>
                <w:color w:val="auto"/>
              </w:rPr>
            </w:pPr>
            <w:r>
              <w:rPr>
                <w:rFonts w:ascii="Arial" w:cs="Arial" w:eastAsia="Arial" w:hAnsi="Arial"/>
                <w:sz w:val="14"/>
                <w:szCs w:val="14"/>
                <w:color w:val="auto"/>
              </w:rPr>
              <w:t>Restricted stock units</w:t>
            </w:r>
          </w:p>
        </w:tc>
        <w:tc>
          <w:tcPr>
            <w:tcW w:w="1020" w:type="dxa"/>
            <w:vAlign w:val="bottom"/>
          </w:tcPr>
          <w:p>
            <w:pPr>
              <w:jc w:val="right"/>
              <w:spacing w:after="0"/>
              <w:rPr>
                <w:sz w:val="20"/>
                <w:szCs w:val="20"/>
                <w:color w:val="auto"/>
              </w:rPr>
            </w:pPr>
            <w:r>
              <w:rPr>
                <w:rFonts w:ascii="Arial" w:cs="Arial" w:eastAsia="Arial" w:hAnsi="Arial"/>
                <w:sz w:val="14"/>
                <w:szCs w:val="14"/>
                <w:color w:val="auto"/>
              </w:rPr>
              <w:t>1,123,168</w:t>
            </w:r>
          </w:p>
        </w:tc>
        <w:tc>
          <w:tcPr>
            <w:tcW w:w="1240" w:type="dxa"/>
            <w:vAlign w:val="bottom"/>
          </w:tcPr>
          <w:p>
            <w:pPr>
              <w:jc w:val="right"/>
              <w:spacing w:after="0"/>
              <w:rPr>
                <w:sz w:val="20"/>
                <w:szCs w:val="20"/>
                <w:color w:val="auto"/>
              </w:rPr>
            </w:pPr>
            <w:r>
              <w:rPr>
                <w:rFonts w:ascii="Arial" w:cs="Arial" w:eastAsia="Arial" w:hAnsi="Arial"/>
                <w:sz w:val="14"/>
                <w:szCs w:val="14"/>
                <w:color w:val="auto"/>
              </w:rPr>
              <w:t>1,123,168</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441,592</w:t>
            </w:r>
          </w:p>
        </w:tc>
        <w:tc>
          <w:tcPr>
            <w:tcW w:w="4380" w:type="dxa"/>
            <w:vAlign w:val="bottom"/>
            <w:tcBorders>
              <w:right w:val="single" w:sz="8" w:color="C3E6FF"/>
            </w:tcBorders>
          </w:tcPr>
          <w:p>
            <w:pPr>
              <w:jc w:val="right"/>
              <w:ind w:right="8"/>
              <w:spacing w:after="0"/>
              <w:rPr>
                <w:sz w:val="20"/>
                <w:szCs w:val="20"/>
                <w:color w:val="auto"/>
              </w:rPr>
            </w:pPr>
            <w:r>
              <w:rPr>
                <w:rFonts w:ascii="Arial" w:cs="Arial" w:eastAsia="Arial" w:hAnsi="Arial"/>
                <w:sz w:val="14"/>
                <w:szCs w:val="14"/>
                <w:color w:val="auto"/>
              </w:rPr>
              <w:t>1,123,168</w:t>
            </w:r>
          </w:p>
        </w:tc>
      </w:tr>
      <w:tr>
        <w:trPr>
          <w:trHeight w:val="93"/>
        </w:trPr>
        <w:tc>
          <w:tcPr>
            <w:tcW w:w="1600" w:type="dxa"/>
            <w:vAlign w:val="bottom"/>
            <w:tcBorders>
              <w:left w:val="single" w:sz="8" w:color="C3E6FF"/>
            </w:tcBorders>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380" w:type="dxa"/>
            <w:vAlign w:val="bottom"/>
            <w:tcBorders>
              <w:right w:val="single" w:sz="8" w:color="C3E6FF"/>
            </w:tcBorders>
          </w:tcPr>
          <w:p>
            <w:pPr>
              <w:spacing w:after="0"/>
              <w:rPr>
                <w:sz w:val="8"/>
                <w:szCs w:val="8"/>
                <w:color w:val="auto"/>
              </w:rPr>
            </w:pPr>
          </w:p>
        </w:tc>
      </w:tr>
      <w:tr>
        <w:trPr>
          <w:trHeight w:val="275"/>
        </w:trPr>
        <w:tc>
          <w:tcPr>
            <w:tcW w:w="16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Performance restricted</w:t>
            </w:r>
          </w:p>
        </w:tc>
        <w:tc>
          <w:tcPr>
            <w:tcW w:w="1020" w:type="dxa"/>
            <w:vAlign w:val="bottom"/>
            <w:shd w:val="clear" w:color="auto" w:fill="F3F9FF"/>
          </w:tcPr>
          <w:p>
            <w:pPr>
              <w:spacing w:after="0"/>
              <w:rPr>
                <w:sz w:val="23"/>
                <w:szCs w:val="23"/>
                <w:color w:val="auto"/>
              </w:rPr>
            </w:pPr>
          </w:p>
        </w:tc>
        <w:tc>
          <w:tcPr>
            <w:tcW w:w="1240" w:type="dxa"/>
            <w:vAlign w:val="bottom"/>
            <w:shd w:val="clear" w:color="auto" w:fill="F3F9FF"/>
          </w:tcPr>
          <w:p>
            <w:pPr>
              <w:spacing w:after="0"/>
              <w:rPr>
                <w:sz w:val="23"/>
                <w:szCs w:val="23"/>
                <w:color w:val="auto"/>
              </w:rPr>
            </w:pPr>
          </w:p>
        </w:tc>
        <w:tc>
          <w:tcPr>
            <w:tcW w:w="1660" w:type="dxa"/>
            <w:vAlign w:val="bottom"/>
            <w:shd w:val="clear" w:color="auto" w:fill="F3F9FF"/>
          </w:tcPr>
          <w:p>
            <w:pPr>
              <w:spacing w:after="0"/>
              <w:rPr>
                <w:sz w:val="23"/>
                <w:szCs w:val="23"/>
                <w:color w:val="auto"/>
              </w:rPr>
            </w:pPr>
          </w:p>
        </w:tc>
        <w:tc>
          <w:tcPr>
            <w:tcW w:w="1340" w:type="dxa"/>
            <w:vAlign w:val="bottom"/>
            <w:shd w:val="clear" w:color="auto" w:fill="F3F9FF"/>
          </w:tcPr>
          <w:p>
            <w:pPr>
              <w:spacing w:after="0"/>
              <w:rPr>
                <w:sz w:val="23"/>
                <w:szCs w:val="23"/>
                <w:color w:val="auto"/>
              </w:rPr>
            </w:pPr>
          </w:p>
        </w:tc>
        <w:tc>
          <w:tcPr>
            <w:tcW w:w="4380" w:type="dxa"/>
            <w:vAlign w:val="bottom"/>
            <w:tcBorders>
              <w:right w:val="single" w:sz="8" w:color="C3E6FF"/>
            </w:tcBorders>
            <w:shd w:val="clear" w:color="auto" w:fill="F3F9FF"/>
          </w:tcPr>
          <w:p>
            <w:pPr>
              <w:spacing w:after="0"/>
              <w:rPr>
                <w:sz w:val="23"/>
                <w:szCs w:val="23"/>
                <w:color w:val="auto"/>
              </w:rPr>
            </w:pPr>
          </w:p>
        </w:tc>
      </w:tr>
      <w:tr>
        <w:trPr>
          <w:trHeight w:val="172"/>
        </w:trPr>
        <w:tc>
          <w:tcPr>
            <w:tcW w:w="16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stock units</w:t>
            </w:r>
          </w:p>
        </w:tc>
        <w:tc>
          <w:tcPr>
            <w:tcW w:w="1020" w:type="dxa"/>
            <w:vAlign w:val="bottom"/>
            <w:shd w:val="clear" w:color="auto" w:fill="F3F9FF"/>
          </w:tcPr>
          <w:p>
            <w:pPr>
              <w:jc w:val="right"/>
              <w:spacing w:after="0"/>
              <w:rPr>
                <w:sz w:val="20"/>
                <w:szCs w:val="20"/>
                <w:color w:val="auto"/>
              </w:rPr>
            </w:pPr>
            <w:r>
              <w:rPr>
                <w:rFonts w:ascii="Arial" w:cs="Arial" w:eastAsia="Arial" w:hAnsi="Arial"/>
                <w:sz w:val="14"/>
                <w:szCs w:val="14"/>
                <w:color w:val="auto"/>
              </w:rPr>
              <w:t>466,308</w:t>
            </w:r>
          </w:p>
        </w:tc>
        <w:tc>
          <w:tcPr>
            <w:tcW w:w="1240" w:type="dxa"/>
            <w:vAlign w:val="bottom"/>
            <w:shd w:val="clear" w:color="auto" w:fill="F3F9FF"/>
          </w:tcPr>
          <w:p>
            <w:pPr>
              <w:jc w:val="right"/>
              <w:spacing w:after="0"/>
              <w:rPr>
                <w:sz w:val="20"/>
                <w:szCs w:val="20"/>
                <w:color w:val="auto"/>
              </w:rPr>
            </w:pPr>
            <w:r>
              <w:rPr>
                <w:rFonts w:ascii="Arial" w:cs="Arial" w:eastAsia="Arial" w:hAnsi="Arial"/>
                <w:sz w:val="14"/>
                <w:szCs w:val="14"/>
                <w:color w:val="auto"/>
              </w:rPr>
              <w:t>821,121</w:t>
            </w:r>
          </w:p>
        </w:tc>
        <w:tc>
          <w:tcPr>
            <w:tcW w:w="1660" w:type="dxa"/>
            <w:vAlign w:val="bottom"/>
            <w:shd w:val="clear" w:color="auto" w:fill="F3F9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F3F9FF"/>
          </w:tcPr>
          <w:p>
            <w:pPr>
              <w:jc w:val="right"/>
              <w:spacing w:after="0"/>
              <w:rPr>
                <w:sz w:val="20"/>
                <w:szCs w:val="20"/>
                <w:color w:val="auto"/>
              </w:rPr>
            </w:pPr>
            <w:r>
              <w:rPr>
                <w:rFonts w:ascii="Arial" w:cs="Arial" w:eastAsia="Arial" w:hAnsi="Arial"/>
                <w:sz w:val="14"/>
                <w:szCs w:val="14"/>
                <w:color w:val="auto"/>
              </w:rPr>
              <w:t>663,000</w:t>
            </w:r>
          </w:p>
        </w:tc>
        <w:tc>
          <w:tcPr>
            <w:tcW w:w="4380" w:type="dxa"/>
            <w:vAlign w:val="bottom"/>
            <w:tcBorders>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821,121</w:t>
            </w:r>
          </w:p>
        </w:tc>
      </w:tr>
      <w:tr>
        <w:trPr>
          <w:trHeight w:val="363"/>
        </w:trPr>
        <w:tc>
          <w:tcPr>
            <w:tcW w:w="16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Government-required</w:t>
            </w:r>
          </w:p>
        </w:tc>
        <w:tc>
          <w:tcPr>
            <w:tcW w:w="1020" w:type="dxa"/>
            <w:vAlign w:val="bottom"/>
            <w:shd w:val="clear" w:color="auto" w:fill="F3F9FF"/>
          </w:tcPr>
          <w:p>
            <w:pPr>
              <w:spacing w:after="0"/>
              <w:rPr>
                <w:sz w:val="24"/>
                <w:szCs w:val="24"/>
                <w:color w:val="auto"/>
              </w:rPr>
            </w:pPr>
          </w:p>
        </w:tc>
        <w:tc>
          <w:tcPr>
            <w:tcW w:w="1240" w:type="dxa"/>
            <w:vAlign w:val="bottom"/>
            <w:shd w:val="clear" w:color="auto" w:fill="F3F9FF"/>
          </w:tcPr>
          <w:p>
            <w:pPr>
              <w:spacing w:after="0"/>
              <w:rPr>
                <w:sz w:val="24"/>
                <w:szCs w:val="24"/>
                <w:color w:val="auto"/>
              </w:rPr>
            </w:pPr>
          </w:p>
        </w:tc>
        <w:tc>
          <w:tcPr>
            <w:tcW w:w="1660" w:type="dxa"/>
            <w:vAlign w:val="bottom"/>
            <w:shd w:val="clear" w:color="auto" w:fill="F3F9FF"/>
          </w:tcPr>
          <w:p>
            <w:pPr>
              <w:spacing w:after="0"/>
              <w:rPr>
                <w:sz w:val="24"/>
                <w:szCs w:val="24"/>
                <w:color w:val="auto"/>
              </w:rPr>
            </w:pPr>
          </w:p>
        </w:tc>
        <w:tc>
          <w:tcPr>
            <w:tcW w:w="1340" w:type="dxa"/>
            <w:vAlign w:val="bottom"/>
            <w:shd w:val="clear" w:color="auto" w:fill="F3F9FF"/>
          </w:tcPr>
          <w:p>
            <w:pPr>
              <w:spacing w:after="0"/>
              <w:rPr>
                <w:sz w:val="24"/>
                <w:szCs w:val="24"/>
                <w:color w:val="auto"/>
              </w:rPr>
            </w:pPr>
          </w:p>
        </w:tc>
        <w:tc>
          <w:tcPr>
            <w:tcW w:w="4380" w:type="dxa"/>
            <w:vAlign w:val="bottom"/>
            <w:tcBorders>
              <w:right w:val="single" w:sz="8" w:color="C3E6FF"/>
            </w:tcBorders>
            <w:shd w:val="clear" w:color="auto" w:fill="F3F9FF"/>
          </w:tcPr>
          <w:p>
            <w:pPr>
              <w:spacing w:after="0"/>
              <w:rPr>
                <w:sz w:val="24"/>
                <w:szCs w:val="24"/>
                <w:color w:val="auto"/>
              </w:rPr>
            </w:pPr>
          </w:p>
        </w:tc>
      </w:tr>
      <w:tr>
        <w:trPr>
          <w:trHeight w:val="304"/>
        </w:trPr>
        <w:tc>
          <w:tcPr>
            <w:tcW w:w="1600" w:type="dxa"/>
            <w:vAlign w:val="bottom"/>
            <w:tcBorders>
              <w:left w:val="single" w:sz="8" w:color="C3E6FF"/>
              <w:bottom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payouts</w:t>
            </w:r>
            <w:r>
              <w:rPr>
                <w:rFonts w:ascii="Arial" w:cs="Arial" w:eastAsia="Arial" w:hAnsi="Arial"/>
                <w:sz w:val="23"/>
                <w:szCs w:val="23"/>
                <w:color w:val="auto"/>
                <w:vertAlign w:val="superscript"/>
              </w:rPr>
              <w:t>(1)</w:t>
            </w:r>
          </w:p>
        </w:tc>
        <w:tc>
          <w:tcPr>
            <w:tcW w:w="1020" w:type="dxa"/>
            <w:vAlign w:val="bottom"/>
            <w:tcBorders>
              <w:bottom w:val="single" w:sz="8" w:color="C3E6FF"/>
            </w:tcBorders>
            <w:shd w:val="clear" w:color="auto" w:fill="F3F9FF"/>
          </w:tcPr>
          <w:p>
            <w:pPr>
              <w:jc w:val="right"/>
              <w:spacing w:after="0"/>
              <w:rPr>
                <w:sz w:val="20"/>
                <w:szCs w:val="20"/>
                <w:color w:val="auto"/>
              </w:rPr>
            </w:pPr>
            <w:r>
              <w:rPr>
                <w:rFonts w:ascii="Arial" w:cs="Arial" w:eastAsia="Arial" w:hAnsi="Arial"/>
                <w:sz w:val="14"/>
                <w:szCs w:val="14"/>
                <w:color w:val="auto"/>
              </w:rPr>
              <w:t>98,538</w:t>
            </w:r>
          </w:p>
        </w:tc>
        <w:tc>
          <w:tcPr>
            <w:tcW w:w="1240" w:type="dxa"/>
            <w:vAlign w:val="bottom"/>
            <w:tcBorders>
              <w:bottom w:val="single" w:sz="8" w:color="C3E6FF"/>
            </w:tcBorders>
            <w:shd w:val="clear" w:color="auto" w:fill="F3F9FF"/>
          </w:tcPr>
          <w:p>
            <w:pPr>
              <w:jc w:val="right"/>
              <w:spacing w:after="0"/>
              <w:rPr>
                <w:sz w:val="20"/>
                <w:szCs w:val="20"/>
                <w:color w:val="auto"/>
              </w:rPr>
            </w:pPr>
            <w:r>
              <w:rPr>
                <w:rFonts w:ascii="Arial" w:cs="Arial" w:eastAsia="Arial" w:hAnsi="Arial"/>
                <w:sz w:val="14"/>
                <w:szCs w:val="14"/>
                <w:color w:val="auto"/>
              </w:rPr>
              <w:t>98,538</w:t>
            </w:r>
          </w:p>
        </w:tc>
        <w:tc>
          <w:tcPr>
            <w:tcW w:w="1660" w:type="dxa"/>
            <w:vAlign w:val="bottom"/>
            <w:tcBorders>
              <w:bottom w:val="single" w:sz="8" w:color="C3E6FF"/>
            </w:tcBorders>
            <w:shd w:val="clear" w:color="auto" w:fill="F3F9FF"/>
          </w:tcPr>
          <w:p>
            <w:pPr>
              <w:jc w:val="right"/>
              <w:spacing w:after="0"/>
              <w:rPr>
                <w:sz w:val="20"/>
                <w:szCs w:val="20"/>
                <w:color w:val="auto"/>
              </w:rPr>
            </w:pPr>
            <w:r>
              <w:rPr>
                <w:rFonts w:ascii="Arial" w:cs="Arial" w:eastAsia="Arial" w:hAnsi="Arial"/>
                <w:sz w:val="14"/>
                <w:szCs w:val="14"/>
                <w:color w:val="auto"/>
              </w:rPr>
              <w:t>98,538</w:t>
            </w:r>
          </w:p>
        </w:tc>
        <w:tc>
          <w:tcPr>
            <w:tcW w:w="1340" w:type="dxa"/>
            <w:vAlign w:val="bottom"/>
            <w:tcBorders>
              <w:bottom w:val="single" w:sz="8" w:color="C3E6FF"/>
            </w:tcBorders>
            <w:shd w:val="clear" w:color="auto" w:fill="F3F9FF"/>
          </w:tcPr>
          <w:p>
            <w:pPr>
              <w:spacing w:after="0"/>
              <w:rPr>
                <w:sz w:val="24"/>
                <w:szCs w:val="24"/>
                <w:color w:val="auto"/>
              </w:rPr>
            </w:pPr>
          </w:p>
        </w:tc>
        <w:tc>
          <w:tcPr>
            <w:tcW w:w="4380" w:type="dxa"/>
            <w:vAlign w:val="bottom"/>
            <w:tcBorders>
              <w:bottom w:val="single" w:sz="8" w:color="C3E6FF"/>
              <w:right w:val="single" w:sz="8" w:color="C3E6FF"/>
            </w:tcBorders>
            <w:shd w:val="clear" w:color="auto" w:fill="F3F9FF"/>
          </w:tcPr>
          <w:p>
            <w:pPr>
              <w:jc w:val="right"/>
              <w:ind w:right="8"/>
              <w:spacing w:after="0"/>
              <w:rPr>
                <w:sz w:val="20"/>
                <w:szCs w:val="20"/>
                <w:color w:val="auto"/>
              </w:rPr>
            </w:pPr>
            <w:r>
              <w:rPr>
                <w:rFonts w:ascii="Arial" w:cs="Arial" w:eastAsia="Arial" w:hAnsi="Arial"/>
                <w:sz w:val="14"/>
                <w:szCs w:val="14"/>
                <w:color w:val="auto"/>
              </w:rPr>
              <w:t>98,538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262626"/>
        </w:rPr>
        <w:t>(1) Represents distributions under the Gratuity Plan, which is due to Mr. Bhalla because he has earned over five years of credited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F6503"/>
        </w:rPr>
        <w:t>Samuel Meckey</w:t>
      </w:r>
    </w:p>
    <w:p>
      <w:pPr>
        <w:spacing w:after="0" w:line="18"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262626"/>
        </w:rPr>
        <w:t>Either Mr. Meckey or we may terminate Mr. Meckey’s employment at any time (though we must give Mr. Meckey 30 days’ notice if the termination is without “cause” and Mr. Meckey must give us 60 days’ advance notice upon any resignation). If Mr. Meckey’s employment with the Company is terminated by the Company without “cause” (other than due to death or disability) or by Mr. Meckey for “good reason” (both “cause” and “good reason” as defined above), Mr. Meckey will receive a cash severance payment equal to 12 months base salary, with 25% payable as a lump sum payment and the remaining 75% payable in accordance with the Company’s regular payroll practices.</w:t>
      </w:r>
    </w:p>
    <w:p>
      <w:pPr>
        <w:spacing w:after="0" w:line="17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262626"/>
        </w:rPr>
        <w:t>On a “change in control” (as defined in the 2018 Plan) or death, Mr. Meckey’s outstanding equity awards will vest in the same manner as described for Mr. Bagai’s outstanding equity awards on page 73.</w:t>
      </w:r>
    </w:p>
    <w:p>
      <w:pPr>
        <w:spacing w:after="0" w:line="18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262626"/>
        </w:rPr>
        <w:t>Mr. Meckey’s severance payments and termination-related equity acceleration are subject to his execution of a release of claims against us. Mr. Meckey is subject to confidentiality restrictions at all times, as well as noncompetition, nondisparagement and nonsolicitation restrictions during his employment and for one year thereafter.</w:t>
      </w:r>
    </w:p>
    <w:p>
      <w:pPr>
        <w:spacing w:after="0" w:line="32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62626"/>
        </w:rPr>
        <w:t>Indicative Payouts for Samuel Meckey</w:t>
      </w:r>
    </w:p>
    <w:p>
      <w:pPr>
        <w:spacing w:after="0" w:line="201" w:lineRule="exact"/>
        <w:rPr>
          <w:sz w:val="20"/>
          <w:szCs w:val="20"/>
          <w:color w:val="auto"/>
        </w:rPr>
      </w:pPr>
    </w:p>
    <w:tbl>
      <w:tblPr>
        <w:tblLayout w:type="fixed"/>
        <w:tblInd w:w="250" w:type="dxa"/>
        <w:tblCellMar>
          <w:top w:w="0" w:type="dxa"/>
          <w:left w:w="0" w:type="dxa"/>
          <w:bottom w:w="0" w:type="dxa"/>
          <w:right w:w="0" w:type="dxa"/>
        </w:tblCellMar>
      </w:tblPr>
      <w:tr>
        <w:trPr>
          <w:trHeight w:val="284"/>
        </w:trPr>
        <w:tc>
          <w:tcPr>
            <w:tcW w:w="1500" w:type="dxa"/>
            <w:vAlign w:val="bottom"/>
            <w:tcBorders>
              <w:top w:val="single" w:sz="8" w:color="C3E6FF"/>
              <w:left w:val="single" w:sz="8" w:color="C3E6FF"/>
            </w:tcBorders>
            <w:shd w:val="clear" w:color="auto" w:fill="0093FF"/>
          </w:tcPr>
          <w:p>
            <w:pPr>
              <w:spacing w:after="0"/>
              <w:rPr>
                <w:sz w:val="24"/>
                <w:szCs w:val="24"/>
                <w:color w:val="auto"/>
              </w:rPr>
            </w:pPr>
          </w:p>
        </w:tc>
        <w:tc>
          <w:tcPr>
            <w:tcW w:w="900" w:type="dxa"/>
            <w:vAlign w:val="bottom"/>
            <w:tcBorders>
              <w:top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Death</w:t>
            </w:r>
          </w:p>
        </w:tc>
        <w:tc>
          <w:tcPr>
            <w:tcW w:w="1120" w:type="dxa"/>
            <w:vAlign w:val="bottom"/>
            <w:tcBorders>
              <w:top w:val="single" w:sz="8" w:color="C3E6FF"/>
            </w:tcBorders>
            <w:shd w:val="clear" w:color="auto" w:fill="0093FF"/>
          </w:tcPr>
          <w:p>
            <w:pPr>
              <w:spacing w:after="0"/>
              <w:rPr>
                <w:sz w:val="24"/>
                <w:szCs w:val="24"/>
                <w:color w:val="auto"/>
              </w:rPr>
            </w:pPr>
          </w:p>
        </w:tc>
        <w:tc>
          <w:tcPr>
            <w:tcW w:w="1580" w:type="dxa"/>
            <w:vAlign w:val="bottom"/>
            <w:tcBorders>
              <w:top w:val="single" w:sz="8" w:color="C3E6FF"/>
            </w:tcBorders>
            <w:shd w:val="clear" w:color="auto" w:fill="0093FF"/>
          </w:tcPr>
          <w:p>
            <w:pPr>
              <w:spacing w:after="0"/>
              <w:rPr>
                <w:sz w:val="24"/>
                <w:szCs w:val="24"/>
                <w:color w:val="auto"/>
              </w:rPr>
            </w:pPr>
          </w:p>
        </w:tc>
        <w:tc>
          <w:tcPr>
            <w:tcW w:w="1240" w:type="dxa"/>
            <w:vAlign w:val="bottom"/>
            <w:tcBorders>
              <w:top w:val="single" w:sz="8" w:color="C3E6FF"/>
            </w:tcBorders>
            <w:shd w:val="clear" w:color="auto" w:fill="0093FF"/>
          </w:tcPr>
          <w:p>
            <w:pPr>
              <w:spacing w:after="0"/>
              <w:rPr>
                <w:sz w:val="24"/>
                <w:szCs w:val="24"/>
                <w:color w:val="auto"/>
              </w:rPr>
            </w:pPr>
          </w:p>
        </w:tc>
        <w:tc>
          <w:tcPr>
            <w:tcW w:w="4440" w:type="dxa"/>
            <w:vAlign w:val="bottom"/>
            <w:tcBorders>
              <w:top w:val="single" w:sz="8" w:color="C3E6FF"/>
              <w:right w:val="single" w:sz="8" w:color="C3E6FF"/>
            </w:tcBorders>
            <w:shd w:val="clear" w:color="auto" w:fill="0093FF"/>
          </w:tcPr>
          <w:p>
            <w:pPr>
              <w:ind w:left="280"/>
              <w:spacing w:after="0"/>
              <w:rPr>
                <w:sz w:val="20"/>
                <w:szCs w:val="20"/>
                <w:color w:val="auto"/>
              </w:rPr>
            </w:pPr>
            <w:r>
              <w:rPr>
                <w:rFonts w:ascii="Arial" w:cs="Arial" w:eastAsia="Arial" w:hAnsi="Arial"/>
                <w:sz w:val="14"/>
                <w:szCs w:val="14"/>
                <w:b w:val="1"/>
                <w:bCs w:val="1"/>
                <w:color w:val="FFFFFF"/>
              </w:rPr>
              <w:t>Termination Without Cause or for Good</w:t>
            </w:r>
          </w:p>
        </w:tc>
      </w:tr>
      <w:tr>
        <w:trPr>
          <w:trHeight w:val="162"/>
        </w:trPr>
        <w:tc>
          <w:tcPr>
            <w:tcW w:w="1500" w:type="dxa"/>
            <w:vAlign w:val="bottom"/>
            <w:tcBorders>
              <w:left w:val="single" w:sz="8" w:color="C3E6FF"/>
            </w:tcBorders>
            <w:shd w:val="clear" w:color="auto" w:fill="0093FF"/>
          </w:tcPr>
          <w:p>
            <w:pPr>
              <w:spacing w:after="0"/>
              <w:rPr>
                <w:sz w:val="14"/>
                <w:szCs w:val="14"/>
                <w:color w:val="auto"/>
              </w:rPr>
            </w:pPr>
          </w:p>
        </w:tc>
        <w:tc>
          <w:tcPr>
            <w:tcW w:w="900" w:type="dxa"/>
            <w:vAlign w:val="bottom"/>
            <w:shd w:val="clear" w:color="auto" w:fill="0093FF"/>
          </w:tcPr>
          <w:p>
            <w:pPr>
              <w:ind w:left="80"/>
              <w:spacing w:after="0"/>
              <w:rPr>
                <w:sz w:val="20"/>
                <w:szCs w:val="20"/>
                <w:color w:val="auto"/>
              </w:rPr>
            </w:pPr>
            <w:r>
              <w:rPr>
                <w:rFonts w:ascii="Arial" w:cs="Arial" w:eastAsia="Arial" w:hAnsi="Arial"/>
                <w:sz w:val="14"/>
                <w:szCs w:val="14"/>
                <w:b w:val="1"/>
                <w:bCs w:val="1"/>
                <w:color w:val="FFFFFF"/>
              </w:rPr>
              <w:t>Prior to a</w:t>
            </w:r>
          </w:p>
        </w:tc>
        <w:tc>
          <w:tcPr>
            <w:tcW w:w="1120" w:type="dxa"/>
            <w:vAlign w:val="bottom"/>
            <w:shd w:val="clear" w:color="auto" w:fill="0093FF"/>
          </w:tcPr>
          <w:p>
            <w:pPr>
              <w:ind w:left="140"/>
              <w:spacing w:after="0"/>
              <w:rPr>
                <w:sz w:val="20"/>
                <w:szCs w:val="20"/>
                <w:color w:val="auto"/>
              </w:rPr>
            </w:pPr>
            <w:r>
              <w:rPr>
                <w:rFonts w:ascii="Arial" w:cs="Arial" w:eastAsia="Arial" w:hAnsi="Arial"/>
                <w:sz w:val="14"/>
                <w:szCs w:val="14"/>
                <w:b w:val="1"/>
                <w:bCs w:val="1"/>
                <w:color w:val="FFFFFF"/>
              </w:rPr>
              <w:t>Death After</w:t>
            </w:r>
          </w:p>
        </w:tc>
        <w:tc>
          <w:tcPr>
            <w:tcW w:w="1580" w:type="dxa"/>
            <w:vAlign w:val="bottom"/>
            <w:shd w:val="clear" w:color="auto" w:fill="0093FF"/>
          </w:tcPr>
          <w:p>
            <w:pPr>
              <w:ind w:left="220"/>
              <w:spacing w:after="0"/>
              <w:rPr>
                <w:sz w:val="20"/>
                <w:szCs w:val="20"/>
                <w:color w:val="auto"/>
              </w:rPr>
            </w:pPr>
            <w:r>
              <w:rPr>
                <w:rFonts w:ascii="Arial" w:cs="Arial" w:eastAsia="Arial" w:hAnsi="Arial"/>
                <w:sz w:val="14"/>
                <w:szCs w:val="14"/>
                <w:b w:val="1"/>
                <w:bCs w:val="1"/>
                <w:color w:val="FFFFFF"/>
              </w:rPr>
              <w:t>Termination for</w:t>
            </w:r>
          </w:p>
        </w:tc>
        <w:tc>
          <w:tcPr>
            <w:tcW w:w="1240" w:type="dxa"/>
            <w:vAlign w:val="bottom"/>
            <w:shd w:val="clear" w:color="auto" w:fill="0093FF"/>
          </w:tcPr>
          <w:p>
            <w:pPr>
              <w:spacing w:after="0"/>
              <w:rPr>
                <w:sz w:val="14"/>
                <w:szCs w:val="14"/>
                <w:color w:val="auto"/>
              </w:rPr>
            </w:pPr>
          </w:p>
        </w:tc>
        <w:tc>
          <w:tcPr>
            <w:tcW w:w="4440" w:type="dxa"/>
            <w:vAlign w:val="bottom"/>
            <w:tcBorders>
              <w:right w:val="single" w:sz="8" w:color="C3E6FF"/>
            </w:tcBorders>
            <w:shd w:val="clear" w:color="auto" w:fill="0093FF"/>
          </w:tcPr>
          <w:p>
            <w:pPr>
              <w:ind w:left="280"/>
              <w:spacing w:after="0"/>
              <w:rPr>
                <w:sz w:val="20"/>
                <w:szCs w:val="20"/>
                <w:color w:val="auto"/>
              </w:rPr>
            </w:pPr>
            <w:r>
              <w:rPr>
                <w:rFonts w:ascii="Arial" w:cs="Arial" w:eastAsia="Arial" w:hAnsi="Arial"/>
                <w:sz w:val="14"/>
                <w:szCs w:val="14"/>
                <w:b w:val="1"/>
                <w:bCs w:val="1"/>
                <w:color w:val="FFFFFF"/>
              </w:rPr>
              <w:t>Reason Following Change in Control or</w:t>
            </w:r>
          </w:p>
        </w:tc>
      </w:tr>
      <w:tr>
        <w:trPr>
          <w:trHeight w:val="162"/>
        </w:trPr>
        <w:tc>
          <w:tcPr>
            <w:tcW w:w="1500" w:type="dxa"/>
            <w:vAlign w:val="bottom"/>
            <w:tcBorders>
              <w:left w:val="single" w:sz="8" w:color="C3E6FF"/>
            </w:tcBorders>
            <w:shd w:val="clear" w:color="auto" w:fill="0093FF"/>
          </w:tcPr>
          <w:p>
            <w:pPr>
              <w:spacing w:after="0"/>
              <w:rPr>
                <w:sz w:val="14"/>
                <w:szCs w:val="14"/>
                <w:color w:val="auto"/>
              </w:rPr>
            </w:pPr>
          </w:p>
        </w:tc>
        <w:tc>
          <w:tcPr>
            <w:tcW w:w="900" w:type="dxa"/>
            <w:vAlign w:val="bottom"/>
            <w:shd w:val="clear" w:color="auto" w:fill="0093FF"/>
          </w:tcPr>
          <w:p>
            <w:pPr>
              <w:ind w:left="80"/>
              <w:spacing w:after="0"/>
              <w:rPr>
                <w:sz w:val="20"/>
                <w:szCs w:val="20"/>
                <w:color w:val="auto"/>
              </w:rPr>
            </w:pPr>
            <w:r>
              <w:rPr>
                <w:rFonts w:ascii="Arial" w:cs="Arial" w:eastAsia="Arial" w:hAnsi="Arial"/>
                <w:sz w:val="14"/>
                <w:szCs w:val="14"/>
                <w:b w:val="1"/>
                <w:bCs w:val="1"/>
                <w:color w:val="FFFFFF"/>
              </w:rPr>
              <w:t>Change</w:t>
            </w:r>
          </w:p>
        </w:tc>
        <w:tc>
          <w:tcPr>
            <w:tcW w:w="1120" w:type="dxa"/>
            <w:vAlign w:val="bottom"/>
            <w:shd w:val="clear" w:color="auto" w:fill="0093FF"/>
          </w:tcPr>
          <w:p>
            <w:pPr>
              <w:ind w:left="140"/>
              <w:spacing w:after="0"/>
              <w:rPr>
                <w:sz w:val="20"/>
                <w:szCs w:val="20"/>
                <w:color w:val="auto"/>
              </w:rPr>
            </w:pPr>
            <w:r>
              <w:rPr>
                <w:rFonts w:ascii="Arial" w:cs="Arial" w:eastAsia="Arial" w:hAnsi="Arial"/>
                <w:sz w:val="14"/>
                <w:szCs w:val="14"/>
                <w:b w:val="1"/>
                <w:bCs w:val="1"/>
                <w:color w:val="FFFFFF"/>
              </w:rPr>
              <w:t>a Change</w:t>
            </w:r>
          </w:p>
        </w:tc>
        <w:tc>
          <w:tcPr>
            <w:tcW w:w="1580" w:type="dxa"/>
            <w:vAlign w:val="bottom"/>
            <w:shd w:val="clear" w:color="auto" w:fill="0093FF"/>
          </w:tcPr>
          <w:p>
            <w:pPr>
              <w:ind w:left="220"/>
              <w:spacing w:after="0"/>
              <w:rPr>
                <w:sz w:val="20"/>
                <w:szCs w:val="20"/>
                <w:color w:val="auto"/>
              </w:rPr>
            </w:pPr>
            <w:r>
              <w:rPr>
                <w:rFonts w:ascii="Arial" w:cs="Arial" w:eastAsia="Arial" w:hAnsi="Arial"/>
                <w:sz w:val="14"/>
                <w:szCs w:val="14"/>
                <w:b w:val="1"/>
                <w:bCs w:val="1"/>
                <w:color w:val="FFFFFF"/>
              </w:rPr>
              <w:t>Good Reason or</w:t>
            </w:r>
          </w:p>
        </w:tc>
        <w:tc>
          <w:tcPr>
            <w:tcW w:w="1240" w:type="dxa"/>
            <w:vAlign w:val="bottom"/>
            <w:shd w:val="clear" w:color="auto" w:fill="0093FF"/>
          </w:tcPr>
          <w:p>
            <w:pPr>
              <w:ind w:left="240"/>
              <w:spacing w:after="0"/>
              <w:rPr>
                <w:sz w:val="20"/>
                <w:szCs w:val="20"/>
                <w:color w:val="auto"/>
              </w:rPr>
            </w:pPr>
            <w:r>
              <w:rPr>
                <w:rFonts w:ascii="Arial" w:cs="Arial" w:eastAsia="Arial" w:hAnsi="Arial"/>
                <w:sz w:val="14"/>
                <w:szCs w:val="14"/>
                <w:b w:val="1"/>
                <w:bCs w:val="1"/>
                <w:color w:val="FFFFFF"/>
              </w:rPr>
              <w:t>Change in</w:t>
            </w:r>
          </w:p>
        </w:tc>
        <w:tc>
          <w:tcPr>
            <w:tcW w:w="4440" w:type="dxa"/>
            <w:vAlign w:val="bottom"/>
            <w:tcBorders>
              <w:right w:val="single" w:sz="8" w:color="C3E6FF"/>
            </w:tcBorders>
            <w:shd w:val="clear" w:color="auto" w:fill="0093FF"/>
          </w:tcPr>
          <w:p>
            <w:pPr>
              <w:ind w:left="280"/>
              <w:spacing w:after="0"/>
              <w:rPr>
                <w:sz w:val="20"/>
                <w:szCs w:val="20"/>
                <w:color w:val="auto"/>
              </w:rPr>
            </w:pPr>
            <w:r>
              <w:rPr>
                <w:rFonts w:ascii="Arial" w:cs="Arial" w:eastAsia="Arial" w:hAnsi="Arial"/>
                <w:sz w:val="14"/>
                <w:szCs w:val="14"/>
                <w:b w:val="1"/>
                <w:bCs w:val="1"/>
                <w:color w:val="FFFFFF"/>
              </w:rPr>
              <w:t>Termination Without Cause in Specific</w:t>
            </w:r>
          </w:p>
        </w:tc>
      </w:tr>
      <w:tr>
        <w:trPr>
          <w:trHeight w:val="162"/>
        </w:trPr>
        <w:tc>
          <w:tcPr>
            <w:tcW w:w="150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Payments upon</w:t>
            </w:r>
          </w:p>
        </w:tc>
        <w:tc>
          <w:tcPr>
            <w:tcW w:w="900" w:type="dxa"/>
            <w:vAlign w:val="bottom"/>
            <w:shd w:val="clear" w:color="auto" w:fill="0093FF"/>
          </w:tcPr>
          <w:p>
            <w:pPr>
              <w:ind w:left="80"/>
              <w:spacing w:after="0"/>
              <w:rPr>
                <w:sz w:val="20"/>
                <w:szCs w:val="20"/>
                <w:color w:val="auto"/>
              </w:rPr>
            </w:pPr>
            <w:r>
              <w:rPr>
                <w:rFonts w:ascii="Arial" w:cs="Arial" w:eastAsia="Arial" w:hAnsi="Arial"/>
                <w:sz w:val="14"/>
                <w:szCs w:val="14"/>
                <w:b w:val="1"/>
                <w:bCs w:val="1"/>
                <w:color w:val="FFFFFF"/>
              </w:rPr>
              <w:t>in Control</w:t>
            </w:r>
          </w:p>
        </w:tc>
        <w:tc>
          <w:tcPr>
            <w:tcW w:w="1120" w:type="dxa"/>
            <w:vAlign w:val="bottom"/>
            <w:shd w:val="clear" w:color="auto" w:fill="0093FF"/>
          </w:tcPr>
          <w:p>
            <w:pPr>
              <w:ind w:left="140"/>
              <w:spacing w:after="0"/>
              <w:rPr>
                <w:sz w:val="20"/>
                <w:szCs w:val="20"/>
                <w:color w:val="auto"/>
              </w:rPr>
            </w:pPr>
            <w:r>
              <w:rPr>
                <w:rFonts w:ascii="Arial" w:cs="Arial" w:eastAsia="Arial" w:hAnsi="Arial"/>
                <w:sz w:val="14"/>
                <w:szCs w:val="14"/>
                <w:b w:val="1"/>
                <w:bCs w:val="1"/>
                <w:color w:val="FFFFFF"/>
              </w:rPr>
              <w:t>in Control</w:t>
            </w:r>
          </w:p>
        </w:tc>
        <w:tc>
          <w:tcPr>
            <w:tcW w:w="1580" w:type="dxa"/>
            <w:vAlign w:val="bottom"/>
            <w:shd w:val="clear" w:color="auto" w:fill="0093FF"/>
          </w:tcPr>
          <w:p>
            <w:pPr>
              <w:ind w:left="220"/>
              <w:spacing w:after="0"/>
              <w:rPr>
                <w:sz w:val="20"/>
                <w:szCs w:val="20"/>
                <w:color w:val="auto"/>
              </w:rPr>
            </w:pPr>
            <w:r>
              <w:rPr>
                <w:rFonts w:ascii="Arial" w:cs="Arial" w:eastAsia="Arial" w:hAnsi="Arial"/>
                <w:sz w:val="14"/>
                <w:szCs w:val="14"/>
                <w:b w:val="1"/>
                <w:bCs w:val="1"/>
                <w:color w:val="FFFFFF"/>
              </w:rPr>
              <w:t>Without Cause</w:t>
            </w:r>
          </w:p>
        </w:tc>
        <w:tc>
          <w:tcPr>
            <w:tcW w:w="1240" w:type="dxa"/>
            <w:vAlign w:val="bottom"/>
            <w:shd w:val="clear" w:color="auto" w:fill="0093FF"/>
          </w:tcPr>
          <w:p>
            <w:pPr>
              <w:ind w:left="240"/>
              <w:spacing w:after="0"/>
              <w:rPr>
                <w:sz w:val="20"/>
                <w:szCs w:val="20"/>
                <w:color w:val="auto"/>
              </w:rPr>
            </w:pPr>
            <w:r>
              <w:rPr>
                <w:rFonts w:ascii="Arial" w:cs="Arial" w:eastAsia="Arial" w:hAnsi="Arial"/>
                <w:sz w:val="14"/>
                <w:szCs w:val="14"/>
                <w:b w:val="1"/>
                <w:bCs w:val="1"/>
                <w:color w:val="FFFFFF"/>
              </w:rPr>
              <w:t>Control</w:t>
            </w:r>
          </w:p>
        </w:tc>
        <w:tc>
          <w:tcPr>
            <w:tcW w:w="4440" w:type="dxa"/>
            <w:vAlign w:val="bottom"/>
            <w:tcBorders>
              <w:right w:val="single" w:sz="8" w:color="C3E6FF"/>
            </w:tcBorders>
            <w:shd w:val="clear" w:color="auto" w:fill="0093FF"/>
          </w:tcPr>
          <w:p>
            <w:pPr>
              <w:ind w:left="280"/>
              <w:spacing w:after="0"/>
              <w:rPr>
                <w:sz w:val="20"/>
                <w:szCs w:val="20"/>
                <w:color w:val="auto"/>
              </w:rPr>
            </w:pPr>
            <w:r>
              <w:rPr>
                <w:rFonts w:ascii="Arial" w:cs="Arial" w:eastAsia="Arial" w:hAnsi="Arial"/>
                <w:sz w:val="14"/>
                <w:szCs w:val="14"/>
                <w:b w:val="1"/>
                <w:bCs w:val="1"/>
                <w:color w:val="FFFFFF"/>
              </w:rPr>
              <w:t>Contemplation of Change in Control</w:t>
            </w:r>
          </w:p>
        </w:tc>
      </w:tr>
      <w:tr>
        <w:trPr>
          <w:trHeight w:val="190"/>
        </w:trPr>
        <w:tc>
          <w:tcPr>
            <w:tcW w:w="1500" w:type="dxa"/>
            <w:vAlign w:val="bottom"/>
            <w:tcBorders>
              <w:left w:val="single" w:sz="8" w:color="C3E6FF"/>
            </w:tcBorders>
            <w:shd w:val="clear" w:color="auto" w:fill="0093FF"/>
          </w:tcPr>
          <w:p>
            <w:pPr>
              <w:ind w:left="80"/>
              <w:spacing w:after="0"/>
              <w:rPr>
                <w:sz w:val="20"/>
                <w:szCs w:val="20"/>
                <w:color w:val="auto"/>
              </w:rPr>
            </w:pPr>
            <w:r>
              <w:rPr>
                <w:rFonts w:ascii="Arial" w:cs="Arial" w:eastAsia="Arial" w:hAnsi="Arial"/>
                <w:sz w:val="14"/>
                <w:szCs w:val="14"/>
                <w:b w:val="1"/>
                <w:bCs w:val="1"/>
                <w:color w:val="FFFFFF"/>
              </w:rPr>
              <w:t>Termination</w:t>
            </w:r>
          </w:p>
        </w:tc>
        <w:tc>
          <w:tcPr>
            <w:tcW w:w="900" w:type="dxa"/>
            <w:vAlign w:val="bottom"/>
            <w:shd w:val="clear" w:color="auto" w:fill="0093FF"/>
          </w:tcPr>
          <w:p>
            <w:pPr>
              <w:ind w:left="80"/>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0093FF"/>
          </w:tcPr>
          <w:p>
            <w:pPr>
              <w:ind w:left="140"/>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93FF"/>
          </w:tcPr>
          <w:p>
            <w:pPr>
              <w:ind w:left="220"/>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93FF"/>
          </w:tcPr>
          <w:p>
            <w:pPr>
              <w:ind w:left="240"/>
              <w:spacing w:after="0"/>
              <w:rPr>
                <w:sz w:val="20"/>
                <w:szCs w:val="20"/>
                <w:color w:val="auto"/>
              </w:rPr>
            </w:pPr>
            <w:r>
              <w:rPr>
                <w:rFonts w:ascii="Arial" w:cs="Arial" w:eastAsia="Arial" w:hAnsi="Arial"/>
                <w:sz w:val="14"/>
                <w:szCs w:val="14"/>
                <w:b w:val="1"/>
                <w:bCs w:val="1"/>
                <w:color w:val="FFFFFF"/>
              </w:rPr>
              <w:t>($)</w:t>
            </w:r>
          </w:p>
        </w:tc>
        <w:tc>
          <w:tcPr>
            <w:tcW w:w="4440" w:type="dxa"/>
            <w:vAlign w:val="bottom"/>
            <w:tcBorders>
              <w:right w:val="single" w:sz="8" w:color="C3E6FF"/>
            </w:tcBorders>
            <w:shd w:val="clear" w:color="auto" w:fill="0093FF"/>
          </w:tcPr>
          <w:p>
            <w:pPr>
              <w:ind w:left="280"/>
              <w:spacing w:after="0"/>
              <w:rPr>
                <w:sz w:val="20"/>
                <w:szCs w:val="20"/>
                <w:color w:val="auto"/>
              </w:rPr>
            </w:pPr>
            <w:r>
              <w:rPr>
                <w:rFonts w:ascii="Arial" w:cs="Arial" w:eastAsia="Arial" w:hAnsi="Arial"/>
                <w:sz w:val="14"/>
                <w:szCs w:val="14"/>
                <w:b w:val="1"/>
                <w:bCs w:val="1"/>
                <w:color w:val="FFFFFF"/>
              </w:rPr>
              <w:t>($)</w:t>
            </w:r>
          </w:p>
        </w:tc>
      </w:tr>
      <w:tr>
        <w:trPr>
          <w:trHeight w:val="93"/>
        </w:trPr>
        <w:tc>
          <w:tcPr>
            <w:tcW w:w="1500" w:type="dxa"/>
            <w:vAlign w:val="bottom"/>
            <w:tcBorders>
              <w:left w:val="single" w:sz="8" w:color="C3E6FF"/>
            </w:tcBorders>
            <w:shd w:val="clear" w:color="auto" w:fill="0093FF"/>
          </w:tcPr>
          <w:p>
            <w:pPr>
              <w:spacing w:after="0"/>
              <w:rPr>
                <w:sz w:val="8"/>
                <w:szCs w:val="8"/>
                <w:color w:val="auto"/>
              </w:rPr>
            </w:pPr>
          </w:p>
        </w:tc>
        <w:tc>
          <w:tcPr>
            <w:tcW w:w="900" w:type="dxa"/>
            <w:vAlign w:val="bottom"/>
            <w:shd w:val="clear" w:color="auto" w:fill="0093FF"/>
          </w:tcPr>
          <w:p>
            <w:pPr>
              <w:spacing w:after="0"/>
              <w:rPr>
                <w:sz w:val="8"/>
                <w:szCs w:val="8"/>
                <w:color w:val="auto"/>
              </w:rPr>
            </w:pPr>
          </w:p>
        </w:tc>
        <w:tc>
          <w:tcPr>
            <w:tcW w:w="1120" w:type="dxa"/>
            <w:vAlign w:val="bottom"/>
            <w:shd w:val="clear" w:color="auto" w:fill="0093FF"/>
          </w:tcPr>
          <w:p>
            <w:pPr>
              <w:spacing w:after="0"/>
              <w:rPr>
                <w:sz w:val="8"/>
                <w:szCs w:val="8"/>
                <w:color w:val="auto"/>
              </w:rPr>
            </w:pPr>
          </w:p>
        </w:tc>
        <w:tc>
          <w:tcPr>
            <w:tcW w:w="1580" w:type="dxa"/>
            <w:vAlign w:val="bottom"/>
            <w:shd w:val="clear" w:color="auto" w:fill="0093FF"/>
          </w:tcPr>
          <w:p>
            <w:pPr>
              <w:spacing w:after="0"/>
              <w:rPr>
                <w:sz w:val="8"/>
                <w:szCs w:val="8"/>
                <w:color w:val="auto"/>
              </w:rPr>
            </w:pPr>
          </w:p>
        </w:tc>
        <w:tc>
          <w:tcPr>
            <w:tcW w:w="1240" w:type="dxa"/>
            <w:vAlign w:val="bottom"/>
            <w:shd w:val="clear" w:color="auto" w:fill="0093FF"/>
          </w:tcPr>
          <w:p>
            <w:pPr>
              <w:spacing w:after="0"/>
              <w:rPr>
                <w:sz w:val="8"/>
                <w:szCs w:val="8"/>
                <w:color w:val="auto"/>
              </w:rPr>
            </w:pPr>
          </w:p>
        </w:tc>
        <w:tc>
          <w:tcPr>
            <w:tcW w:w="4440" w:type="dxa"/>
            <w:vAlign w:val="bottom"/>
            <w:tcBorders>
              <w:right w:val="single" w:sz="8" w:color="C3E6FF"/>
            </w:tcBorders>
            <w:shd w:val="clear" w:color="auto" w:fill="0093FF"/>
          </w:tcPr>
          <w:p>
            <w:pPr>
              <w:spacing w:after="0"/>
              <w:rPr>
                <w:sz w:val="8"/>
                <w:szCs w:val="8"/>
                <w:color w:val="auto"/>
              </w:rPr>
            </w:pPr>
          </w:p>
        </w:tc>
      </w:tr>
      <w:tr>
        <w:trPr>
          <w:trHeight w:val="285"/>
        </w:trPr>
        <w:tc>
          <w:tcPr>
            <w:tcW w:w="15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Base salary payout</w:t>
            </w:r>
          </w:p>
        </w:tc>
        <w:tc>
          <w:tcPr>
            <w:tcW w:w="900" w:type="dxa"/>
            <w:vAlign w:val="bottom"/>
            <w:shd w:val="clear" w:color="auto" w:fill="F3F9FF"/>
          </w:tcPr>
          <w:p>
            <w:pPr>
              <w:ind w:left="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F9FF"/>
          </w:tcPr>
          <w:p>
            <w:pPr>
              <w:ind w:left="1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F3F9FF"/>
          </w:tcPr>
          <w:p>
            <w:pPr>
              <w:ind w:left="220"/>
              <w:spacing w:after="0"/>
              <w:rPr>
                <w:sz w:val="20"/>
                <w:szCs w:val="20"/>
                <w:color w:val="auto"/>
              </w:rPr>
            </w:pPr>
            <w:r>
              <w:rPr>
                <w:rFonts w:ascii="Arial" w:cs="Arial" w:eastAsia="Arial" w:hAnsi="Arial"/>
                <w:sz w:val="14"/>
                <w:szCs w:val="14"/>
                <w:color w:val="auto"/>
              </w:rPr>
              <w:t>425,000</w:t>
            </w:r>
          </w:p>
        </w:tc>
        <w:tc>
          <w:tcPr>
            <w:tcW w:w="1240" w:type="dxa"/>
            <w:vAlign w:val="bottom"/>
            <w:shd w:val="clear" w:color="auto" w:fill="F3F9FF"/>
          </w:tcPr>
          <w:p>
            <w:pPr>
              <w:ind w:left="240"/>
              <w:spacing w:after="0"/>
              <w:rPr>
                <w:sz w:val="20"/>
                <w:szCs w:val="20"/>
                <w:color w:val="auto"/>
              </w:rPr>
            </w:pPr>
            <w:r>
              <w:rPr>
                <w:rFonts w:ascii="Arial" w:cs="Arial" w:eastAsia="Arial" w:hAnsi="Arial"/>
                <w:sz w:val="14"/>
                <w:szCs w:val="14"/>
                <w:color w:val="auto"/>
              </w:rPr>
              <w:t>—</w:t>
            </w:r>
          </w:p>
        </w:tc>
        <w:tc>
          <w:tcPr>
            <w:tcW w:w="4440" w:type="dxa"/>
            <w:vAlign w:val="bottom"/>
            <w:tcBorders>
              <w:right w:val="single" w:sz="8" w:color="C3E6FF"/>
            </w:tcBorders>
            <w:shd w:val="clear" w:color="auto" w:fill="F3F9FF"/>
          </w:tcPr>
          <w:p>
            <w:pPr>
              <w:ind w:left="280"/>
              <w:spacing w:after="0"/>
              <w:rPr>
                <w:sz w:val="20"/>
                <w:szCs w:val="20"/>
                <w:color w:val="auto"/>
              </w:rPr>
            </w:pPr>
            <w:r>
              <w:rPr>
                <w:rFonts w:ascii="Arial" w:cs="Arial" w:eastAsia="Arial" w:hAnsi="Arial"/>
                <w:sz w:val="14"/>
                <w:szCs w:val="14"/>
                <w:color w:val="auto"/>
              </w:rPr>
              <w:t>425,000</w:t>
            </w:r>
          </w:p>
        </w:tc>
      </w:tr>
      <w:tr>
        <w:trPr>
          <w:trHeight w:val="93"/>
        </w:trPr>
        <w:tc>
          <w:tcPr>
            <w:tcW w:w="1500" w:type="dxa"/>
            <w:vAlign w:val="bottom"/>
            <w:tcBorders>
              <w:left w:val="single" w:sz="8" w:color="C3E6FF"/>
            </w:tcBorders>
            <w:shd w:val="clear" w:color="auto" w:fill="F3F9FF"/>
          </w:tcPr>
          <w:p>
            <w:pPr>
              <w:spacing w:after="0"/>
              <w:rPr>
                <w:sz w:val="8"/>
                <w:szCs w:val="8"/>
                <w:color w:val="auto"/>
              </w:rPr>
            </w:pPr>
          </w:p>
        </w:tc>
        <w:tc>
          <w:tcPr>
            <w:tcW w:w="900" w:type="dxa"/>
            <w:vAlign w:val="bottom"/>
            <w:shd w:val="clear" w:color="auto" w:fill="F3F9FF"/>
          </w:tcPr>
          <w:p>
            <w:pPr>
              <w:spacing w:after="0"/>
              <w:rPr>
                <w:sz w:val="8"/>
                <w:szCs w:val="8"/>
                <w:color w:val="auto"/>
              </w:rPr>
            </w:pPr>
          </w:p>
        </w:tc>
        <w:tc>
          <w:tcPr>
            <w:tcW w:w="1120" w:type="dxa"/>
            <w:vAlign w:val="bottom"/>
            <w:shd w:val="clear" w:color="auto" w:fill="F3F9FF"/>
          </w:tcPr>
          <w:p>
            <w:pPr>
              <w:spacing w:after="0"/>
              <w:rPr>
                <w:sz w:val="8"/>
                <w:szCs w:val="8"/>
                <w:color w:val="auto"/>
              </w:rPr>
            </w:pPr>
          </w:p>
        </w:tc>
        <w:tc>
          <w:tcPr>
            <w:tcW w:w="1580" w:type="dxa"/>
            <w:vAlign w:val="bottom"/>
            <w:shd w:val="clear" w:color="auto" w:fill="F3F9FF"/>
          </w:tcPr>
          <w:p>
            <w:pPr>
              <w:spacing w:after="0"/>
              <w:rPr>
                <w:sz w:val="8"/>
                <w:szCs w:val="8"/>
                <w:color w:val="auto"/>
              </w:rPr>
            </w:pPr>
          </w:p>
        </w:tc>
        <w:tc>
          <w:tcPr>
            <w:tcW w:w="1240" w:type="dxa"/>
            <w:vAlign w:val="bottom"/>
            <w:shd w:val="clear" w:color="auto" w:fill="F3F9FF"/>
          </w:tcPr>
          <w:p>
            <w:pPr>
              <w:spacing w:after="0"/>
              <w:rPr>
                <w:sz w:val="8"/>
                <w:szCs w:val="8"/>
                <w:color w:val="auto"/>
              </w:rPr>
            </w:pPr>
          </w:p>
        </w:tc>
        <w:tc>
          <w:tcPr>
            <w:tcW w:w="4440" w:type="dxa"/>
            <w:vAlign w:val="bottom"/>
            <w:tcBorders>
              <w:right w:val="single" w:sz="8" w:color="C3E6FF"/>
            </w:tcBorders>
            <w:shd w:val="clear" w:color="auto" w:fill="F3F9FF"/>
          </w:tcPr>
          <w:p>
            <w:pPr>
              <w:spacing w:after="0"/>
              <w:rPr>
                <w:sz w:val="8"/>
                <w:szCs w:val="8"/>
                <w:color w:val="auto"/>
              </w:rPr>
            </w:pPr>
          </w:p>
        </w:tc>
      </w:tr>
      <w:tr>
        <w:trPr>
          <w:trHeight w:val="285"/>
        </w:trPr>
        <w:tc>
          <w:tcPr>
            <w:tcW w:w="1500" w:type="dxa"/>
            <w:vAlign w:val="bottom"/>
            <w:tcBorders>
              <w:left w:val="single" w:sz="8" w:color="C3E6FF"/>
            </w:tcBorders>
          </w:tcPr>
          <w:p>
            <w:pPr>
              <w:ind w:left="80"/>
              <w:spacing w:after="0"/>
              <w:rPr>
                <w:sz w:val="20"/>
                <w:szCs w:val="20"/>
                <w:color w:val="auto"/>
              </w:rPr>
            </w:pPr>
            <w:r>
              <w:rPr>
                <w:rFonts w:ascii="Arial" w:cs="Arial" w:eastAsia="Arial" w:hAnsi="Arial"/>
                <w:sz w:val="14"/>
                <w:szCs w:val="14"/>
                <w:color w:val="auto"/>
              </w:rPr>
              <w:t>Restricted stock units</w:t>
            </w:r>
          </w:p>
        </w:tc>
        <w:tc>
          <w:tcPr>
            <w:tcW w:w="900" w:type="dxa"/>
            <w:vAlign w:val="bottom"/>
          </w:tcPr>
          <w:p>
            <w:pPr>
              <w:ind w:left="80"/>
              <w:spacing w:after="0"/>
              <w:rPr>
                <w:sz w:val="20"/>
                <w:szCs w:val="20"/>
                <w:color w:val="auto"/>
              </w:rPr>
            </w:pPr>
            <w:r>
              <w:rPr>
                <w:rFonts w:ascii="Arial" w:cs="Arial" w:eastAsia="Arial" w:hAnsi="Arial"/>
                <w:sz w:val="14"/>
                <w:szCs w:val="14"/>
                <w:color w:val="auto"/>
              </w:rPr>
              <w:t>816,155</w:t>
            </w:r>
          </w:p>
        </w:tc>
        <w:tc>
          <w:tcPr>
            <w:tcW w:w="1120" w:type="dxa"/>
            <w:vAlign w:val="bottom"/>
          </w:tcPr>
          <w:p>
            <w:pPr>
              <w:ind w:left="140"/>
              <w:spacing w:after="0"/>
              <w:rPr>
                <w:sz w:val="20"/>
                <w:szCs w:val="20"/>
                <w:color w:val="auto"/>
              </w:rPr>
            </w:pPr>
            <w:r>
              <w:rPr>
                <w:rFonts w:ascii="Arial" w:cs="Arial" w:eastAsia="Arial" w:hAnsi="Arial"/>
                <w:sz w:val="14"/>
                <w:szCs w:val="14"/>
                <w:color w:val="auto"/>
              </w:rPr>
              <w:t>816,155</w:t>
            </w:r>
          </w:p>
        </w:tc>
        <w:tc>
          <w:tcPr>
            <w:tcW w:w="1580" w:type="dxa"/>
            <w:vAlign w:val="bottom"/>
          </w:tcPr>
          <w:p>
            <w:pPr>
              <w:ind w:left="220"/>
              <w:spacing w:after="0"/>
              <w:rPr>
                <w:sz w:val="20"/>
                <w:szCs w:val="20"/>
                <w:color w:val="auto"/>
              </w:rPr>
            </w:pPr>
            <w:r>
              <w:rPr>
                <w:rFonts w:ascii="Arial" w:cs="Arial" w:eastAsia="Arial" w:hAnsi="Arial"/>
                <w:sz w:val="14"/>
                <w:szCs w:val="14"/>
                <w:color w:val="auto"/>
              </w:rPr>
              <w:t>—</w:t>
            </w:r>
          </w:p>
        </w:tc>
        <w:tc>
          <w:tcPr>
            <w:tcW w:w="1240" w:type="dxa"/>
            <w:vAlign w:val="bottom"/>
          </w:tcPr>
          <w:p>
            <w:pPr>
              <w:ind w:left="240"/>
              <w:spacing w:after="0"/>
              <w:rPr>
                <w:sz w:val="20"/>
                <w:szCs w:val="20"/>
                <w:color w:val="auto"/>
              </w:rPr>
            </w:pPr>
            <w:r>
              <w:rPr>
                <w:rFonts w:ascii="Arial" w:cs="Arial" w:eastAsia="Arial" w:hAnsi="Arial"/>
                <w:sz w:val="14"/>
                <w:szCs w:val="14"/>
                <w:color w:val="auto"/>
              </w:rPr>
              <w:t>240,957</w:t>
            </w:r>
          </w:p>
        </w:tc>
        <w:tc>
          <w:tcPr>
            <w:tcW w:w="4440" w:type="dxa"/>
            <w:vAlign w:val="bottom"/>
            <w:tcBorders>
              <w:right w:val="single" w:sz="8" w:color="C3E6FF"/>
            </w:tcBorders>
          </w:tcPr>
          <w:p>
            <w:pPr>
              <w:ind w:left="280"/>
              <w:spacing w:after="0"/>
              <w:rPr>
                <w:sz w:val="20"/>
                <w:szCs w:val="20"/>
                <w:color w:val="auto"/>
              </w:rPr>
            </w:pPr>
            <w:r>
              <w:rPr>
                <w:rFonts w:ascii="Arial" w:cs="Arial" w:eastAsia="Arial" w:hAnsi="Arial"/>
                <w:sz w:val="14"/>
                <w:szCs w:val="14"/>
                <w:color w:val="auto"/>
              </w:rPr>
              <w:t>816,155</w:t>
            </w:r>
          </w:p>
        </w:tc>
      </w:tr>
      <w:tr>
        <w:trPr>
          <w:trHeight w:val="93"/>
        </w:trPr>
        <w:tc>
          <w:tcPr>
            <w:tcW w:w="1500" w:type="dxa"/>
            <w:vAlign w:val="bottom"/>
            <w:tcBorders>
              <w:left w:val="single" w:sz="8" w:color="C3E6FF"/>
            </w:tcBorders>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40" w:type="dxa"/>
            <w:vAlign w:val="bottom"/>
            <w:tcBorders>
              <w:right w:val="single" w:sz="8" w:color="C3E6FF"/>
            </w:tcBorders>
          </w:tcPr>
          <w:p>
            <w:pPr>
              <w:spacing w:after="0"/>
              <w:rPr>
                <w:sz w:val="8"/>
                <w:szCs w:val="8"/>
                <w:color w:val="auto"/>
              </w:rPr>
            </w:pPr>
          </w:p>
        </w:tc>
      </w:tr>
      <w:tr>
        <w:trPr>
          <w:trHeight w:val="275"/>
        </w:trPr>
        <w:tc>
          <w:tcPr>
            <w:tcW w:w="15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Performance</w:t>
            </w:r>
          </w:p>
        </w:tc>
        <w:tc>
          <w:tcPr>
            <w:tcW w:w="900" w:type="dxa"/>
            <w:vAlign w:val="bottom"/>
            <w:shd w:val="clear" w:color="auto" w:fill="F3F9FF"/>
          </w:tcPr>
          <w:p>
            <w:pPr>
              <w:spacing w:after="0"/>
              <w:rPr>
                <w:sz w:val="23"/>
                <w:szCs w:val="23"/>
                <w:color w:val="auto"/>
              </w:rPr>
            </w:pPr>
          </w:p>
        </w:tc>
        <w:tc>
          <w:tcPr>
            <w:tcW w:w="1120" w:type="dxa"/>
            <w:vAlign w:val="bottom"/>
            <w:shd w:val="clear" w:color="auto" w:fill="F3F9FF"/>
          </w:tcPr>
          <w:p>
            <w:pPr>
              <w:spacing w:after="0"/>
              <w:rPr>
                <w:sz w:val="23"/>
                <w:szCs w:val="23"/>
                <w:color w:val="auto"/>
              </w:rPr>
            </w:pPr>
          </w:p>
        </w:tc>
        <w:tc>
          <w:tcPr>
            <w:tcW w:w="1580" w:type="dxa"/>
            <w:vAlign w:val="bottom"/>
            <w:shd w:val="clear" w:color="auto" w:fill="F3F9FF"/>
          </w:tcPr>
          <w:p>
            <w:pPr>
              <w:spacing w:after="0"/>
              <w:rPr>
                <w:sz w:val="23"/>
                <w:szCs w:val="23"/>
                <w:color w:val="auto"/>
              </w:rPr>
            </w:pPr>
          </w:p>
        </w:tc>
        <w:tc>
          <w:tcPr>
            <w:tcW w:w="1240" w:type="dxa"/>
            <w:vAlign w:val="bottom"/>
            <w:shd w:val="clear" w:color="auto" w:fill="F3F9FF"/>
          </w:tcPr>
          <w:p>
            <w:pPr>
              <w:spacing w:after="0"/>
              <w:rPr>
                <w:sz w:val="23"/>
                <w:szCs w:val="23"/>
                <w:color w:val="auto"/>
              </w:rPr>
            </w:pPr>
          </w:p>
        </w:tc>
        <w:tc>
          <w:tcPr>
            <w:tcW w:w="4440" w:type="dxa"/>
            <w:vAlign w:val="bottom"/>
            <w:tcBorders>
              <w:right w:val="single" w:sz="8" w:color="C3E6FF"/>
            </w:tcBorders>
            <w:shd w:val="clear" w:color="auto" w:fill="F3F9FF"/>
          </w:tcPr>
          <w:p>
            <w:pPr>
              <w:spacing w:after="0"/>
              <w:rPr>
                <w:sz w:val="23"/>
                <w:szCs w:val="23"/>
                <w:color w:val="auto"/>
              </w:rPr>
            </w:pPr>
          </w:p>
        </w:tc>
      </w:tr>
      <w:tr>
        <w:trPr>
          <w:trHeight w:val="172"/>
        </w:trPr>
        <w:tc>
          <w:tcPr>
            <w:tcW w:w="15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4"/>
                <w:szCs w:val="14"/>
                <w:color w:val="auto"/>
              </w:rPr>
              <w:t>restricted stock units</w:t>
            </w:r>
          </w:p>
        </w:tc>
        <w:tc>
          <w:tcPr>
            <w:tcW w:w="900" w:type="dxa"/>
            <w:vAlign w:val="bottom"/>
            <w:shd w:val="clear" w:color="auto" w:fill="F3F9FF"/>
          </w:tcPr>
          <w:p>
            <w:pPr>
              <w:ind w:left="80"/>
              <w:spacing w:after="0"/>
              <w:rPr>
                <w:sz w:val="20"/>
                <w:szCs w:val="20"/>
                <w:color w:val="auto"/>
              </w:rPr>
            </w:pPr>
            <w:r>
              <w:rPr>
                <w:rFonts w:ascii="Arial" w:cs="Arial" w:eastAsia="Arial" w:hAnsi="Arial"/>
                <w:sz w:val="14"/>
                <w:szCs w:val="14"/>
                <w:color w:val="auto"/>
              </w:rPr>
              <w:t>124,321</w:t>
            </w:r>
          </w:p>
        </w:tc>
        <w:tc>
          <w:tcPr>
            <w:tcW w:w="1120" w:type="dxa"/>
            <w:vAlign w:val="bottom"/>
            <w:shd w:val="clear" w:color="auto" w:fill="F3F9FF"/>
          </w:tcPr>
          <w:p>
            <w:pPr>
              <w:ind w:left="140"/>
              <w:spacing w:after="0"/>
              <w:rPr>
                <w:sz w:val="20"/>
                <w:szCs w:val="20"/>
                <w:color w:val="auto"/>
              </w:rPr>
            </w:pPr>
            <w:r>
              <w:rPr>
                <w:rFonts w:ascii="Arial" w:cs="Arial" w:eastAsia="Arial" w:hAnsi="Arial"/>
                <w:sz w:val="14"/>
                <w:szCs w:val="14"/>
                <w:color w:val="auto"/>
              </w:rPr>
              <w:t>373,000</w:t>
            </w:r>
          </w:p>
        </w:tc>
        <w:tc>
          <w:tcPr>
            <w:tcW w:w="1580" w:type="dxa"/>
            <w:vAlign w:val="bottom"/>
            <w:shd w:val="clear" w:color="auto" w:fill="F3F9FF"/>
          </w:tcPr>
          <w:p>
            <w:pPr>
              <w:ind w:lef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F3F9FF"/>
          </w:tcPr>
          <w:p>
            <w:pPr>
              <w:ind w:left="240"/>
              <w:spacing w:after="0"/>
              <w:rPr>
                <w:sz w:val="20"/>
                <w:szCs w:val="20"/>
                <w:color w:val="auto"/>
              </w:rPr>
            </w:pPr>
            <w:r>
              <w:rPr>
                <w:rFonts w:ascii="Arial" w:cs="Arial" w:eastAsia="Arial" w:hAnsi="Arial"/>
                <w:sz w:val="14"/>
                <w:szCs w:val="14"/>
                <w:color w:val="auto"/>
              </w:rPr>
              <w:t>248,679</w:t>
            </w:r>
          </w:p>
        </w:tc>
        <w:tc>
          <w:tcPr>
            <w:tcW w:w="4440" w:type="dxa"/>
            <w:vAlign w:val="bottom"/>
            <w:tcBorders>
              <w:right w:val="single" w:sz="8" w:color="C3E6FF"/>
            </w:tcBorders>
            <w:shd w:val="clear" w:color="auto" w:fill="F3F9FF"/>
          </w:tcPr>
          <w:p>
            <w:pPr>
              <w:ind w:left="280"/>
              <w:spacing w:after="0"/>
              <w:rPr>
                <w:sz w:val="20"/>
                <w:szCs w:val="20"/>
                <w:color w:val="auto"/>
              </w:rPr>
            </w:pPr>
            <w:r>
              <w:rPr>
                <w:rFonts w:ascii="Arial" w:cs="Arial" w:eastAsia="Arial" w:hAnsi="Arial"/>
                <w:sz w:val="14"/>
                <w:szCs w:val="14"/>
                <w:color w:val="auto"/>
              </w:rPr>
              <w:t>373,000</w:t>
            </w:r>
          </w:p>
        </w:tc>
      </w:tr>
      <w:tr>
        <w:trPr>
          <w:trHeight w:val="100"/>
        </w:trPr>
        <w:tc>
          <w:tcPr>
            <w:tcW w:w="1500" w:type="dxa"/>
            <w:vAlign w:val="bottom"/>
            <w:tcBorders>
              <w:left w:val="single" w:sz="8" w:color="C3E6FF"/>
              <w:bottom w:val="single" w:sz="8" w:color="C3E6FF"/>
            </w:tcBorders>
            <w:shd w:val="clear" w:color="auto" w:fill="F3F9FF"/>
          </w:tcPr>
          <w:p>
            <w:pPr>
              <w:spacing w:after="0"/>
              <w:rPr>
                <w:sz w:val="8"/>
                <w:szCs w:val="8"/>
                <w:color w:val="auto"/>
              </w:rPr>
            </w:pPr>
          </w:p>
        </w:tc>
        <w:tc>
          <w:tcPr>
            <w:tcW w:w="900" w:type="dxa"/>
            <w:vAlign w:val="bottom"/>
            <w:tcBorders>
              <w:bottom w:val="single" w:sz="8" w:color="C3E6FF"/>
            </w:tcBorders>
            <w:shd w:val="clear" w:color="auto" w:fill="F3F9FF"/>
          </w:tcPr>
          <w:p>
            <w:pPr>
              <w:spacing w:after="0"/>
              <w:rPr>
                <w:sz w:val="8"/>
                <w:szCs w:val="8"/>
                <w:color w:val="auto"/>
              </w:rPr>
            </w:pPr>
          </w:p>
        </w:tc>
        <w:tc>
          <w:tcPr>
            <w:tcW w:w="1120" w:type="dxa"/>
            <w:vAlign w:val="bottom"/>
            <w:tcBorders>
              <w:bottom w:val="single" w:sz="8" w:color="C3E6FF"/>
            </w:tcBorders>
            <w:shd w:val="clear" w:color="auto" w:fill="F3F9FF"/>
          </w:tcPr>
          <w:p>
            <w:pPr>
              <w:spacing w:after="0"/>
              <w:rPr>
                <w:sz w:val="8"/>
                <w:szCs w:val="8"/>
                <w:color w:val="auto"/>
              </w:rPr>
            </w:pPr>
          </w:p>
        </w:tc>
        <w:tc>
          <w:tcPr>
            <w:tcW w:w="1580" w:type="dxa"/>
            <w:vAlign w:val="bottom"/>
            <w:tcBorders>
              <w:bottom w:val="single" w:sz="8" w:color="C3E6FF"/>
            </w:tcBorders>
            <w:shd w:val="clear" w:color="auto" w:fill="F3F9FF"/>
          </w:tcPr>
          <w:p>
            <w:pPr>
              <w:spacing w:after="0"/>
              <w:rPr>
                <w:sz w:val="8"/>
                <w:szCs w:val="8"/>
                <w:color w:val="auto"/>
              </w:rPr>
            </w:pPr>
          </w:p>
        </w:tc>
        <w:tc>
          <w:tcPr>
            <w:tcW w:w="1240" w:type="dxa"/>
            <w:vAlign w:val="bottom"/>
            <w:tcBorders>
              <w:bottom w:val="single" w:sz="8" w:color="C3E6FF"/>
            </w:tcBorders>
            <w:shd w:val="clear" w:color="auto" w:fill="F3F9FF"/>
          </w:tcPr>
          <w:p>
            <w:pPr>
              <w:spacing w:after="0"/>
              <w:rPr>
                <w:sz w:val="8"/>
                <w:szCs w:val="8"/>
                <w:color w:val="auto"/>
              </w:rPr>
            </w:pPr>
          </w:p>
        </w:tc>
        <w:tc>
          <w:tcPr>
            <w:tcW w:w="4440" w:type="dxa"/>
            <w:vAlign w:val="bottom"/>
            <w:tcBorders>
              <w:bottom w:val="single" w:sz="8" w:color="C3E6FF"/>
              <w:right w:val="single" w:sz="8" w:color="C3E6FF"/>
            </w:tcBorders>
            <w:shd w:val="clear" w:color="auto" w:fill="F3F9FF"/>
          </w:tcPr>
          <w:p>
            <w:pPr>
              <w:spacing w:after="0"/>
              <w:rPr>
                <w:sz w:val="8"/>
                <w:szCs w:val="8"/>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Certain Defined Terms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Definition of Cause</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262626"/>
        </w:rPr>
        <w:t>The following definition of “cause” applies to Messrs. Kapoor, Chhibbar, Bagai, Miglani, Bhalla and Meckey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(for Mr. Kapoor, which is not remedied within 15 days of receipt of notice from the Company specifying the breach in reasonable detail); (iv) 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Messrs. Kapoor and Bagai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Definition of Good Reason</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262626"/>
        </w:rPr>
        <w:t>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w:t>
      </w:r>
    </w:p>
    <w:p>
      <w:pPr>
        <w:spacing w:after="0" w:line="326"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262626"/>
        </w:rPr>
        <w:t>the executive’s title will not constitute a significant reduction in his duties and authorities, it being understood that “good reason” shall be deemed to exist if Mr. Kapoor is no longer the chief executive officer of the Company or any entity that acquires the Company; (ii) his base salary is reduced,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The following definition of “good reason” applies to Messrs. Chhibbar, Bagai, Miglani, Bhalla and Meckey unless stated otherwise. “Good reason” means, without the executive’s prior written consent: (i) the executive’s duties or responsibilities are substantially reduced, or he is required to report to anyone other than our board of directors, or our CEO; (ii) the executive’s title as our officer is adversely changed; however, if following a change in control (as defined in the 2015 Plan and 2018 Plan, as applicable), his new title and authority are similar to his old title and authority, then any change in the executive’s title will not constitute a significant reduction in his duties and authorities; (iii) for Mr. Bagai only, the executive’s base salary or annual cash bonus opportunity is reduced, other than in connection with a proportionate reduction impacting all members of our executive committee; (iv) for Messrs. Chhibbar, Miglani and Meckey only, there is a change in the office or location where the executive is based of more than 50 miles and such new office or location is more than 50 miles from the executive’s primary residence; or (v) we breach any material term of the executive’s employment agreement or severance 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Definition of Change in Control</w:t>
      </w:r>
    </w:p>
    <w:p>
      <w:pPr>
        <w:spacing w:after="0" w:line="22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262626"/>
        </w:rPr>
        <w:t>A “change in control” (as generally defined in Mr. Kapoor’s employment agreement, the 2006 Plan the 2015 Plan, and the 2018 Plan, as applicable) generally means any of the following events: (i) 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 board of directors changes from those in office as of the date of Mr. Kapoor’s employment agreement or the effective date of the 2006 Plan, 2015 Plan or 2018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(50% or more in the 2006 Plan)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pacing w:after="0" w:line="337"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5" w:name="page86"/>
    <w:bookmarkEnd w:id="85"/>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CEO Pay Ratio</w:t>
      </w:r>
    </w:p>
    <w:p>
      <w:pPr>
        <w:spacing w:after="0" w:line="22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262626"/>
        </w:rPr>
        <w:t>In accordance with SEC rules and the Dodd-Frank Wall Street Reform and Consumer Protection Act, presented below is an estimate of the ratio of our CEO’s annual total compensation to our median employee’s annual total compensation (our “Pay Ratio”). Due to the size and complexity of our organization, which as of March 31, 2020 was made up of over 32,700 professionals throughout the world, with delivery centers in over 10 countries, our Pay Ratio is based on reasonable assumptions and estimates described below.</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262626"/>
        </w:rPr>
        <w:t>We calculated our Pay Ratio by looking at our entire employee population (excluding our CEO) as of December 31, 2019, but excluding leased employees and independent contractors. We then calculated each employee’s “total pay” using the sum of his or her fixed pay / base salary and variable pay (including any performance bonus, sales commission, and retention or signing bonus). We also annualized total pay for all full-time and part-time employees that were employed for less than the full fiscal year 2019.</w:t>
      </w:r>
    </w:p>
    <w:p>
      <w:pPr>
        <w:spacing w:after="0" w:line="19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262626"/>
        </w:rPr>
        <w:t>For all employees located in jurisdictions other than the United States, a cost-of-living adjustment was made to align their compensation with the cost-of-living standards in the United States, the jurisdiction in which our CEO resides. Finally, we identified the median employee and calculated his or her annual total compensation and the CEO’s annual total compensation in the manner required by Item 402(u) of Regulation S-K, to determine the pay ratio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72275" cy="12515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2275" cy="1251585"/>
                    </a:xfrm>
                    <a:prstGeom prst="rect">
                      <a:avLst/>
                    </a:prstGeom>
                    <a:noFill/>
                  </pic:spPr>
                </pic:pic>
              </a:graphicData>
            </a:graphic>
          </wp:anchor>
        </w:drawing>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Pay Ratio – All Employees (with COLA)</w:t>
      </w:r>
      <w:r>
        <w:rPr>
          <w:rFonts w:ascii="Arial" w:cs="Arial" w:eastAsia="Arial" w:hAnsi="Arial"/>
          <w:sz w:val="29"/>
          <w:szCs w:val="29"/>
          <w:b w:val="1"/>
          <w:bCs w:val="1"/>
          <w:color w:val="FFFFFF"/>
          <w:vertAlign w:val="superscript"/>
        </w:rPr>
        <w:t>(1)</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8740" w:type="dxa"/>
            <w:vAlign w:val="bottom"/>
            <w:shd w:val="clear" w:color="auto" w:fill="F3F9FF"/>
          </w:tcPr>
          <w:p>
            <w:pPr>
              <w:ind w:left="120"/>
              <w:spacing w:after="0"/>
              <w:rPr>
                <w:sz w:val="20"/>
                <w:szCs w:val="20"/>
                <w:color w:val="auto"/>
              </w:rPr>
            </w:pPr>
            <w:r>
              <w:rPr>
                <w:rFonts w:ascii="Arial" w:cs="Arial" w:eastAsia="Arial" w:hAnsi="Arial"/>
                <w:sz w:val="18"/>
                <w:szCs w:val="18"/>
                <w:color w:val="auto"/>
              </w:rPr>
              <w:t>Chief Executive Officer’s Annual Total Compensation</w:t>
            </w:r>
          </w:p>
        </w:tc>
        <w:tc>
          <w:tcPr>
            <w:tcW w:w="190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$6,195,217</w:t>
            </w:r>
          </w:p>
        </w:tc>
      </w:tr>
      <w:tr>
        <w:trPr>
          <w:trHeight w:val="95"/>
        </w:trPr>
        <w:tc>
          <w:tcPr>
            <w:tcW w:w="8740" w:type="dxa"/>
            <w:vAlign w:val="bottom"/>
            <w:shd w:val="clear" w:color="auto" w:fill="F3F9FF"/>
          </w:tcPr>
          <w:p>
            <w:pPr>
              <w:spacing w:after="0"/>
              <w:rPr>
                <w:sz w:val="8"/>
                <w:szCs w:val="8"/>
                <w:color w:val="auto"/>
              </w:rPr>
            </w:pPr>
          </w:p>
        </w:tc>
        <w:tc>
          <w:tcPr>
            <w:tcW w:w="1900" w:type="dxa"/>
            <w:vAlign w:val="bottom"/>
            <w:shd w:val="clear" w:color="auto" w:fill="F3F9FF"/>
          </w:tcPr>
          <w:p>
            <w:pPr>
              <w:spacing w:after="0"/>
              <w:rPr>
                <w:sz w:val="8"/>
                <w:szCs w:val="8"/>
                <w:color w:val="auto"/>
              </w:rPr>
            </w:pPr>
          </w:p>
        </w:tc>
      </w:tr>
      <w:tr>
        <w:trPr>
          <w:trHeight w:val="324"/>
        </w:trPr>
        <w:tc>
          <w:tcPr>
            <w:tcW w:w="8740" w:type="dxa"/>
            <w:vAlign w:val="bottom"/>
          </w:tcPr>
          <w:p>
            <w:pPr>
              <w:ind w:left="120"/>
              <w:spacing w:after="0"/>
              <w:rPr>
                <w:sz w:val="20"/>
                <w:szCs w:val="20"/>
                <w:color w:val="auto"/>
              </w:rPr>
            </w:pPr>
            <w:r>
              <w:rPr>
                <w:rFonts w:ascii="Arial" w:cs="Arial" w:eastAsia="Arial" w:hAnsi="Arial"/>
                <w:sz w:val="18"/>
                <w:szCs w:val="18"/>
                <w:color w:val="auto"/>
              </w:rPr>
              <w:t>Median Employee’s Annual Total Compensation</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$10,342</w:t>
            </w:r>
          </w:p>
        </w:tc>
      </w:tr>
      <w:tr>
        <w:trPr>
          <w:trHeight w:val="94"/>
        </w:trPr>
        <w:tc>
          <w:tcPr>
            <w:tcW w:w="874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310"/>
        </w:trPr>
        <w:tc>
          <w:tcPr>
            <w:tcW w:w="8740" w:type="dxa"/>
            <w:vAlign w:val="bottom"/>
            <w:shd w:val="clear" w:color="auto" w:fill="F3F9FF"/>
          </w:tcPr>
          <w:p>
            <w:pPr>
              <w:ind w:left="120"/>
              <w:spacing w:after="0"/>
              <w:rPr>
                <w:sz w:val="20"/>
                <w:szCs w:val="20"/>
                <w:color w:val="auto"/>
              </w:rPr>
            </w:pPr>
            <w:r>
              <w:rPr>
                <w:rFonts w:ascii="Arial" w:cs="Arial" w:eastAsia="Arial" w:hAnsi="Arial"/>
                <w:sz w:val="18"/>
                <w:szCs w:val="18"/>
                <w:color w:val="auto"/>
              </w:rPr>
              <w:t>Ratio of Chief Executive Officer’s Annual Total Compensation to Median Employee’s Annual Total</w:t>
            </w:r>
          </w:p>
        </w:tc>
        <w:tc>
          <w:tcPr>
            <w:tcW w:w="190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599:1</w:t>
            </w:r>
          </w:p>
        </w:tc>
      </w:tr>
      <w:tr>
        <w:trPr>
          <w:trHeight w:val="217"/>
        </w:trPr>
        <w:tc>
          <w:tcPr>
            <w:tcW w:w="8740" w:type="dxa"/>
            <w:vAlign w:val="bottom"/>
            <w:shd w:val="clear" w:color="auto" w:fill="F3F9FF"/>
          </w:tcPr>
          <w:p>
            <w:pPr>
              <w:ind w:left="120"/>
              <w:spacing w:after="0"/>
              <w:rPr>
                <w:sz w:val="20"/>
                <w:szCs w:val="20"/>
                <w:color w:val="auto"/>
              </w:rPr>
            </w:pPr>
            <w:r>
              <w:rPr>
                <w:rFonts w:ascii="Arial" w:cs="Arial" w:eastAsia="Arial" w:hAnsi="Arial"/>
                <w:sz w:val="18"/>
                <w:szCs w:val="18"/>
                <w:color w:val="auto"/>
              </w:rPr>
              <w:t>Compensation</w:t>
            </w:r>
          </w:p>
        </w:tc>
        <w:tc>
          <w:tcPr>
            <w:tcW w:w="1900" w:type="dxa"/>
            <w:vAlign w:val="bottom"/>
            <w:shd w:val="clear" w:color="auto" w:fill="F3F9FF"/>
          </w:tcPr>
          <w:p>
            <w:pPr>
              <w:spacing w:after="0"/>
              <w:rPr>
                <w:sz w:val="18"/>
                <w:szCs w:val="18"/>
                <w:color w:val="auto"/>
              </w:rPr>
            </w:pPr>
          </w:p>
        </w:tc>
      </w:tr>
      <w:tr>
        <w:trPr>
          <w:trHeight w:val="108"/>
        </w:trPr>
        <w:tc>
          <w:tcPr>
            <w:tcW w:w="8740" w:type="dxa"/>
            <w:vAlign w:val="bottom"/>
            <w:shd w:val="clear" w:color="auto" w:fill="F3F9FF"/>
          </w:tcPr>
          <w:p>
            <w:pPr>
              <w:spacing w:after="0"/>
              <w:rPr>
                <w:sz w:val="9"/>
                <w:szCs w:val="9"/>
                <w:color w:val="auto"/>
              </w:rPr>
            </w:pPr>
          </w:p>
        </w:tc>
        <w:tc>
          <w:tcPr>
            <w:tcW w:w="1900" w:type="dxa"/>
            <w:vAlign w:val="bottom"/>
            <w:shd w:val="clear" w:color="auto" w:fill="F3F9FF"/>
          </w:tcPr>
          <w:p>
            <w:pPr>
              <w:spacing w:after="0"/>
              <w:rPr>
                <w:sz w:val="9"/>
                <w:szCs w:val="9"/>
                <w:color w:val="auto"/>
              </w:rPr>
            </w:pPr>
          </w:p>
        </w:tc>
      </w:tr>
    </w:tbl>
    <w:p>
      <w:pPr>
        <w:spacing w:after="0" w:line="18" w:lineRule="exact"/>
        <w:rPr>
          <w:sz w:val="20"/>
          <w:szCs w:val="20"/>
          <w:color w:val="auto"/>
        </w:rPr>
      </w:pPr>
    </w:p>
    <w:p>
      <w:pPr>
        <w:ind w:right="280" w:firstLine="8"/>
        <w:spacing w:after="0" w:line="258" w:lineRule="auto"/>
        <w:tabs>
          <w:tab w:leader="none" w:pos="216" w:val="left"/>
        </w:tabs>
        <w:numPr>
          <w:ilvl w:val="0"/>
          <w:numId w:val="107"/>
        </w:numPr>
        <w:rPr>
          <w:rFonts w:ascii="Arial" w:cs="Arial" w:eastAsia="Arial" w:hAnsi="Arial"/>
          <w:sz w:val="14"/>
          <w:szCs w:val="14"/>
          <w:color w:val="262626"/>
        </w:rPr>
      </w:pPr>
      <w:r>
        <w:rPr>
          <w:rFonts w:ascii="Arial" w:cs="Arial" w:eastAsia="Arial" w:hAnsi="Arial"/>
          <w:sz w:val="14"/>
          <w:szCs w:val="14"/>
          <w:color w:val="262626"/>
        </w:rPr>
        <w:t>2019 Mercer Combined Index. Our median employee, identified without performing a cost-of-living adjustment, is based in India and had an annual total compensation of $6,676, resulting in a pay ratio of 928:1.</w:t>
      </w:r>
    </w:p>
    <w:p>
      <w:pPr>
        <w:spacing w:after="0" w:line="17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262626"/>
        </w:rPr>
        <w:t>Approximately 93% of our employees are located outside of the United States, primarily in India and the Philippines. As is common with many global companies, our compensation programs are market based, and as such they may differ for employees based on the country where an employee works. Accordingly, we believe that it is important to show our pay-ratio calculated in a similar manner as described above using the median U.S.-based employee to provide a commensurable view of our pay practices.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8620" w:type="dxa"/>
            <w:vAlign w:val="bottom"/>
            <w:tcBorders>
              <w:top w:val="single" w:sz="8" w:color="C3E6FF"/>
              <w:left w:val="single" w:sz="8" w:color="C3E6FF"/>
            </w:tcBorders>
            <w:shd w:val="clear" w:color="auto" w:fill="0093FF"/>
          </w:tcPr>
          <w:p>
            <w:pPr>
              <w:ind w:left="140"/>
              <w:spacing w:after="0"/>
              <w:rPr>
                <w:sz w:val="20"/>
                <w:szCs w:val="20"/>
                <w:color w:val="auto"/>
              </w:rPr>
            </w:pPr>
            <w:r>
              <w:rPr>
                <w:rFonts w:ascii="Arial" w:cs="Arial" w:eastAsia="Arial" w:hAnsi="Arial"/>
                <w:sz w:val="18"/>
                <w:szCs w:val="18"/>
                <w:b w:val="1"/>
                <w:bCs w:val="1"/>
                <w:color w:val="FFFFFF"/>
              </w:rPr>
              <w:t>Pay Ratio – United States Employees</w:t>
            </w:r>
          </w:p>
        </w:tc>
        <w:tc>
          <w:tcPr>
            <w:tcW w:w="2060" w:type="dxa"/>
            <w:vAlign w:val="bottom"/>
            <w:tcBorders>
              <w:top w:val="single" w:sz="8" w:color="C3E6FF"/>
              <w:right w:val="single" w:sz="8" w:color="C3E6FF"/>
            </w:tcBorders>
            <w:shd w:val="clear" w:color="auto" w:fill="0093FF"/>
          </w:tcPr>
          <w:p>
            <w:pPr>
              <w:spacing w:after="0"/>
              <w:rPr>
                <w:sz w:val="24"/>
                <w:szCs w:val="24"/>
                <w:color w:val="auto"/>
              </w:rPr>
            </w:pPr>
          </w:p>
        </w:tc>
        <w:tc>
          <w:tcPr>
            <w:tcW w:w="560" w:type="dxa"/>
            <w:vAlign w:val="bottom"/>
          </w:tcPr>
          <w:p>
            <w:pPr>
              <w:spacing w:after="0"/>
              <w:rPr>
                <w:sz w:val="24"/>
                <w:szCs w:val="24"/>
                <w:color w:val="auto"/>
              </w:rPr>
            </w:pPr>
          </w:p>
        </w:tc>
      </w:tr>
      <w:tr>
        <w:trPr>
          <w:trHeight w:val="94"/>
        </w:trPr>
        <w:tc>
          <w:tcPr>
            <w:tcW w:w="8620" w:type="dxa"/>
            <w:vAlign w:val="bottom"/>
            <w:tcBorders>
              <w:left w:val="single" w:sz="8" w:color="C3E6FF"/>
            </w:tcBorders>
            <w:shd w:val="clear" w:color="auto" w:fill="0093FF"/>
          </w:tcPr>
          <w:p>
            <w:pPr>
              <w:spacing w:after="0"/>
              <w:rPr>
                <w:sz w:val="8"/>
                <w:szCs w:val="8"/>
                <w:color w:val="auto"/>
              </w:rPr>
            </w:pPr>
          </w:p>
        </w:tc>
        <w:tc>
          <w:tcPr>
            <w:tcW w:w="2060" w:type="dxa"/>
            <w:vAlign w:val="bottom"/>
            <w:tcBorders>
              <w:right w:val="single" w:sz="8" w:color="C3E6FF"/>
            </w:tcBorders>
            <w:shd w:val="clear" w:color="auto" w:fill="0093FF"/>
          </w:tcPr>
          <w:p>
            <w:pPr>
              <w:spacing w:after="0"/>
              <w:rPr>
                <w:sz w:val="8"/>
                <w:szCs w:val="8"/>
                <w:color w:val="auto"/>
              </w:rPr>
            </w:pPr>
          </w:p>
        </w:tc>
        <w:tc>
          <w:tcPr>
            <w:tcW w:w="560" w:type="dxa"/>
            <w:vAlign w:val="bottom"/>
          </w:tcPr>
          <w:p>
            <w:pPr>
              <w:spacing w:after="0"/>
              <w:rPr>
                <w:sz w:val="8"/>
                <w:szCs w:val="8"/>
                <w:color w:val="auto"/>
              </w:rPr>
            </w:pPr>
          </w:p>
        </w:tc>
      </w:tr>
      <w:tr>
        <w:trPr>
          <w:trHeight w:val="324"/>
        </w:trPr>
        <w:tc>
          <w:tcPr>
            <w:tcW w:w="862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color w:val="auto"/>
              </w:rPr>
              <w:t>Chief Executive Officer’s Annual Total Compensation</w:t>
            </w:r>
          </w:p>
        </w:tc>
        <w:tc>
          <w:tcPr>
            <w:tcW w:w="2060" w:type="dxa"/>
            <w:vAlign w:val="bottom"/>
            <w:tcBorders>
              <w:right w:val="single" w:sz="8" w:color="C3E6FF"/>
            </w:tcBorders>
            <w:shd w:val="clear" w:color="auto" w:fill="F3F9FF"/>
          </w:tcPr>
          <w:p>
            <w:pPr>
              <w:jc w:val="right"/>
              <w:ind w:right="55"/>
              <w:spacing w:after="0"/>
              <w:rPr>
                <w:sz w:val="20"/>
                <w:szCs w:val="20"/>
                <w:color w:val="auto"/>
              </w:rPr>
            </w:pPr>
            <w:r>
              <w:rPr>
                <w:rFonts w:ascii="Arial" w:cs="Arial" w:eastAsia="Arial" w:hAnsi="Arial"/>
                <w:sz w:val="18"/>
                <w:szCs w:val="18"/>
                <w:color w:val="auto"/>
              </w:rPr>
              <w:t>$6,195,217</w:t>
            </w:r>
          </w:p>
        </w:tc>
        <w:tc>
          <w:tcPr>
            <w:tcW w:w="560" w:type="dxa"/>
            <w:vAlign w:val="bottom"/>
          </w:tcPr>
          <w:p>
            <w:pPr>
              <w:spacing w:after="0"/>
              <w:rPr>
                <w:sz w:val="24"/>
                <w:szCs w:val="24"/>
                <w:color w:val="auto"/>
              </w:rPr>
            </w:pPr>
          </w:p>
        </w:tc>
      </w:tr>
      <w:tr>
        <w:trPr>
          <w:trHeight w:val="94"/>
        </w:trPr>
        <w:tc>
          <w:tcPr>
            <w:tcW w:w="8620" w:type="dxa"/>
            <w:vAlign w:val="bottom"/>
            <w:tcBorders>
              <w:left w:val="single" w:sz="8" w:color="C3E6FF"/>
            </w:tcBorders>
            <w:shd w:val="clear" w:color="auto" w:fill="F3F9FF"/>
          </w:tcPr>
          <w:p>
            <w:pPr>
              <w:spacing w:after="0"/>
              <w:rPr>
                <w:sz w:val="8"/>
                <w:szCs w:val="8"/>
                <w:color w:val="auto"/>
              </w:rPr>
            </w:pPr>
          </w:p>
        </w:tc>
        <w:tc>
          <w:tcPr>
            <w:tcW w:w="2060" w:type="dxa"/>
            <w:vAlign w:val="bottom"/>
            <w:tcBorders>
              <w:right w:val="single" w:sz="8" w:color="C3E6FF"/>
            </w:tcBorders>
            <w:shd w:val="clear" w:color="auto" w:fill="F3F9FF"/>
          </w:tcPr>
          <w:p>
            <w:pPr>
              <w:spacing w:after="0"/>
              <w:rPr>
                <w:sz w:val="8"/>
                <w:szCs w:val="8"/>
                <w:color w:val="auto"/>
              </w:rPr>
            </w:pPr>
          </w:p>
        </w:tc>
        <w:tc>
          <w:tcPr>
            <w:tcW w:w="560" w:type="dxa"/>
            <w:vAlign w:val="bottom"/>
          </w:tcPr>
          <w:p>
            <w:pPr>
              <w:spacing w:after="0"/>
              <w:rPr>
                <w:sz w:val="8"/>
                <w:szCs w:val="8"/>
                <w:color w:val="auto"/>
              </w:rPr>
            </w:pPr>
          </w:p>
        </w:tc>
      </w:tr>
      <w:tr>
        <w:trPr>
          <w:trHeight w:val="324"/>
        </w:trPr>
        <w:tc>
          <w:tcPr>
            <w:tcW w:w="8620" w:type="dxa"/>
            <w:vAlign w:val="bottom"/>
            <w:tcBorders>
              <w:left w:val="single" w:sz="8" w:color="C3E6FF"/>
            </w:tcBorders>
          </w:tcPr>
          <w:p>
            <w:pPr>
              <w:ind w:left="140"/>
              <w:spacing w:after="0"/>
              <w:rPr>
                <w:sz w:val="20"/>
                <w:szCs w:val="20"/>
                <w:color w:val="auto"/>
              </w:rPr>
            </w:pPr>
            <w:r>
              <w:rPr>
                <w:rFonts w:ascii="Arial" w:cs="Arial" w:eastAsia="Arial" w:hAnsi="Arial"/>
                <w:sz w:val="18"/>
                <w:szCs w:val="18"/>
                <w:color w:val="auto"/>
              </w:rPr>
              <w:t>Median Employee’s Annual Total Compensation</w:t>
            </w:r>
          </w:p>
        </w:tc>
        <w:tc>
          <w:tcPr>
            <w:tcW w:w="2060" w:type="dxa"/>
            <w:vAlign w:val="bottom"/>
            <w:tcBorders>
              <w:right w:val="single" w:sz="8" w:color="C3E6FF"/>
            </w:tcBorders>
          </w:tcPr>
          <w:p>
            <w:pPr>
              <w:jc w:val="right"/>
              <w:ind w:right="55"/>
              <w:spacing w:after="0"/>
              <w:rPr>
                <w:sz w:val="20"/>
                <w:szCs w:val="20"/>
                <w:color w:val="auto"/>
              </w:rPr>
            </w:pPr>
            <w:r>
              <w:rPr>
                <w:rFonts w:ascii="Arial" w:cs="Arial" w:eastAsia="Arial" w:hAnsi="Arial"/>
                <w:sz w:val="18"/>
                <w:szCs w:val="18"/>
                <w:color w:val="auto"/>
              </w:rPr>
              <w:t>$76,414</w:t>
            </w:r>
          </w:p>
        </w:tc>
        <w:tc>
          <w:tcPr>
            <w:tcW w:w="560" w:type="dxa"/>
            <w:vAlign w:val="bottom"/>
          </w:tcPr>
          <w:p>
            <w:pPr>
              <w:spacing w:after="0"/>
              <w:rPr>
                <w:sz w:val="24"/>
                <w:szCs w:val="24"/>
                <w:color w:val="auto"/>
              </w:rPr>
            </w:pPr>
          </w:p>
        </w:tc>
      </w:tr>
      <w:tr>
        <w:trPr>
          <w:trHeight w:val="95"/>
        </w:trPr>
        <w:tc>
          <w:tcPr>
            <w:tcW w:w="8620" w:type="dxa"/>
            <w:vAlign w:val="bottom"/>
            <w:tcBorders>
              <w:left w:val="single" w:sz="8" w:color="C3E6FF"/>
            </w:tcBorders>
          </w:tcPr>
          <w:p>
            <w:pPr>
              <w:spacing w:after="0"/>
              <w:rPr>
                <w:sz w:val="8"/>
                <w:szCs w:val="8"/>
                <w:color w:val="auto"/>
              </w:rPr>
            </w:pPr>
          </w:p>
        </w:tc>
        <w:tc>
          <w:tcPr>
            <w:tcW w:w="2060" w:type="dxa"/>
            <w:vAlign w:val="bottom"/>
            <w:tcBorders>
              <w:right w:val="single" w:sz="8" w:color="C3E6FF"/>
            </w:tcBorders>
          </w:tcPr>
          <w:p>
            <w:pPr>
              <w:spacing w:after="0"/>
              <w:rPr>
                <w:sz w:val="8"/>
                <w:szCs w:val="8"/>
                <w:color w:val="auto"/>
              </w:rPr>
            </w:pPr>
          </w:p>
        </w:tc>
        <w:tc>
          <w:tcPr>
            <w:tcW w:w="560" w:type="dxa"/>
            <w:vAlign w:val="bottom"/>
          </w:tcPr>
          <w:p>
            <w:pPr>
              <w:spacing w:after="0"/>
              <w:rPr>
                <w:sz w:val="8"/>
                <w:szCs w:val="8"/>
                <w:color w:val="auto"/>
              </w:rPr>
            </w:pPr>
          </w:p>
        </w:tc>
      </w:tr>
      <w:tr>
        <w:trPr>
          <w:trHeight w:val="310"/>
        </w:trPr>
        <w:tc>
          <w:tcPr>
            <w:tcW w:w="862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color w:val="auto"/>
              </w:rPr>
              <w:t>Ratio of Chief Executive Officer’s Annual Total Compensation to Median Employee’s Annual Total</w:t>
            </w:r>
          </w:p>
        </w:tc>
        <w:tc>
          <w:tcPr>
            <w:tcW w:w="2060" w:type="dxa"/>
            <w:vAlign w:val="bottom"/>
            <w:tcBorders>
              <w:right w:val="single" w:sz="8" w:color="C3E6FF"/>
            </w:tcBorders>
            <w:shd w:val="clear" w:color="auto" w:fill="F3F9FF"/>
          </w:tcPr>
          <w:p>
            <w:pPr>
              <w:jc w:val="right"/>
              <w:ind w:right="55"/>
              <w:spacing w:after="0"/>
              <w:rPr>
                <w:sz w:val="20"/>
                <w:szCs w:val="20"/>
                <w:color w:val="auto"/>
              </w:rPr>
            </w:pPr>
            <w:r>
              <w:rPr>
                <w:rFonts w:ascii="Arial" w:cs="Arial" w:eastAsia="Arial" w:hAnsi="Arial"/>
                <w:sz w:val="18"/>
                <w:szCs w:val="18"/>
                <w:color w:val="auto"/>
              </w:rPr>
              <w:t>81:1</w:t>
            </w:r>
          </w:p>
        </w:tc>
        <w:tc>
          <w:tcPr>
            <w:tcW w:w="560" w:type="dxa"/>
            <w:vAlign w:val="bottom"/>
          </w:tcPr>
          <w:p>
            <w:pPr>
              <w:spacing w:after="0"/>
              <w:rPr>
                <w:sz w:val="24"/>
                <w:szCs w:val="24"/>
                <w:color w:val="auto"/>
              </w:rPr>
            </w:pPr>
          </w:p>
        </w:tc>
      </w:tr>
      <w:tr>
        <w:trPr>
          <w:trHeight w:val="217"/>
        </w:trPr>
        <w:tc>
          <w:tcPr>
            <w:tcW w:w="8620" w:type="dxa"/>
            <w:vAlign w:val="bottom"/>
            <w:tcBorders>
              <w:left w:val="single" w:sz="8" w:color="C3E6FF"/>
            </w:tcBorders>
            <w:shd w:val="clear" w:color="auto" w:fill="F3F9FF"/>
          </w:tcPr>
          <w:p>
            <w:pPr>
              <w:ind w:left="140"/>
              <w:spacing w:after="0"/>
              <w:rPr>
                <w:sz w:val="20"/>
                <w:szCs w:val="20"/>
                <w:color w:val="auto"/>
              </w:rPr>
            </w:pPr>
            <w:r>
              <w:rPr>
                <w:rFonts w:ascii="Arial" w:cs="Arial" w:eastAsia="Arial" w:hAnsi="Arial"/>
                <w:sz w:val="18"/>
                <w:szCs w:val="18"/>
                <w:color w:val="auto"/>
              </w:rPr>
              <w:t>Compensation</w:t>
            </w:r>
          </w:p>
        </w:tc>
        <w:tc>
          <w:tcPr>
            <w:tcW w:w="2060" w:type="dxa"/>
            <w:vAlign w:val="bottom"/>
            <w:tcBorders>
              <w:right w:val="single" w:sz="8" w:color="C3E6FF"/>
            </w:tcBorders>
            <w:shd w:val="clear" w:color="auto" w:fill="F3F9FF"/>
          </w:tcPr>
          <w:p>
            <w:pPr>
              <w:spacing w:after="0"/>
              <w:rPr>
                <w:sz w:val="18"/>
                <w:szCs w:val="18"/>
                <w:color w:val="auto"/>
              </w:rPr>
            </w:pPr>
          </w:p>
        </w:tc>
        <w:tc>
          <w:tcPr>
            <w:tcW w:w="560" w:type="dxa"/>
            <w:vAlign w:val="bottom"/>
          </w:tcPr>
          <w:p>
            <w:pPr>
              <w:spacing w:after="0"/>
              <w:rPr>
                <w:sz w:val="18"/>
                <w:szCs w:val="18"/>
                <w:color w:val="auto"/>
              </w:rPr>
            </w:pPr>
          </w:p>
        </w:tc>
      </w:tr>
      <w:tr>
        <w:trPr>
          <w:trHeight w:val="102"/>
        </w:trPr>
        <w:tc>
          <w:tcPr>
            <w:tcW w:w="8620" w:type="dxa"/>
            <w:vAlign w:val="bottom"/>
            <w:tcBorders>
              <w:left w:val="single" w:sz="8" w:color="C3E6FF"/>
              <w:bottom w:val="single" w:sz="8" w:color="C3E6FF"/>
            </w:tcBorders>
            <w:shd w:val="clear" w:color="auto" w:fill="F3F9FF"/>
          </w:tcPr>
          <w:p>
            <w:pPr>
              <w:spacing w:after="0"/>
              <w:rPr>
                <w:sz w:val="8"/>
                <w:szCs w:val="8"/>
                <w:color w:val="auto"/>
              </w:rPr>
            </w:pPr>
          </w:p>
        </w:tc>
        <w:tc>
          <w:tcPr>
            <w:tcW w:w="2060" w:type="dxa"/>
            <w:vAlign w:val="bottom"/>
            <w:tcBorders>
              <w:bottom w:val="single" w:sz="8" w:color="C3E6FF"/>
              <w:right w:val="single" w:sz="8" w:color="C3E6FF"/>
            </w:tcBorders>
            <w:shd w:val="clear" w:color="auto" w:fill="F3F9FF"/>
          </w:tcPr>
          <w:p>
            <w:pPr>
              <w:spacing w:after="0"/>
              <w:rPr>
                <w:sz w:val="8"/>
                <w:szCs w:val="8"/>
                <w:color w:val="auto"/>
              </w:rPr>
            </w:pPr>
          </w:p>
        </w:tc>
        <w:tc>
          <w:tcPr>
            <w:tcW w:w="560" w:type="dxa"/>
            <w:vAlign w:val="bottom"/>
          </w:tcPr>
          <w:p>
            <w:pPr>
              <w:spacing w:after="0"/>
              <w:rPr>
                <w:sz w:val="8"/>
                <w:szCs w:val="8"/>
                <w:color w:val="auto"/>
              </w:rPr>
            </w:pPr>
          </w:p>
        </w:tc>
      </w:tr>
      <w:tr>
        <w:trPr>
          <w:trHeight w:val="683"/>
        </w:trPr>
        <w:tc>
          <w:tcPr>
            <w:tcW w:w="8620" w:type="dxa"/>
            <w:vAlign w:val="bottom"/>
          </w:tcPr>
          <w:p>
            <w:pPr>
              <w:spacing w:after="0"/>
              <w:rPr>
                <w:sz w:val="24"/>
                <w:szCs w:val="24"/>
                <w:color w:val="auto"/>
              </w:rPr>
            </w:pPr>
          </w:p>
        </w:tc>
        <w:tc>
          <w:tcPr>
            <w:tcW w:w="2620" w:type="dxa"/>
            <w:vAlign w:val="bottom"/>
            <w:gridSpan w:val="2"/>
          </w:tcPr>
          <w:p>
            <w:pPr>
              <w:ind w:left="74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79</w:t>
            </w:r>
          </w:p>
        </w:tc>
      </w:tr>
      <w:tr>
        <w:trPr>
          <w:trHeight w:val="720"/>
        </w:trPr>
        <w:tc>
          <w:tcPr>
            <w:tcW w:w="86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6" w:name="page87"/>
    <w:bookmarkEnd w:id="86"/>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Director Compensation for Fiscal Year 2019</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262626"/>
        </w:rPr>
        <w:t>The following table sets forth information for compensation earned in fiscal year 2019 by our non-executive directors who served during fiscal year 2019:</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400" w:type="dxa"/>
            <w:vAlign w:val="bottom"/>
            <w:tcBorders>
              <w:top w:val="single" w:sz="8" w:color="C3E6FF"/>
              <w:left w:val="single" w:sz="8" w:color="C3E6FF"/>
            </w:tcBorders>
            <w:shd w:val="clear" w:color="auto" w:fill="0093FF"/>
          </w:tcPr>
          <w:p>
            <w:pPr>
              <w:spacing w:after="0"/>
              <w:rPr>
                <w:sz w:val="24"/>
                <w:szCs w:val="24"/>
                <w:color w:val="auto"/>
              </w:rPr>
            </w:pPr>
          </w:p>
        </w:tc>
        <w:tc>
          <w:tcPr>
            <w:tcW w:w="2140" w:type="dxa"/>
            <w:vAlign w:val="bottom"/>
            <w:tcBorders>
              <w:top w:val="single" w:sz="8" w:color="C3E6FF"/>
            </w:tcBorders>
            <w:shd w:val="clear" w:color="auto" w:fill="0093FF"/>
          </w:tcPr>
          <w:p>
            <w:pPr>
              <w:jc w:val="center"/>
              <w:ind w:left="270"/>
              <w:spacing w:after="0"/>
              <w:rPr>
                <w:sz w:val="20"/>
                <w:szCs w:val="20"/>
                <w:color w:val="auto"/>
              </w:rPr>
            </w:pPr>
            <w:r>
              <w:rPr>
                <w:rFonts w:ascii="Arial" w:cs="Arial" w:eastAsia="Arial" w:hAnsi="Arial"/>
                <w:sz w:val="18"/>
                <w:szCs w:val="18"/>
                <w:b w:val="1"/>
                <w:bCs w:val="1"/>
                <w:color w:val="FFFFFF"/>
                <w:w w:val="98"/>
              </w:rPr>
              <w:t>Fees Earned</w:t>
            </w:r>
          </w:p>
        </w:tc>
        <w:tc>
          <w:tcPr>
            <w:tcW w:w="1980" w:type="dxa"/>
            <w:vAlign w:val="bottom"/>
            <w:tcBorders>
              <w:top w:val="single" w:sz="8" w:color="C3E6FF"/>
            </w:tcBorders>
            <w:shd w:val="clear" w:color="auto" w:fill="0093FF"/>
          </w:tcPr>
          <w:p>
            <w:pPr>
              <w:spacing w:after="0"/>
              <w:rPr>
                <w:sz w:val="24"/>
                <w:szCs w:val="24"/>
                <w:color w:val="auto"/>
              </w:rPr>
            </w:pPr>
          </w:p>
        </w:tc>
        <w:tc>
          <w:tcPr>
            <w:tcW w:w="2260" w:type="dxa"/>
            <w:vAlign w:val="bottom"/>
            <w:tcBorders>
              <w:top w:val="single" w:sz="8" w:color="C3E6FF"/>
            </w:tcBorders>
            <w:shd w:val="clear" w:color="auto" w:fill="0093FF"/>
          </w:tcPr>
          <w:p>
            <w:pPr>
              <w:jc w:val="center"/>
              <w:ind w:right="530"/>
              <w:spacing w:after="0"/>
              <w:rPr>
                <w:sz w:val="20"/>
                <w:szCs w:val="20"/>
                <w:color w:val="auto"/>
              </w:rPr>
            </w:pPr>
            <w:r>
              <w:rPr>
                <w:rFonts w:ascii="Arial" w:cs="Arial" w:eastAsia="Arial" w:hAnsi="Arial"/>
                <w:sz w:val="18"/>
                <w:szCs w:val="18"/>
                <w:b w:val="1"/>
                <w:bCs w:val="1"/>
                <w:color w:val="FFFFFF"/>
                <w:w w:val="99"/>
              </w:rPr>
              <w:t>All Other</w:t>
            </w:r>
          </w:p>
        </w:tc>
        <w:tc>
          <w:tcPr>
            <w:tcW w:w="1320" w:type="dxa"/>
            <w:vAlign w:val="bottom"/>
            <w:tcBorders>
              <w:top w:val="single" w:sz="8" w:color="C3E6FF"/>
              <w:right w:val="single" w:sz="8" w:color="C3E6FF"/>
            </w:tcBorders>
            <w:shd w:val="clear" w:color="auto" w:fill="0093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00" w:type="dxa"/>
            <w:vAlign w:val="bottom"/>
            <w:tcBorders>
              <w:left w:val="single" w:sz="8" w:color="C3E6FF"/>
            </w:tcBorders>
            <w:vMerge w:val="restart"/>
            <w:shd w:val="clear" w:color="auto" w:fill="0093FF"/>
          </w:tcPr>
          <w:p>
            <w:pPr>
              <w:ind w:left="80"/>
              <w:spacing w:after="0"/>
              <w:rPr>
                <w:sz w:val="20"/>
                <w:szCs w:val="20"/>
                <w:color w:val="auto"/>
              </w:rPr>
            </w:pPr>
            <w:r>
              <w:rPr>
                <w:rFonts w:ascii="Arial" w:cs="Arial" w:eastAsia="Arial" w:hAnsi="Arial"/>
                <w:sz w:val="18"/>
                <w:szCs w:val="18"/>
                <w:b w:val="1"/>
                <w:bCs w:val="1"/>
                <w:color w:val="FFFFFF"/>
              </w:rPr>
              <w:t>Name</w:t>
            </w:r>
            <w:r>
              <w:rPr>
                <w:rFonts w:ascii="Arial" w:cs="Arial" w:eastAsia="Arial" w:hAnsi="Arial"/>
                <w:sz w:val="29"/>
                <w:szCs w:val="29"/>
                <w:b w:val="1"/>
                <w:bCs w:val="1"/>
                <w:color w:val="FFFFFF"/>
                <w:vertAlign w:val="superscript"/>
              </w:rPr>
              <w:t>(1)</w:t>
            </w:r>
          </w:p>
        </w:tc>
        <w:tc>
          <w:tcPr>
            <w:tcW w:w="2140" w:type="dxa"/>
            <w:vAlign w:val="bottom"/>
            <w:shd w:val="clear" w:color="auto" w:fill="0093FF"/>
          </w:tcPr>
          <w:p>
            <w:pPr>
              <w:jc w:val="center"/>
              <w:ind w:left="270"/>
              <w:spacing w:after="0" w:line="201" w:lineRule="exact"/>
              <w:rPr>
                <w:sz w:val="20"/>
                <w:szCs w:val="20"/>
                <w:color w:val="auto"/>
              </w:rPr>
            </w:pPr>
            <w:r>
              <w:rPr>
                <w:rFonts w:ascii="Arial" w:cs="Arial" w:eastAsia="Arial" w:hAnsi="Arial"/>
                <w:sz w:val="18"/>
                <w:szCs w:val="18"/>
                <w:b w:val="1"/>
                <w:bCs w:val="1"/>
                <w:color w:val="FFFFFF"/>
                <w:w w:val="99"/>
              </w:rPr>
              <w:t>or Paid in</w:t>
            </w:r>
          </w:p>
        </w:tc>
        <w:tc>
          <w:tcPr>
            <w:tcW w:w="1980" w:type="dxa"/>
            <w:vAlign w:val="bottom"/>
            <w:shd w:val="clear" w:color="auto" w:fill="0093FF"/>
          </w:tcPr>
          <w:p>
            <w:pPr>
              <w:jc w:val="right"/>
              <w:ind w:right="471"/>
              <w:spacing w:after="0" w:line="201" w:lineRule="exact"/>
              <w:rPr>
                <w:sz w:val="20"/>
                <w:szCs w:val="20"/>
                <w:color w:val="auto"/>
              </w:rPr>
            </w:pPr>
            <w:r>
              <w:rPr>
                <w:rFonts w:ascii="Arial" w:cs="Arial" w:eastAsia="Arial" w:hAnsi="Arial"/>
                <w:sz w:val="18"/>
                <w:szCs w:val="18"/>
                <w:b w:val="1"/>
                <w:bCs w:val="1"/>
                <w:color w:val="FFFFFF"/>
              </w:rPr>
              <w:t>Stock Awards</w:t>
            </w:r>
          </w:p>
        </w:tc>
        <w:tc>
          <w:tcPr>
            <w:tcW w:w="2260" w:type="dxa"/>
            <w:vAlign w:val="bottom"/>
            <w:shd w:val="clear" w:color="auto" w:fill="0093FF"/>
          </w:tcPr>
          <w:p>
            <w:pPr>
              <w:jc w:val="center"/>
              <w:ind w:right="550"/>
              <w:spacing w:after="0" w:line="201" w:lineRule="exact"/>
              <w:rPr>
                <w:sz w:val="20"/>
                <w:szCs w:val="20"/>
                <w:color w:val="auto"/>
              </w:rPr>
            </w:pPr>
            <w:r>
              <w:rPr>
                <w:rFonts w:ascii="Arial" w:cs="Arial" w:eastAsia="Arial" w:hAnsi="Arial"/>
                <w:sz w:val="18"/>
                <w:szCs w:val="18"/>
                <w:b w:val="1"/>
                <w:bCs w:val="1"/>
                <w:color w:val="FFFFFF"/>
              </w:rPr>
              <w:t>Compensation</w:t>
            </w:r>
          </w:p>
        </w:tc>
        <w:tc>
          <w:tcPr>
            <w:tcW w:w="1320" w:type="dxa"/>
            <w:vAlign w:val="bottom"/>
            <w:tcBorders>
              <w:right w:val="single" w:sz="8" w:color="C3E6FF"/>
            </w:tcBorders>
            <w:shd w:val="clear" w:color="auto" w:fill="0093FF"/>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400" w:type="dxa"/>
            <w:vAlign w:val="bottom"/>
            <w:tcBorders>
              <w:left w:val="single" w:sz="8" w:color="C3E6FF"/>
            </w:tcBorders>
            <w:vMerge w:val="continue"/>
            <w:shd w:val="clear" w:color="auto" w:fill="0093FF"/>
          </w:tcPr>
          <w:p>
            <w:pPr>
              <w:spacing w:after="0"/>
              <w:rPr>
                <w:sz w:val="24"/>
                <w:szCs w:val="24"/>
                <w:color w:val="auto"/>
              </w:rPr>
            </w:pPr>
          </w:p>
        </w:tc>
        <w:tc>
          <w:tcPr>
            <w:tcW w:w="2140" w:type="dxa"/>
            <w:vAlign w:val="bottom"/>
            <w:shd w:val="clear" w:color="auto" w:fill="0093FF"/>
          </w:tcPr>
          <w:p>
            <w:pPr>
              <w:jc w:val="center"/>
              <w:ind w:left="270"/>
              <w:spacing w:after="0"/>
              <w:rPr>
                <w:sz w:val="20"/>
                <w:szCs w:val="20"/>
                <w:color w:val="auto"/>
              </w:rPr>
            </w:pPr>
            <w:r>
              <w:rPr>
                <w:rFonts w:ascii="Arial" w:cs="Arial" w:eastAsia="Arial" w:hAnsi="Arial"/>
                <w:sz w:val="18"/>
                <w:szCs w:val="18"/>
                <w:b w:val="1"/>
                <w:bCs w:val="1"/>
                <w:color w:val="FFFFFF"/>
                <w:w w:val="98"/>
              </w:rPr>
              <w:t>Cash ($)</w:t>
            </w:r>
          </w:p>
        </w:tc>
        <w:tc>
          <w:tcPr>
            <w:tcW w:w="1980" w:type="dxa"/>
            <w:vAlign w:val="bottom"/>
            <w:shd w:val="clear" w:color="auto" w:fill="0093FF"/>
          </w:tcPr>
          <w:p>
            <w:pPr>
              <w:jc w:val="right"/>
              <w:ind w:right="771"/>
              <w:spacing w:after="0" w:line="351" w:lineRule="exact"/>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5"/>
                <w:szCs w:val="15"/>
                <w:b w:val="1"/>
                <w:bCs w:val="1"/>
                <w:color w:val="FFFFFF"/>
              </w:rPr>
              <w:t>(2)(3)</w:t>
            </w:r>
          </w:p>
        </w:tc>
        <w:tc>
          <w:tcPr>
            <w:tcW w:w="2260" w:type="dxa"/>
            <w:vAlign w:val="bottom"/>
            <w:shd w:val="clear" w:color="auto" w:fill="0093FF"/>
          </w:tcPr>
          <w:p>
            <w:pPr>
              <w:jc w:val="center"/>
              <w:ind w:right="530"/>
              <w:spacing w:after="0"/>
              <w:rPr>
                <w:sz w:val="20"/>
                <w:szCs w:val="20"/>
                <w:color w:val="auto"/>
              </w:rPr>
            </w:pPr>
            <w:r>
              <w:rPr>
                <w:rFonts w:ascii="Arial" w:cs="Arial" w:eastAsia="Arial" w:hAnsi="Arial"/>
                <w:sz w:val="18"/>
                <w:szCs w:val="18"/>
                <w:b w:val="1"/>
                <w:bCs w:val="1"/>
                <w:color w:val="FFFFFF"/>
                <w:w w:val="87"/>
              </w:rPr>
              <w:t>($)</w:t>
            </w:r>
            <w:r>
              <w:rPr>
                <w:rFonts w:ascii="Arial" w:cs="Arial" w:eastAsia="Arial" w:hAnsi="Arial"/>
                <w:sz w:val="29"/>
                <w:szCs w:val="29"/>
                <w:b w:val="1"/>
                <w:bCs w:val="1"/>
                <w:color w:val="FFFFFF"/>
                <w:w w:val="87"/>
                <w:vertAlign w:val="superscript"/>
              </w:rPr>
              <w:t>(4)</w:t>
            </w:r>
          </w:p>
        </w:tc>
        <w:tc>
          <w:tcPr>
            <w:tcW w:w="1320" w:type="dxa"/>
            <w:vAlign w:val="bottom"/>
            <w:tcBorders>
              <w:right w:val="single" w:sz="8" w:color="C3E6FF"/>
            </w:tcBorders>
            <w:shd w:val="clear" w:color="auto" w:fill="0093FF"/>
          </w:tcPr>
          <w:p>
            <w:pPr>
              <w:jc w:val="right"/>
              <w:spacing w:after="0"/>
              <w:rPr>
                <w:sz w:val="20"/>
                <w:szCs w:val="20"/>
                <w:color w:val="auto"/>
              </w:rPr>
            </w:pPr>
            <w:r>
              <w:rPr>
                <w:rFonts w:ascii="Arial" w:cs="Arial" w:eastAsia="Arial" w:hAnsi="Arial"/>
                <w:sz w:val="18"/>
                <w:szCs w:val="18"/>
                <w:b w:val="1"/>
                <w:bCs w:val="1"/>
                <w:color w:val="FFFFFF"/>
              </w:rPr>
              <w:t>Total ($)</w:t>
            </w: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8"/>
                <w:szCs w:val="18"/>
                <w:color w:val="auto"/>
              </w:rPr>
              <w:t>David Kelso</w:t>
            </w:r>
          </w:p>
        </w:tc>
        <w:tc>
          <w:tcPr>
            <w:tcW w:w="2140" w:type="dxa"/>
            <w:vAlign w:val="bottom"/>
            <w:shd w:val="clear" w:color="auto" w:fill="F3F9FF"/>
          </w:tcPr>
          <w:p>
            <w:pPr>
              <w:jc w:val="right"/>
              <w:ind w:right="130"/>
              <w:spacing w:after="0"/>
              <w:rPr>
                <w:sz w:val="20"/>
                <w:szCs w:val="20"/>
                <w:color w:val="auto"/>
              </w:rPr>
            </w:pPr>
            <w:r>
              <w:rPr>
                <w:rFonts w:ascii="Arial" w:cs="Arial" w:eastAsia="Arial" w:hAnsi="Arial"/>
                <w:sz w:val="18"/>
                <w:szCs w:val="18"/>
                <w:color w:val="auto"/>
              </w:rPr>
              <w:t>92,500</w:t>
            </w:r>
          </w:p>
        </w:tc>
        <w:tc>
          <w:tcPr>
            <w:tcW w:w="1980" w:type="dxa"/>
            <w:vAlign w:val="bottom"/>
            <w:shd w:val="clear" w:color="auto" w:fill="F3F9FF"/>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shd w:val="clear" w:color="auto" w:fill="F3F9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3E6FF"/>
            </w:tcBorders>
            <w:shd w:val="clear" w:color="auto" w:fill="F3F9FF"/>
          </w:tcPr>
          <w:p>
            <w:pPr>
              <w:jc w:val="right"/>
              <w:spacing w:after="0"/>
              <w:rPr>
                <w:sz w:val="20"/>
                <w:szCs w:val="20"/>
                <w:color w:val="auto"/>
              </w:rPr>
            </w:pPr>
            <w:r>
              <w:rPr>
                <w:rFonts w:ascii="Arial" w:cs="Arial" w:eastAsia="Arial" w:hAnsi="Arial"/>
                <w:sz w:val="18"/>
                <w:szCs w:val="18"/>
                <w:color w:val="auto"/>
              </w:rPr>
              <w:t>202,500</w:t>
            </w:r>
          </w:p>
        </w:tc>
        <w:tc>
          <w:tcPr>
            <w:tcW w:w="0" w:type="dxa"/>
            <w:vAlign w:val="bottom"/>
          </w:tcPr>
          <w:p>
            <w:pPr>
              <w:spacing w:after="0"/>
              <w:rPr>
                <w:sz w:val="1"/>
                <w:szCs w:val="1"/>
                <w:color w:val="auto"/>
              </w:rPr>
            </w:pPr>
          </w:p>
        </w:tc>
      </w:tr>
      <w:tr>
        <w:trPr>
          <w:trHeight w:val="94"/>
        </w:trPr>
        <w:tc>
          <w:tcPr>
            <w:tcW w:w="2400" w:type="dxa"/>
            <w:vAlign w:val="bottom"/>
            <w:tcBorders>
              <w:left w:val="single" w:sz="8" w:color="C3E6FF"/>
            </w:tcBorders>
            <w:shd w:val="clear" w:color="auto" w:fill="F3F9FF"/>
          </w:tcPr>
          <w:p>
            <w:pPr>
              <w:spacing w:after="0"/>
              <w:rPr>
                <w:sz w:val="8"/>
                <w:szCs w:val="8"/>
                <w:color w:val="auto"/>
              </w:rPr>
            </w:pPr>
          </w:p>
        </w:tc>
        <w:tc>
          <w:tcPr>
            <w:tcW w:w="2140" w:type="dxa"/>
            <w:vAlign w:val="bottom"/>
            <w:shd w:val="clear" w:color="auto" w:fill="F3F9FF"/>
          </w:tcPr>
          <w:p>
            <w:pPr>
              <w:spacing w:after="0"/>
              <w:rPr>
                <w:sz w:val="8"/>
                <w:szCs w:val="8"/>
                <w:color w:val="auto"/>
              </w:rPr>
            </w:pPr>
          </w:p>
        </w:tc>
        <w:tc>
          <w:tcPr>
            <w:tcW w:w="1980" w:type="dxa"/>
            <w:vAlign w:val="bottom"/>
            <w:shd w:val="clear" w:color="auto" w:fill="F3F9FF"/>
          </w:tcPr>
          <w:p>
            <w:pPr>
              <w:spacing w:after="0"/>
              <w:rPr>
                <w:sz w:val="8"/>
                <w:szCs w:val="8"/>
                <w:color w:val="auto"/>
              </w:rPr>
            </w:pPr>
          </w:p>
        </w:tc>
        <w:tc>
          <w:tcPr>
            <w:tcW w:w="2260" w:type="dxa"/>
            <w:vAlign w:val="bottom"/>
            <w:shd w:val="clear" w:color="auto" w:fill="F3F9FF"/>
          </w:tcPr>
          <w:p>
            <w:pPr>
              <w:spacing w:after="0"/>
              <w:rPr>
                <w:sz w:val="8"/>
                <w:szCs w:val="8"/>
                <w:color w:val="auto"/>
              </w:rPr>
            </w:pPr>
          </w:p>
        </w:tc>
        <w:tc>
          <w:tcPr>
            <w:tcW w:w="132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tcPr>
          <w:p>
            <w:pPr>
              <w:ind w:left="80"/>
              <w:spacing w:after="0"/>
              <w:rPr>
                <w:sz w:val="20"/>
                <w:szCs w:val="20"/>
                <w:color w:val="auto"/>
              </w:rPr>
            </w:pPr>
            <w:r>
              <w:rPr>
                <w:rFonts w:ascii="Arial" w:cs="Arial" w:eastAsia="Arial" w:hAnsi="Arial"/>
                <w:sz w:val="18"/>
                <w:szCs w:val="18"/>
                <w:color w:val="auto"/>
              </w:rPr>
              <w:t>Deborah Kerr</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80,000</w:t>
            </w:r>
          </w:p>
        </w:tc>
        <w:tc>
          <w:tcPr>
            <w:tcW w:w="1980" w:type="dxa"/>
            <w:vAlign w:val="bottom"/>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3E6FF"/>
            </w:tcBorders>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94"/>
        </w:trPr>
        <w:tc>
          <w:tcPr>
            <w:tcW w:w="2400" w:type="dxa"/>
            <w:vAlign w:val="bottom"/>
            <w:tcBorders>
              <w:left w:val="single" w:sz="8" w:color="C3E6FF"/>
            </w:tcBorders>
          </w:tcPr>
          <w:p>
            <w:pPr>
              <w:spacing w:after="0"/>
              <w:rPr>
                <w:sz w:val="8"/>
                <w:szCs w:val="8"/>
                <w:color w:val="auto"/>
              </w:rPr>
            </w:pPr>
          </w:p>
        </w:tc>
        <w:tc>
          <w:tcPr>
            <w:tcW w:w="2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2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8"/>
                <w:szCs w:val="18"/>
                <w:color w:val="auto"/>
              </w:rPr>
              <w:t>Anne Minto</w:t>
            </w:r>
          </w:p>
        </w:tc>
        <w:tc>
          <w:tcPr>
            <w:tcW w:w="2140" w:type="dxa"/>
            <w:vAlign w:val="bottom"/>
            <w:shd w:val="clear" w:color="auto" w:fill="F3F9FF"/>
          </w:tcPr>
          <w:p>
            <w:pPr>
              <w:jc w:val="right"/>
              <w:ind w:right="130"/>
              <w:spacing w:after="0"/>
              <w:rPr>
                <w:sz w:val="20"/>
                <w:szCs w:val="20"/>
                <w:color w:val="auto"/>
              </w:rPr>
            </w:pPr>
            <w:r>
              <w:rPr>
                <w:rFonts w:ascii="Arial" w:cs="Arial" w:eastAsia="Arial" w:hAnsi="Arial"/>
                <w:sz w:val="18"/>
                <w:szCs w:val="18"/>
                <w:color w:val="auto"/>
              </w:rPr>
              <w:t>90,000</w:t>
            </w:r>
          </w:p>
        </w:tc>
        <w:tc>
          <w:tcPr>
            <w:tcW w:w="1980" w:type="dxa"/>
            <w:vAlign w:val="bottom"/>
            <w:shd w:val="clear" w:color="auto" w:fill="F3F9FF"/>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shd w:val="clear" w:color="auto" w:fill="F3F9FF"/>
          </w:tcPr>
          <w:p>
            <w:pPr>
              <w:jc w:val="right"/>
              <w:ind w:right="450"/>
              <w:spacing w:after="0"/>
              <w:rPr>
                <w:sz w:val="20"/>
                <w:szCs w:val="20"/>
                <w:color w:val="auto"/>
              </w:rPr>
            </w:pPr>
            <w:r>
              <w:rPr>
                <w:rFonts w:ascii="Arial" w:cs="Arial" w:eastAsia="Arial" w:hAnsi="Arial"/>
                <w:sz w:val="18"/>
                <w:szCs w:val="18"/>
                <w:color w:val="auto"/>
              </w:rPr>
              <w:t>28,765</w:t>
            </w:r>
          </w:p>
        </w:tc>
        <w:tc>
          <w:tcPr>
            <w:tcW w:w="1320" w:type="dxa"/>
            <w:vAlign w:val="bottom"/>
            <w:tcBorders>
              <w:right w:val="single" w:sz="8" w:color="C3E6FF"/>
            </w:tcBorders>
            <w:shd w:val="clear" w:color="auto" w:fill="F3F9FF"/>
          </w:tcPr>
          <w:p>
            <w:pPr>
              <w:jc w:val="right"/>
              <w:spacing w:after="0"/>
              <w:rPr>
                <w:sz w:val="20"/>
                <w:szCs w:val="20"/>
                <w:color w:val="auto"/>
              </w:rPr>
            </w:pPr>
            <w:r>
              <w:rPr>
                <w:rFonts w:ascii="Arial" w:cs="Arial" w:eastAsia="Arial" w:hAnsi="Arial"/>
                <w:sz w:val="18"/>
                <w:szCs w:val="18"/>
                <w:color w:val="auto"/>
              </w:rPr>
              <w:t>228,765</w:t>
            </w:r>
          </w:p>
        </w:tc>
        <w:tc>
          <w:tcPr>
            <w:tcW w:w="0" w:type="dxa"/>
            <w:vAlign w:val="bottom"/>
          </w:tcPr>
          <w:p>
            <w:pPr>
              <w:spacing w:after="0"/>
              <w:rPr>
                <w:sz w:val="1"/>
                <w:szCs w:val="1"/>
                <w:color w:val="auto"/>
              </w:rPr>
            </w:pPr>
          </w:p>
        </w:tc>
      </w:tr>
      <w:tr>
        <w:trPr>
          <w:trHeight w:val="94"/>
        </w:trPr>
        <w:tc>
          <w:tcPr>
            <w:tcW w:w="2400" w:type="dxa"/>
            <w:vAlign w:val="bottom"/>
            <w:tcBorders>
              <w:left w:val="single" w:sz="8" w:color="C3E6FF"/>
            </w:tcBorders>
            <w:shd w:val="clear" w:color="auto" w:fill="F3F9FF"/>
          </w:tcPr>
          <w:p>
            <w:pPr>
              <w:spacing w:after="0"/>
              <w:rPr>
                <w:sz w:val="8"/>
                <w:szCs w:val="8"/>
                <w:color w:val="auto"/>
              </w:rPr>
            </w:pPr>
          </w:p>
        </w:tc>
        <w:tc>
          <w:tcPr>
            <w:tcW w:w="2140" w:type="dxa"/>
            <w:vAlign w:val="bottom"/>
            <w:shd w:val="clear" w:color="auto" w:fill="F3F9FF"/>
          </w:tcPr>
          <w:p>
            <w:pPr>
              <w:spacing w:after="0"/>
              <w:rPr>
                <w:sz w:val="8"/>
                <w:szCs w:val="8"/>
                <w:color w:val="auto"/>
              </w:rPr>
            </w:pPr>
          </w:p>
        </w:tc>
        <w:tc>
          <w:tcPr>
            <w:tcW w:w="1980" w:type="dxa"/>
            <w:vAlign w:val="bottom"/>
            <w:shd w:val="clear" w:color="auto" w:fill="F3F9FF"/>
          </w:tcPr>
          <w:p>
            <w:pPr>
              <w:spacing w:after="0"/>
              <w:rPr>
                <w:sz w:val="8"/>
                <w:szCs w:val="8"/>
                <w:color w:val="auto"/>
              </w:rPr>
            </w:pPr>
          </w:p>
        </w:tc>
        <w:tc>
          <w:tcPr>
            <w:tcW w:w="2260" w:type="dxa"/>
            <w:vAlign w:val="bottom"/>
            <w:shd w:val="clear" w:color="auto" w:fill="F3F9FF"/>
          </w:tcPr>
          <w:p>
            <w:pPr>
              <w:spacing w:after="0"/>
              <w:rPr>
                <w:sz w:val="8"/>
                <w:szCs w:val="8"/>
                <w:color w:val="auto"/>
              </w:rPr>
            </w:pPr>
          </w:p>
        </w:tc>
        <w:tc>
          <w:tcPr>
            <w:tcW w:w="132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tcPr>
          <w:p>
            <w:pPr>
              <w:ind w:left="80"/>
              <w:spacing w:after="0"/>
              <w:rPr>
                <w:sz w:val="20"/>
                <w:szCs w:val="20"/>
                <w:color w:val="auto"/>
              </w:rPr>
            </w:pPr>
            <w:r>
              <w:rPr>
                <w:rFonts w:ascii="Arial" w:cs="Arial" w:eastAsia="Arial" w:hAnsi="Arial"/>
                <w:sz w:val="18"/>
                <w:szCs w:val="18"/>
                <w:color w:val="auto"/>
              </w:rPr>
              <w:t>Som Mittal</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80,000</w:t>
            </w:r>
          </w:p>
        </w:tc>
        <w:tc>
          <w:tcPr>
            <w:tcW w:w="1980" w:type="dxa"/>
            <w:vAlign w:val="bottom"/>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23,887</w:t>
            </w:r>
          </w:p>
        </w:tc>
        <w:tc>
          <w:tcPr>
            <w:tcW w:w="1320" w:type="dxa"/>
            <w:vAlign w:val="bottom"/>
            <w:tcBorders>
              <w:right w:val="single" w:sz="8" w:color="C3E6FF"/>
            </w:tcBorders>
          </w:tcPr>
          <w:p>
            <w:pPr>
              <w:jc w:val="right"/>
              <w:spacing w:after="0"/>
              <w:rPr>
                <w:sz w:val="20"/>
                <w:szCs w:val="20"/>
                <w:color w:val="auto"/>
              </w:rPr>
            </w:pPr>
            <w:r>
              <w:rPr>
                <w:rFonts w:ascii="Arial" w:cs="Arial" w:eastAsia="Arial" w:hAnsi="Arial"/>
                <w:sz w:val="18"/>
                <w:szCs w:val="18"/>
                <w:color w:val="auto"/>
              </w:rPr>
              <w:t>213,887</w:t>
            </w:r>
          </w:p>
        </w:tc>
        <w:tc>
          <w:tcPr>
            <w:tcW w:w="0" w:type="dxa"/>
            <w:vAlign w:val="bottom"/>
          </w:tcPr>
          <w:p>
            <w:pPr>
              <w:spacing w:after="0"/>
              <w:rPr>
                <w:sz w:val="1"/>
                <w:szCs w:val="1"/>
                <w:color w:val="auto"/>
              </w:rPr>
            </w:pPr>
          </w:p>
        </w:tc>
      </w:tr>
      <w:tr>
        <w:trPr>
          <w:trHeight w:val="94"/>
        </w:trPr>
        <w:tc>
          <w:tcPr>
            <w:tcW w:w="2400" w:type="dxa"/>
            <w:vAlign w:val="bottom"/>
            <w:tcBorders>
              <w:left w:val="single" w:sz="8" w:color="C3E6FF"/>
            </w:tcBorders>
          </w:tcPr>
          <w:p>
            <w:pPr>
              <w:spacing w:after="0"/>
              <w:rPr>
                <w:sz w:val="8"/>
                <w:szCs w:val="8"/>
                <w:color w:val="auto"/>
              </w:rPr>
            </w:pPr>
          </w:p>
        </w:tc>
        <w:tc>
          <w:tcPr>
            <w:tcW w:w="2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2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8"/>
                <w:szCs w:val="18"/>
                <w:color w:val="auto"/>
              </w:rPr>
              <w:t>Clyde Ostler</w:t>
            </w:r>
          </w:p>
        </w:tc>
        <w:tc>
          <w:tcPr>
            <w:tcW w:w="2140" w:type="dxa"/>
            <w:vAlign w:val="bottom"/>
            <w:shd w:val="clear" w:color="auto" w:fill="F3F9FF"/>
          </w:tcPr>
          <w:p>
            <w:pPr>
              <w:jc w:val="right"/>
              <w:ind w:right="130"/>
              <w:spacing w:after="0"/>
              <w:rPr>
                <w:sz w:val="20"/>
                <w:szCs w:val="20"/>
                <w:color w:val="auto"/>
              </w:rPr>
            </w:pPr>
            <w:r>
              <w:rPr>
                <w:rFonts w:ascii="Arial" w:cs="Arial" w:eastAsia="Arial" w:hAnsi="Arial"/>
                <w:sz w:val="18"/>
                <w:szCs w:val="18"/>
                <w:color w:val="auto"/>
              </w:rPr>
              <w:t>95,000</w:t>
            </w:r>
          </w:p>
        </w:tc>
        <w:tc>
          <w:tcPr>
            <w:tcW w:w="1980" w:type="dxa"/>
            <w:vAlign w:val="bottom"/>
            <w:shd w:val="clear" w:color="auto" w:fill="F3F9FF"/>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shd w:val="clear" w:color="auto" w:fill="F3F9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3E6FF"/>
            </w:tcBorders>
            <w:shd w:val="clear" w:color="auto" w:fill="F3F9FF"/>
          </w:tcPr>
          <w:p>
            <w:pPr>
              <w:jc w:val="right"/>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94"/>
        </w:trPr>
        <w:tc>
          <w:tcPr>
            <w:tcW w:w="2400" w:type="dxa"/>
            <w:vAlign w:val="bottom"/>
            <w:tcBorders>
              <w:left w:val="single" w:sz="8" w:color="C3E6FF"/>
            </w:tcBorders>
            <w:shd w:val="clear" w:color="auto" w:fill="F3F9FF"/>
          </w:tcPr>
          <w:p>
            <w:pPr>
              <w:spacing w:after="0"/>
              <w:rPr>
                <w:sz w:val="8"/>
                <w:szCs w:val="8"/>
                <w:color w:val="auto"/>
              </w:rPr>
            </w:pPr>
          </w:p>
        </w:tc>
        <w:tc>
          <w:tcPr>
            <w:tcW w:w="2140" w:type="dxa"/>
            <w:vAlign w:val="bottom"/>
            <w:shd w:val="clear" w:color="auto" w:fill="F3F9FF"/>
          </w:tcPr>
          <w:p>
            <w:pPr>
              <w:spacing w:after="0"/>
              <w:rPr>
                <w:sz w:val="8"/>
                <w:szCs w:val="8"/>
                <w:color w:val="auto"/>
              </w:rPr>
            </w:pPr>
          </w:p>
        </w:tc>
        <w:tc>
          <w:tcPr>
            <w:tcW w:w="1980" w:type="dxa"/>
            <w:vAlign w:val="bottom"/>
            <w:shd w:val="clear" w:color="auto" w:fill="F3F9FF"/>
          </w:tcPr>
          <w:p>
            <w:pPr>
              <w:spacing w:after="0"/>
              <w:rPr>
                <w:sz w:val="8"/>
                <w:szCs w:val="8"/>
                <w:color w:val="auto"/>
              </w:rPr>
            </w:pPr>
          </w:p>
        </w:tc>
        <w:tc>
          <w:tcPr>
            <w:tcW w:w="2260" w:type="dxa"/>
            <w:vAlign w:val="bottom"/>
            <w:shd w:val="clear" w:color="auto" w:fill="F3F9FF"/>
          </w:tcPr>
          <w:p>
            <w:pPr>
              <w:spacing w:after="0"/>
              <w:rPr>
                <w:sz w:val="8"/>
                <w:szCs w:val="8"/>
                <w:color w:val="auto"/>
              </w:rPr>
            </w:pPr>
          </w:p>
        </w:tc>
        <w:tc>
          <w:tcPr>
            <w:tcW w:w="132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tcPr>
          <w:p>
            <w:pPr>
              <w:ind w:left="80"/>
              <w:spacing w:after="0"/>
              <w:rPr>
                <w:sz w:val="20"/>
                <w:szCs w:val="20"/>
                <w:color w:val="auto"/>
              </w:rPr>
            </w:pPr>
            <w:r>
              <w:rPr>
                <w:rFonts w:ascii="Arial" w:cs="Arial" w:eastAsia="Arial" w:hAnsi="Arial"/>
                <w:sz w:val="18"/>
                <w:szCs w:val="18"/>
                <w:color w:val="auto"/>
              </w:rPr>
              <w:t>Vikram Pandit</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72,500</w:t>
            </w:r>
          </w:p>
        </w:tc>
        <w:tc>
          <w:tcPr>
            <w:tcW w:w="1980" w:type="dxa"/>
            <w:vAlign w:val="bottom"/>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3E6FF"/>
            </w:tcBorders>
          </w:tcPr>
          <w:p>
            <w:pPr>
              <w:jc w:val="right"/>
              <w:spacing w:after="0"/>
              <w:rPr>
                <w:sz w:val="20"/>
                <w:szCs w:val="20"/>
                <w:color w:val="auto"/>
              </w:rPr>
            </w:pPr>
            <w:r>
              <w:rPr>
                <w:rFonts w:ascii="Arial" w:cs="Arial" w:eastAsia="Arial" w:hAnsi="Arial"/>
                <w:sz w:val="18"/>
                <w:szCs w:val="18"/>
                <w:color w:val="auto"/>
              </w:rPr>
              <w:t>182,500</w:t>
            </w:r>
          </w:p>
        </w:tc>
        <w:tc>
          <w:tcPr>
            <w:tcW w:w="0" w:type="dxa"/>
            <w:vAlign w:val="bottom"/>
          </w:tcPr>
          <w:p>
            <w:pPr>
              <w:spacing w:after="0"/>
              <w:rPr>
                <w:sz w:val="1"/>
                <w:szCs w:val="1"/>
                <w:color w:val="auto"/>
              </w:rPr>
            </w:pPr>
          </w:p>
        </w:tc>
      </w:tr>
      <w:tr>
        <w:trPr>
          <w:trHeight w:val="95"/>
        </w:trPr>
        <w:tc>
          <w:tcPr>
            <w:tcW w:w="2400" w:type="dxa"/>
            <w:vAlign w:val="bottom"/>
            <w:tcBorders>
              <w:left w:val="single" w:sz="8" w:color="C3E6FF"/>
            </w:tcBorders>
          </w:tcPr>
          <w:p>
            <w:pPr>
              <w:spacing w:after="0"/>
              <w:rPr>
                <w:sz w:val="8"/>
                <w:szCs w:val="8"/>
                <w:color w:val="auto"/>
              </w:rPr>
            </w:pPr>
          </w:p>
        </w:tc>
        <w:tc>
          <w:tcPr>
            <w:tcW w:w="2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2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8"/>
                <w:szCs w:val="18"/>
                <w:color w:val="auto"/>
              </w:rPr>
              <w:t>Nitin Sahney</w:t>
            </w:r>
          </w:p>
        </w:tc>
        <w:tc>
          <w:tcPr>
            <w:tcW w:w="2140" w:type="dxa"/>
            <w:vAlign w:val="bottom"/>
            <w:shd w:val="clear" w:color="auto" w:fill="F3F9FF"/>
          </w:tcPr>
          <w:p>
            <w:pPr>
              <w:jc w:val="right"/>
              <w:ind w:right="130"/>
              <w:spacing w:after="0"/>
              <w:rPr>
                <w:sz w:val="20"/>
                <w:szCs w:val="20"/>
                <w:color w:val="auto"/>
              </w:rPr>
            </w:pPr>
            <w:r>
              <w:rPr>
                <w:rFonts w:ascii="Arial" w:cs="Arial" w:eastAsia="Arial" w:hAnsi="Arial"/>
                <w:sz w:val="18"/>
                <w:szCs w:val="18"/>
                <w:color w:val="auto"/>
              </w:rPr>
              <w:t>82,500</w:t>
            </w:r>
          </w:p>
        </w:tc>
        <w:tc>
          <w:tcPr>
            <w:tcW w:w="1980" w:type="dxa"/>
            <w:vAlign w:val="bottom"/>
            <w:shd w:val="clear" w:color="auto" w:fill="F3F9FF"/>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shd w:val="clear" w:color="auto" w:fill="F3F9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3E6FF"/>
            </w:tcBorders>
            <w:shd w:val="clear" w:color="auto" w:fill="F3F9FF"/>
          </w:tcPr>
          <w:p>
            <w:pPr>
              <w:jc w:val="right"/>
              <w:spacing w:after="0"/>
              <w:rPr>
                <w:sz w:val="20"/>
                <w:szCs w:val="20"/>
                <w:color w:val="auto"/>
              </w:rPr>
            </w:pPr>
            <w:r>
              <w:rPr>
                <w:rFonts w:ascii="Arial" w:cs="Arial" w:eastAsia="Arial" w:hAnsi="Arial"/>
                <w:sz w:val="18"/>
                <w:szCs w:val="18"/>
                <w:color w:val="auto"/>
              </w:rPr>
              <w:t>192,500</w:t>
            </w:r>
          </w:p>
        </w:tc>
        <w:tc>
          <w:tcPr>
            <w:tcW w:w="0" w:type="dxa"/>
            <w:vAlign w:val="bottom"/>
          </w:tcPr>
          <w:p>
            <w:pPr>
              <w:spacing w:after="0"/>
              <w:rPr>
                <w:sz w:val="1"/>
                <w:szCs w:val="1"/>
                <w:color w:val="auto"/>
              </w:rPr>
            </w:pPr>
          </w:p>
        </w:tc>
      </w:tr>
      <w:tr>
        <w:trPr>
          <w:trHeight w:val="94"/>
        </w:trPr>
        <w:tc>
          <w:tcPr>
            <w:tcW w:w="2400" w:type="dxa"/>
            <w:vAlign w:val="bottom"/>
            <w:tcBorders>
              <w:left w:val="single" w:sz="8" w:color="C3E6FF"/>
            </w:tcBorders>
            <w:shd w:val="clear" w:color="auto" w:fill="F3F9FF"/>
          </w:tcPr>
          <w:p>
            <w:pPr>
              <w:spacing w:after="0"/>
              <w:rPr>
                <w:sz w:val="8"/>
                <w:szCs w:val="8"/>
                <w:color w:val="auto"/>
              </w:rPr>
            </w:pPr>
          </w:p>
        </w:tc>
        <w:tc>
          <w:tcPr>
            <w:tcW w:w="2140" w:type="dxa"/>
            <w:vAlign w:val="bottom"/>
            <w:shd w:val="clear" w:color="auto" w:fill="F3F9FF"/>
          </w:tcPr>
          <w:p>
            <w:pPr>
              <w:spacing w:after="0"/>
              <w:rPr>
                <w:sz w:val="8"/>
                <w:szCs w:val="8"/>
                <w:color w:val="auto"/>
              </w:rPr>
            </w:pPr>
          </w:p>
        </w:tc>
        <w:tc>
          <w:tcPr>
            <w:tcW w:w="1980" w:type="dxa"/>
            <w:vAlign w:val="bottom"/>
            <w:shd w:val="clear" w:color="auto" w:fill="F3F9FF"/>
          </w:tcPr>
          <w:p>
            <w:pPr>
              <w:spacing w:after="0"/>
              <w:rPr>
                <w:sz w:val="8"/>
                <w:szCs w:val="8"/>
                <w:color w:val="auto"/>
              </w:rPr>
            </w:pPr>
          </w:p>
        </w:tc>
        <w:tc>
          <w:tcPr>
            <w:tcW w:w="2260" w:type="dxa"/>
            <w:vAlign w:val="bottom"/>
            <w:shd w:val="clear" w:color="auto" w:fill="F3F9FF"/>
          </w:tcPr>
          <w:p>
            <w:pPr>
              <w:spacing w:after="0"/>
              <w:rPr>
                <w:sz w:val="8"/>
                <w:szCs w:val="8"/>
                <w:color w:val="auto"/>
              </w:rPr>
            </w:pPr>
          </w:p>
        </w:tc>
        <w:tc>
          <w:tcPr>
            <w:tcW w:w="1320" w:type="dxa"/>
            <w:vAlign w:val="bottom"/>
            <w:tcBorders>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tcPr>
          <w:p>
            <w:pPr>
              <w:ind w:left="80"/>
              <w:spacing w:after="0"/>
              <w:rPr>
                <w:sz w:val="20"/>
                <w:szCs w:val="20"/>
                <w:color w:val="auto"/>
              </w:rPr>
            </w:pPr>
            <w:r>
              <w:rPr>
                <w:rFonts w:ascii="Arial" w:cs="Arial" w:eastAsia="Arial" w:hAnsi="Arial"/>
                <w:sz w:val="18"/>
                <w:szCs w:val="18"/>
                <w:color w:val="auto"/>
              </w:rPr>
              <w:t>Garen Staglin</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130,000</w:t>
            </w:r>
          </w:p>
        </w:tc>
        <w:tc>
          <w:tcPr>
            <w:tcW w:w="1980" w:type="dxa"/>
            <w:vAlign w:val="bottom"/>
          </w:tcPr>
          <w:p>
            <w:pPr>
              <w:jc w:val="right"/>
              <w:ind w:right="111"/>
              <w:spacing w:after="0"/>
              <w:rPr>
                <w:sz w:val="20"/>
                <w:szCs w:val="20"/>
                <w:color w:val="auto"/>
              </w:rPr>
            </w:pPr>
            <w:r>
              <w:rPr>
                <w:rFonts w:ascii="Arial" w:cs="Arial" w:eastAsia="Arial" w:hAnsi="Arial"/>
                <w:sz w:val="18"/>
                <w:szCs w:val="18"/>
                <w:color w:val="auto"/>
              </w:rPr>
              <w:t>210,000</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52,116</w:t>
            </w:r>
          </w:p>
        </w:tc>
        <w:tc>
          <w:tcPr>
            <w:tcW w:w="1320" w:type="dxa"/>
            <w:vAlign w:val="bottom"/>
            <w:tcBorders>
              <w:right w:val="single" w:sz="8" w:color="C3E6FF"/>
            </w:tcBorders>
          </w:tcPr>
          <w:p>
            <w:pPr>
              <w:jc w:val="right"/>
              <w:spacing w:after="0"/>
              <w:rPr>
                <w:sz w:val="20"/>
                <w:szCs w:val="20"/>
                <w:color w:val="auto"/>
              </w:rPr>
            </w:pPr>
            <w:r>
              <w:rPr>
                <w:rFonts w:ascii="Arial" w:cs="Arial" w:eastAsia="Arial" w:hAnsi="Arial"/>
                <w:sz w:val="18"/>
                <w:szCs w:val="18"/>
                <w:color w:val="auto"/>
              </w:rPr>
              <w:t>392,116</w:t>
            </w:r>
          </w:p>
        </w:tc>
        <w:tc>
          <w:tcPr>
            <w:tcW w:w="0" w:type="dxa"/>
            <w:vAlign w:val="bottom"/>
          </w:tcPr>
          <w:p>
            <w:pPr>
              <w:spacing w:after="0"/>
              <w:rPr>
                <w:sz w:val="1"/>
                <w:szCs w:val="1"/>
                <w:color w:val="auto"/>
              </w:rPr>
            </w:pPr>
          </w:p>
        </w:tc>
      </w:tr>
      <w:tr>
        <w:trPr>
          <w:trHeight w:val="95"/>
        </w:trPr>
        <w:tc>
          <w:tcPr>
            <w:tcW w:w="2400" w:type="dxa"/>
            <w:vAlign w:val="bottom"/>
            <w:tcBorders>
              <w:left w:val="single" w:sz="8" w:color="C3E6FF"/>
            </w:tcBorders>
          </w:tcPr>
          <w:p>
            <w:pPr>
              <w:spacing w:after="0"/>
              <w:rPr>
                <w:sz w:val="8"/>
                <w:szCs w:val="8"/>
                <w:color w:val="auto"/>
              </w:rPr>
            </w:pPr>
          </w:p>
        </w:tc>
        <w:tc>
          <w:tcPr>
            <w:tcW w:w="2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20" w:type="dxa"/>
            <w:vAlign w:val="bottom"/>
            <w:tcBorders>
              <w:right w:val="single" w:sz="8" w:color="C3E6FF"/>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C3E6FF"/>
            </w:tcBorders>
            <w:shd w:val="clear" w:color="auto" w:fill="F3F9FF"/>
          </w:tcPr>
          <w:p>
            <w:pPr>
              <w:ind w:left="80"/>
              <w:spacing w:after="0"/>
              <w:rPr>
                <w:sz w:val="20"/>
                <w:szCs w:val="20"/>
                <w:color w:val="auto"/>
              </w:rPr>
            </w:pPr>
            <w:r>
              <w:rPr>
                <w:rFonts w:ascii="Arial" w:cs="Arial" w:eastAsia="Arial" w:hAnsi="Arial"/>
                <w:sz w:val="18"/>
                <w:szCs w:val="18"/>
                <w:color w:val="auto"/>
              </w:rPr>
              <w:t>Jaynie Studenmund</w:t>
            </w:r>
          </w:p>
        </w:tc>
        <w:tc>
          <w:tcPr>
            <w:tcW w:w="2140" w:type="dxa"/>
            <w:vAlign w:val="bottom"/>
            <w:shd w:val="clear" w:color="auto" w:fill="F3F9FF"/>
          </w:tcPr>
          <w:p>
            <w:pPr>
              <w:jc w:val="right"/>
              <w:ind w:right="130"/>
              <w:spacing w:after="0"/>
              <w:rPr>
                <w:sz w:val="20"/>
                <w:szCs w:val="20"/>
                <w:color w:val="auto"/>
              </w:rPr>
            </w:pPr>
            <w:r>
              <w:rPr>
                <w:rFonts w:ascii="Arial" w:cs="Arial" w:eastAsia="Arial" w:hAnsi="Arial"/>
                <w:sz w:val="18"/>
                <w:szCs w:val="18"/>
                <w:color w:val="auto"/>
              </w:rPr>
              <w:t>82,500</w:t>
            </w:r>
          </w:p>
        </w:tc>
        <w:tc>
          <w:tcPr>
            <w:tcW w:w="1980" w:type="dxa"/>
            <w:vAlign w:val="bottom"/>
            <w:shd w:val="clear" w:color="auto" w:fill="F3F9FF"/>
          </w:tcPr>
          <w:p>
            <w:pPr>
              <w:jc w:val="right"/>
              <w:ind w:right="111"/>
              <w:spacing w:after="0"/>
              <w:rPr>
                <w:sz w:val="20"/>
                <w:szCs w:val="20"/>
                <w:color w:val="auto"/>
              </w:rPr>
            </w:pPr>
            <w:r>
              <w:rPr>
                <w:rFonts w:ascii="Arial" w:cs="Arial" w:eastAsia="Arial" w:hAnsi="Arial"/>
                <w:sz w:val="18"/>
                <w:szCs w:val="18"/>
                <w:color w:val="auto"/>
              </w:rPr>
              <w:t>110,000</w:t>
            </w:r>
          </w:p>
        </w:tc>
        <w:tc>
          <w:tcPr>
            <w:tcW w:w="2260" w:type="dxa"/>
            <w:vAlign w:val="bottom"/>
            <w:shd w:val="clear" w:color="auto" w:fill="F3F9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3E6FF"/>
            </w:tcBorders>
            <w:shd w:val="clear" w:color="auto" w:fill="F3F9FF"/>
          </w:tcPr>
          <w:p>
            <w:pPr>
              <w:jc w:val="right"/>
              <w:spacing w:after="0"/>
              <w:rPr>
                <w:sz w:val="20"/>
                <w:szCs w:val="20"/>
                <w:color w:val="auto"/>
              </w:rPr>
            </w:pPr>
            <w:r>
              <w:rPr>
                <w:rFonts w:ascii="Arial" w:cs="Arial" w:eastAsia="Arial" w:hAnsi="Arial"/>
                <w:sz w:val="18"/>
                <w:szCs w:val="18"/>
                <w:color w:val="auto"/>
              </w:rPr>
              <w:t>192,500</w:t>
            </w:r>
          </w:p>
        </w:tc>
        <w:tc>
          <w:tcPr>
            <w:tcW w:w="0" w:type="dxa"/>
            <w:vAlign w:val="bottom"/>
          </w:tcPr>
          <w:p>
            <w:pPr>
              <w:spacing w:after="0"/>
              <w:rPr>
                <w:sz w:val="1"/>
                <w:szCs w:val="1"/>
                <w:color w:val="auto"/>
              </w:rPr>
            </w:pPr>
          </w:p>
        </w:tc>
      </w:tr>
      <w:tr>
        <w:trPr>
          <w:trHeight w:val="101"/>
        </w:trPr>
        <w:tc>
          <w:tcPr>
            <w:tcW w:w="2400" w:type="dxa"/>
            <w:vAlign w:val="bottom"/>
            <w:tcBorders>
              <w:left w:val="single" w:sz="8" w:color="C3E6FF"/>
              <w:bottom w:val="single" w:sz="8" w:color="C3E6FF"/>
            </w:tcBorders>
            <w:shd w:val="clear" w:color="auto" w:fill="F3F9FF"/>
          </w:tcPr>
          <w:p>
            <w:pPr>
              <w:spacing w:after="0"/>
              <w:rPr>
                <w:sz w:val="8"/>
                <w:szCs w:val="8"/>
                <w:color w:val="auto"/>
              </w:rPr>
            </w:pPr>
          </w:p>
        </w:tc>
        <w:tc>
          <w:tcPr>
            <w:tcW w:w="2140" w:type="dxa"/>
            <w:vAlign w:val="bottom"/>
            <w:tcBorders>
              <w:bottom w:val="single" w:sz="8" w:color="C3E6FF"/>
            </w:tcBorders>
            <w:shd w:val="clear" w:color="auto" w:fill="F3F9FF"/>
          </w:tcPr>
          <w:p>
            <w:pPr>
              <w:spacing w:after="0"/>
              <w:rPr>
                <w:sz w:val="8"/>
                <w:szCs w:val="8"/>
                <w:color w:val="auto"/>
              </w:rPr>
            </w:pPr>
          </w:p>
        </w:tc>
        <w:tc>
          <w:tcPr>
            <w:tcW w:w="1980" w:type="dxa"/>
            <w:vAlign w:val="bottom"/>
            <w:tcBorders>
              <w:bottom w:val="single" w:sz="8" w:color="C3E6FF"/>
            </w:tcBorders>
            <w:shd w:val="clear" w:color="auto" w:fill="F3F9FF"/>
          </w:tcPr>
          <w:p>
            <w:pPr>
              <w:spacing w:after="0"/>
              <w:rPr>
                <w:sz w:val="8"/>
                <w:szCs w:val="8"/>
                <w:color w:val="auto"/>
              </w:rPr>
            </w:pPr>
          </w:p>
        </w:tc>
        <w:tc>
          <w:tcPr>
            <w:tcW w:w="2260" w:type="dxa"/>
            <w:vAlign w:val="bottom"/>
            <w:tcBorders>
              <w:bottom w:val="single" w:sz="8" w:color="C3E6FF"/>
            </w:tcBorders>
            <w:shd w:val="clear" w:color="auto" w:fill="F3F9FF"/>
          </w:tcPr>
          <w:p>
            <w:pPr>
              <w:spacing w:after="0"/>
              <w:rPr>
                <w:sz w:val="8"/>
                <w:szCs w:val="8"/>
                <w:color w:val="auto"/>
              </w:rPr>
            </w:pPr>
          </w:p>
        </w:tc>
        <w:tc>
          <w:tcPr>
            <w:tcW w:w="1320" w:type="dxa"/>
            <w:vAlign w:val="bottom"/>
            <w:tcBorders>
              <w:bottom w:val="single" w:sz="8" w:color="C3E6FF"/>
              <w:right w:val="single" w:sz="8" w:color="C3E6FF"/>
            </w:tcBorders>
            <w:shd w:val="clear" w:color="auto" w:fill="F3F9FF"/>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08"/>
        </w:numPr>
        <w:rPr>
          <w:rFonts w:ascii="Arial" w:cs="Arial" w:eastAsia="Arial" w:hAnsi="Arial"/>
          <w:sz w:val="14"/>
          <w:szCs w:val="14"/>
          <w:color w:val="262626"/>
        </w:rPr>
      </w:pPr>
      <w:r>
        <w:rPr>
          <w:rFonts w:ascii="Arial" w:cs="Arial" w:eastAsia="Arial" w:hAnsi="Arial"/>
          <w:sz w:val="14"/>
          <w:szCs w:val="14"/>
          <w:color w:val="262626"/>
        </w:rPr>
        <w:t>Mr. Kapoor’s compensation during 2019 was based solely on his role as CEO, as disclosed in the “Summary Compensation Table for Fiscal Year 2019” beginning on page</w:t>
      </w:r>
    </w:p>
    <w:p>
      <w:pPr>
        <w:spacing w:after="0" w:line="1" w:lineRule="exact"/>
        <w:rPr>
          <w:rFonts w:ascii="Arial" w:cs="Arial" w:eastAsia="Arial" w:hAnsi="Arial"/>
          <w:sz w:val="14"/>
          <w:szCs w:val="14"/>
          <w:color w:val="262626"/>
        </w:rPr>
      </w:pPr>
    </w:p>
    <w:p>
      <w:pPr>
        <w:spacing w:after="0"/>
        <w:rPr>
          <w:rFonts w:ascii="Arial" w:cs="Arial" w:eastAsia="Arial" w:hAnsi="Arial"/>
          <w:sz w:val="14"/>
          <w:szCs w:val="14"/>
          <w:color w:val="262626"/>
        </w:rPr>
      </w:pPr>
      <w:r>
        <w:rPr>
          <w:rFonts w:ascii="Arial" w:cs="Arial" w:eastAsia="Arial" w:hAnsi="Arial"/>
          <w:sz w:val="14"/>
          <w:szCs w:val="14"/>
          <w:color w:val="262626"/>
        </w:rPr>
        <w:t>62 and discussed in “Compensation Discussion and Analysis” beginning on page 62. He does not receive any additional compensation for his services as a director.</w:t>
      </w:r>
    </w:p>
    <w:p>
      <w:pPr>
        <w:spacing w:after="0" w:line="163" w:lineRule="exact"/>
        <w:rPr>
          <w:rFonts w:ascii="Arial" w:cs="Arial" w:eastAsia="Arial" w:hAnsi="Arial"/>
          <w:sz w:val="14"/>
          <w:szCs w:val="14"/>
          <w:color w:val="262626"/>
        </w:rPr>
      </w:pPr>
    </w:p>
    <w:p>
      <w:pPr>
        <w:ind w:firstLine="8"/>
        <w:spacing w:after="0" w:line="249" w:lineRule="auto"/>
        <w:tabs>
          <w:tab w:leader="none" w:pos="208" w:val="left"/>
        </w:tabs>
        <w:numPr>
          <w:ilvl w:val="0"/>
          <w:numId w:val="108"/>
        </w:numPr>
        <w:rPr>
          <w:rFonts w:ascii="Arial" w:cs="Arial" w:eastAsia="Arial" w:hAnsi="Arial"/>
          <w:sz w:val="14"/>
          <w:szCs w:val="14"/>
          <w:color w:val="262626"/>
        </w:rPr>
      </w:pPr>
      <w:r>
        <w:rPr>
          <w:rFonts w:ascii="Arial" w:cs="Arial" w:eastAsia="Arial" w:hAnsi="Arial"/>
          <w:sz w:val="14"/>
          <w:szCs w:val="14"/>
          <w:color w:val="262626"/>
        </w:rPr>
        <w:t>Amounts reflect the aggregate grant date fair value of stock awards and option awards recognized for financial statement reporting purposes for the fiscal year ended December 31, 2019, in accordance with FASB ASC Topic 718 (disregarding any forfeiture assumptions). Assumptions used in the calculation of these amounts are included in footnotes 2 and 23 to our audited financial statements for the fiscal year ended December 31, 2019 included in the 2019 Form 10-K.</w:t>
      </w:r>
    </w:p>
    <w:p>
      <w:pPr>
        <w:spacing w:after="0" w:line="146" w:lineRule="exact"/>
        <w:rPr>
          <w:rFonts w:ascii="Arial" w:cs="Arial" w:eastAsia="Arial" w:hAnsi="Arial"/>
          <w:sz w:val="14"/>
          <w:szCs w:val="14"/>
          <w:color w:val="262626"/>
        </w:rPr>
      </w:pPr>
    </w:p>
    <w:p>
      <w:pPr>
        <w:ind w:left="220" w:hanging="212"/>
        <w:spacing w:after="0"/>
        <w:tabs>
          <w:tab w:leader="none" w:pos="220" w:val="left"/>
        </w:tabs>
        <w:numPr>
          <w:ilvl w:val="0"/>
          <w:numId w:val="108"/>
        </w:numPr>
        <w:rPr>
          <w:rFonts w:ascii="Arial" w:cs="Arial" w:eastAsia="Arial" w:hAnsi="Arial"/>
          <w:sz w:val="14"/>
          <w:szCs w:val="14"/>
          <w:color w:val="262626"/>
        </w:rPr>
      </w:pPr>
      <w:r>
        <w:rPr>
          <w:rFonts w:ascii="Arial" w:cs="Arial" w:eastAsia="Arial" w:hAnsi="Arial"/>
          <w:sz w:val="14"/>
          <w:szCs w:val="14"/>
          <w:color w:val="262626"/>
        </w:rPr>
        <w:t>The outstanding equity awards held by our non-employee directors on December 31, 2019 is set forth on the table below: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220" w:type="dxa"/>
            <w:vAlign w:val="bottom"/>
            <w:tcBorders>
              <w:top w:val="single" w:sz="8" w:color="C3E6FF"/>
              <w:left w:val="single" w:sz="8" w:color="C3E6FF"/>
            </w:tcBorders>
            <w:shd w:val="clear" w:color="auto" w:fill="0093FF"/>
          </w:tcPr>
          <w:p>
            <w:pPr>
              <w:spacing w:after="0"/>
              <w:rPr>
                <w:sz w:val="24"/>
                <w:szCs w:val="24"/>
                <w:color w:val="auto"/>
              </w:rPr>
            </w:pPr>
          </w:p>
        </w:tc>
        <w:tc>
          <w:tcPr>
            <w:tcW w:w="2120" w:type="dxa"/>
            <w:vAlign w:val="bottom"/>
            <w:tcBorders>
              <w:top w:val="single" w:sz="8" w:color="C3E6FF"/>
            </w:tcBorders>
            <w:shd w:val="clear" w:color="auto" w:fill="0093FF"/>
          </w:tcPr>
          <w:p>
            <w:pPr>
              <w:ind w:left="820"/>
              <w:spacing w:after="0"/>
              <w:rPr>
                <w:sz w:val="20"/>
                <w:szCs w:val="20"/>
                <w:color w:val="auto"/>
              </w:rPr>
            </w:pPr>
            <w:r>
              <w:rPr>
                <w:rFonts w:ascii="Arial" w:cs="Arial" w:eastAsia="Arial" w:hAnsi="Arial"/>
                <w:sz w:val="14"/>
                <w:szCs w:val="14"/>
                <w:b w:val="1"/>
                <w:bCs w:val="1"/>
                <w:color w:val="FFFFFF"/>
              </w:rPr>
              <w:t>No. of Securities</w:t>
            </w:r>
          </w:p>
        </w:tc>
        <w:tc>
          <w:tcPr>
            <w:tcW w:w="1720" w:type="dxa"/>
            <w:vAlign w:val="bottom"/>
            <w:tcBorders>
              <w:top w:val="single" w:sz="8" w:color="C3E6FF"/>
            </w:tcBorders>
            <w:shd w:val="clear" w:color="auto" w:fill="0093FF"/>
          </w:tcPr>
          <w:p>
            <w:pPr>
              <w:ind w:left="160"/>
              <w:spacing w:after="0"/>
              <w:rPr>
                <w:sz w:val="20"/>
                <w:szCs w:val="20"/>
                <w:color w:val="auto"/>
              </w:rPr>
            </w:pPr>
            <w:r>
              <w:rPr>
                <w:rFonts w:ascii="Arial" w:cs="Arial" w:eastAsia="Arial" w:hAnsi="Arial"/>
                <w:sz w:val="14"/>
                <w:szCs w:val="14"/>
                <w:b w:val="1"/>
                <w:bCs w:val="1"/>
                <w:color w:val="FFFFFF"/>
              </w:rPr>
              <w:t>No. of Securities</w:t>
            </w:r>
          </w:p>
        </w:tc>
        <w:tc>
          <w:tcPr>
            <w:tcW w:w="2260" w:type="dxa"/>
            <w:vAlign w:val="bottom"/>
            <w:tcBorders>
              <w:top w:val="single" w:sz="8" w:color="C3E6FF"/>
              <w:right w:val="single" w:sz="8" w:color="C3E6FF"/>
            </w:tcBorders>
            <w:shd w:val="clear" w:color="auto" w:fill="0093FF"/>
          </w:tcPr>
          <w:p>
            <w:pPr>
              <w:spacing w:after="0"/>
              <w:rPr>
                <w:sz w:val="24"/>
                <w:szCs w:val="24"/>
                <w:color w:val="auto"/>
              </w:rPr>
            </w:pPr>
          </w:p>
        </w:tc>
        <w:tc>
          <w:tcPr>
            <w:tcW w:w="1780" w:type="dxa"/>
            <w:vAlign w:val="bottom"/>
            <w:tcBorders>
              <w:top w:val="single" w:sz="8" w:color="0093FF"/>
            </w:tcBorders>
            <w:shd w:val="clear" w:color="auto" w:fill="0093FF"/>
          </w:tcPr>
          <w:p>
            <w:pPr>
              <w:spacing w:after="0"/>
              <w:rPr>
                <w:sz w:val="24"/>
                <w:szCs w:val="24"/>
                <w:color w:val="auto"/>
              </w:rPr>
            </w:pPr>
          </w:p>
        </w:tc>
      </w:tr>
      <w:tr>
        <w:trPr>
          <w:trHeight w:val="162"/>
        </w:trPr>
        <w:tc>
          <w:tcPr>
            <w:tcW w:w="2220" w:type="dxa"/>
            <w:vAlign w:val="bottom"/>
            <w:tcBorders>
              <w:left w:val="single" w:sz="8" w:color="C3E6FF"/>
            </w:tcBorders>
            <w:shd w:val="clear" w:color="auto" w:fill="0093FF"/>
          </w:tcPr>
          <w:p>
            <w:pPr>
              <w:spacing w:after="0"/>
              <w:rPr>
                <w:sz w:val="14"/>
                <w:szCs w:val="14"/>
                <w:color w:val="auto"/>
              </w:rPr>
            </w:pPr>
          </w:p>
        </w:tc>
        <w:tc>
          <w:tcPr>
            <w:tcW w:w="2120" w:type="dxa"/>
            <w:vAlign w:val="bottom"/>
            <w:shd w:val="clear" w:color="auto" w:fill="0093FF"/>
          </w:tcPr>
          <w:p>
            <w:pPr>
              <w:ind w:left="820"/>
              <w:spacing w:after="0"/>
              <w:rPr>
                <w:sz w:val="20"/>
                <w:szCs w:val="20"/>
                <w:color w:val="auto"/>
              </w:rPr>
            </w:pPr>
            <w:r>
              <w:rPr>
                <w:rFonts w:ascii="Arial" w:cs="Arial" w:eastAsia="Arial" w:hAnsi="Arial"/>
                <w:sz w:val="14"/>
                <w:szCs w:val="14"/>
                <w:b w:val="1"/>
                <w:bCs w:val="1"/>
                <w:color w:val="FFFFFF"/>
              </w:rPr>
              <w:t>Underlying</w:t>
            </w:r>
          </w:p>
        </w:tc>
        <w:tc>
          <w:tcPr>
            <w:tcW w:w="1720" w:type="dxa"/>
            <w:vAlign w:val="bottom"/>
            <w:shd w:val="clear" w:color="auto" w:fill="0093FF"/>
          </w:tcPr>
          <w:p>
            <w:pPr>
              <w:ind w:left="160"/>
              <w:spacing w:after="0"/>
              <w:rPr>
                <w:sz w:val="20"/>
                <w:szCs w:val="20"/>
                <w:color w:val="auto"/>
              </w:rPr>
            </w:pPr>
            <w:r>
              <w:rPr>
                <w:rFonts w:ascii="Arial" w:cs="Arial" w:eastAsia="Arial" w:hAnsi="Arial"/>
                <w:sz w:val="14"/>
                <w:szCs w:val="14"/>
                <w:b w:val="1"/>
                <w:bCs w:val="1"/>
                <w:color w:val="FFFFFF"/>
              </w:rPr>
              <w:t>Underlying</w:t>
            </w:r>
          </w:p>
        </w:tc>
        <w:tc>
          <w:tcPr>
            <w:tcW w:w="2260" w:type="dxa"/>
            <w:vAlign w:val="bottom"/>
            <w:tcBorders>
              <w:right w:val="single" w:sz="8" w:color="C3E6FF"/>
            </w:tcBorders>
            <w:shd w:val="clear" w:color="auto" w:fill="0093FF"/>
          </w:tcPr>
          <w:p>
            <w:pPr>
              <w:ind w:left="440"/>
              <w:spacing w:after="0"/>
              <w:rPr>
                <w:sz w:val="20"/>
                <w:szCs w:val="20"/>
                <w:color w:val="auto"/>
              </w:rPr>
            </w:pPr>
            <w:r>
              <w:rPr>
                <w:rFonts w:ascii="Arial" w:cs="Arial" w:eastAsia="Arial" w:hAnsi="Arial"/>
                <w:sz w:val="14"/>
                <w:szCs w:val="14"/>
                <w:b w:val="1"/>
                <w:bCs w:val="1"/>
                <w:color w:val="FFFFFF"/>
              </w:rPr>
              <w:t>No. of Shares</w:t>
            </w:r>
          </w:p>
        </w:tc>
        <w:tc>
          <w:tcPr>
            <w:tcW w:w="1780" w:type="dxa"/>
            <w:vAlign w:val="bottom"/>
            <w:shd w:val="clear" w:color="auto" w:fill="0093FF"/>
          </w:tcPr>
          <w:p>
            <w:pPr>
              <w:spacing w:after="0"/>
              <w:rPr>
                <w:sz w:val="14"/>
                <w:szCs w:val="14"/>
                <w:color w:val="auto"/>
              </w:rPr>
            </w:pPr>
          </w:p>
        </w:tc>
      </w:tr>
      <w:tr>
        <w:trPr>
          <w:trHeight w:val="162"/>
        </w:trPr>
        <w:tc>
          <w:tcPr>
            <w:tcW w:w="2220" w:type="dxa"/>
            <w:vAlign w:val="bottom"/>
            <w:tcBorders>
              <w:left w:val="single" w:sz="8" w:color="C3E6FF"/>
            </w:tcBorders>
            <w:shd w:val="clear" w:color="auto" w:fill="0093FF"/>
          </w:tcPr>
          <w:p>
            <w:pPr>
              <w:spacing w:after="0"/>
              <w:rPr>
                <w:sz w:val="14"/>
                <w:szCs w:val="14"/>
                <w:color w:val="auto"/>
              </w:rPr>
            </w:pPr>
          </w:p>
        </w:tc>
        <w:tc>
          <w:tcPr>
            <w:tcW w:w="2120" w:type="dxa"/>
            <w:vAlign w:val="bottom"/>
            <w:shd w:val="clear" w:color="auto" w:fill="0093FF"/>
          </w:tcPr>
          <w:p>
            <w:pPr>
              <w:ind w:left="820"/>
              <w:spacing w:after="0"/>
              <w:rPr>
                <w:sz w:val="20"/>
                <w:szCs w:val="20"/>
                <w:color w:val="auto"/>
              </w:rPr>
            </w:pPr>
            <w:r>
              <w:rPr>
                <w:rFonts w:ascii="Arial" w:cs="Arial" w:eastAsia="Arial" w:hAnsi="Arial"/>
                <w:sz w:val="14"/>
                <w:szCs w:val="14"/>
                <w:b w:val="1"/>
                <w:bCs w:val="1"/>
                <w:color w:val="FFFFFF"/>
              </w:rPr>
              <w:t>Unexercised</w:t>
            </w:r>
          </w:p>
        </w:tc>
        <w:tc>
          <w:tcPr>
            <w:tcW w:w="1720" w:type="dxa"/>
            <w:vAlign w:val="bottom"/>
            <w:shd w:val="clear" w:color="auto" w:fill="0093FF"/>
          </w:tcPr>
          <w:p>
            <w:pPr>
              <w:ind w:left="160"/>
              <w:spacing w:after="0"/>
              <w:rPr>
                <w:sz w:val="20"/>
                <w:szCs w:val="20"/>
                <w:color w:val="auto"/>
              </w:rPr>
            </w:pPr>
            <w:r>
              <w:rPr>
                <w:rFonts w:ascii="Arial" w:cs="Arial" w:eastAsia="Arial" w:hAnsi="Arial"/>
                <w:sz w:val="14"/>
                <w:szCs w:val="14"/>
                <w:b w:val="1"/>
                <w:bCs w:val="1"/>
                <w:color w:val="FFFFFF"/>
              </w:rPr>
              <w:t>Unexercised</w:t>
            </w:r>
          </w:p>
        </w:tc>
        <w:tc>
          <w:tcPr>
            <w:tcW w:w="2260" w:type="dxa"/>
            <w:vAlign w:val="bottom"/>
            <w:tcBorders>
              <w:right w:val="single" w:sz="8" w:color="C3E6FF"/>
            </w:tcBorders>
            <w:shd w:val="clear" w:color="auto" w:fill="0093FF"/>
          </w:tcPr>
          <w:p>
            <w:pPr>
              <w:ind w:left="440"/>
              <w:spacing w:after="0"/>
              <w:rPr>
                <w:sz w:val="20"/>
                <w:szCs w:val="20"/>
                <w:color w:val="auto"/>
              </w:rPr>
            </w:pPr>
            <w:r>
              <w:rPr>
                <w:rFonts w:ascii="Arial" w:cs="Arial" w:eastAsia="Arial" w:hAnsi="Arial"/>
                <w:sz w:val="14"/>
                <w:szCs w:val="14"/>
                <w:b w:val="1"/>
                <w:bCs w:val="1"/>
                <w:color w:val="FFFFFF"/>
              </w:rPr>
              <w:t>or Units of</w:t>
            </w:r>
          </w:p>
        </w:tc>
        <w:tc>
          <w:tcPr>
            <w:tcW w:w="1780" w:type="dxa"/>
            <w:vAlign w:val="bottom"/>
            <w:shd w:val="clear" w:color="auto" w:fill="0093FF"/>
          </w:tcPr>
          <w:p>
            <w:pPr>
              <w:spacing w:after="0"/>
              <w:rPr>
                <w:sz w:val="14"/>
                <w:szCs w:val="14"/>
                <w:color w:val="auto"/>
              </w:rPr>
            </w:pPr>
          </w:p>
        </w:tc>
      </w:tr>
      <w:tr>
        <w:trPr>
          <w:trHeight w:val="162"/>
        </w:trPr>
        <w:tc>
          <w:tcPr>
            <w:tcW w:w="2220" w:type="dxa"/>
            <w:vAlign w:val="bottom"/>
            <w:tcBorders>
              <w:left w:val="single" w:sz="8" w:color="C3E6FF"/>
            </w:tcBorders>
            <w:shd w:val="clear" w:color="auto" w:fill="0093FF"/>
          </w:tcPr>
          <w:p>
            <w:pPr>
              <w:spacing w:after="0"/>
              <w:rPr>
                <w:sz w:val="14"/>
                <w:szCs w:val="14"/>
                <w:color w:val="auto"/>
              </w:rPr>
            </w:pPr>
          </w:p>
        </w:tc>
        <w:tc>
          <w:tcPr>
            <w:tcW w:w="2120" w:type="dxa"/>
            <w:vAlign w:val="bottom"/>
            <w:shd w:val="clear" w:color="auto" w:fill="0093FF"/>
          </w:tcPr>
          <w:p>
            <w:pPr>
              <w:ind w:left="820"/>
              <w:spacing w:after="0"/>
              <w:rPr>
                <w:sz w:val="20"/>
                <w:szCs w:val="20"/>
                <w:color w:val="auto"/>
              </w:rPr>
            </w:pPr>
            <w:r>
              <w:rPr>
                <w:rFonts w:ascii="Arial" w:cs="Arial" w:eastAsia="Arial" w:hAnsi="Arial"/>
                <w:sz w:val="14"/>
                <w:szCs w:val="14"/>
                <w:b w:val="1"/>
                <w:bCs w:val="1"/>
                <w:color w:val="FFFFFF"/>
              </w:rPr>
              <w:t>Options (#)</w:t>
            </w:r>
          </w:p>
        </w:tc>
        <w:tc>
          <w:tcPr>
            <w:tcW w:w="1720" w:type="dxa"/>
            <w:vAlign w:val="bottom"/>
            <w:shd w:val="clear" w:color="auto" w:fill="0093FF"/>
          </w:tcPr>
          <w:p>
            <w:pPr>
              <w:ind w:left="160"/>
              <w:spacing w:after="0"/>
              <w:rPr>
                <w:sz w:val="20"/>
                <w:szCs w:val="20"/>
                <w:color w:val="auto"/>
              </w:rPr>
            </w:pPr>
            <w:r>
              <w:rPr>
                <w:rFonts w:ascii="Arial" w:cs="Arial" w:eastAsia="Arial" w:hAnsi="Arial"/>
                <w:sz w:val="14"/>
                <w:szCs w:val="14"/>
                <w:b w:val="1"/>
                <w:bCs w:val="1"/>
                <w:color w:val="FFFFFF"/>
              </w:rPr>
              <w:t>Options (#)</w:t>
            </w:r>
          </w:p>
        </w:tc>
        <w:tc>
          <w:tcPr>
            <w:tcW w:w="2260" w:type="dxa"/>
            <w:vAlign w:val="bottom"/>
            <w:tcBorders>
              <w:right w:val="single" w:sz="8" w:color="C3E6FF"/>
            </w:tcBorders>
            <w:shd w:val="clear" w:color="auto" w:fill="0093FF"/>
          </w:tcPr>
          <w:p>
            <w:pPr>
              <w:ind w:left="440"/>
              <w:spacing w:after="0"/>
              <w:rPr>
                <w:sz w:val="20"/>
                <w:szCs w:val="20"/>
                <w:color w:val="auto"/>
              </w:rPr>
            </w:pPr>
            <w:r>
              <w:rPr>
                <w:rFonts w:ascii="Arial" w:cs="Arial" w:eastAsia="Arial" w:hAnsi="Arial"/>
                <w:sz w:val="14"/>
                <w:szCs w:val="14"/>
                <w:b w:val="1"/>
                <w:bCs w:val="1"/>
                <w:color w:val="FFFFFF"/>
              </w:rPr>
              <w:t>Stock That Have Not</w:t>
            </w:r>
          </w:p>
        </w:tc>
        <w:tc>
          <w:tcPr>
            <w:tcW w:w="1780" w:type="dxa"/>
            <w:vAlign w:val="bottom"/>
            <w:shd w:val="clear" w:color="auto" w:fill="0093FF"/>
          </w:tcPr>
          <w:p>
            <w:pPr>
              <w:spacing w:after="0"/>
              <w:rPr>
                <w:sz w:val="14"/>
                <w:szCs w:val="14"/>
                <w:color w:val="auto"/>
              </w:rPr>
            </w:pPr>
          </w:p>
        </w:tc>
      </w:tr>
      <w:tr>
        <w:trPr>
          <w:trHeight w:val="190"/>
        </w:trPr>
        <w:tc>
          <w:tcPr>
            <w:tcW w:w="2220" w:type="dxa"/>
            <w:vAlign w:val="bottom"/>
            <w:tcBorders>
              <w:left w:val="single" w:sz="8" w:color="C3E6FF"/>
            </w:tcBorders>
            <w:shd w:val="clear" w:color="auto" w:fill="0093FF"/>
          </w:tcPr>
          <w:p>
            <w:pPr>
              <w:ind w:left="140"/>
              <w:spacing w:after="0"/>
              <w:rPr>
                <w:sz w:val="20"/>
                <w:szCs w:val="20"/>
                <w:color w:val="auto"/>
              </w:rPr>
            </w:pPr>
            <w:r>
              <w:rPr>
                <w:rFonts w:ascii="Arial" w:cs="Arial" w:eastAsia="Arial" w:hAnsi="Arial"/>
                <w:sz w:val="14"/>
                <w:szCs w:val="14"/>
                <w:b w:val="1"/>
                <w:bCs w:val="1"/>
                <w:color w:val="FFFFFF"/>
              </w:rPr>
              <w:t>Name</w:t>
            </w:r>
          </w:p>
        </w:tc>
        <w:tc>
          <w:tcPr>
            <w:tcW w:w="2120" w:type="dxa"/>
            <w:vAlign w:val="bottom"/>
            <w:shd w:val="clear" w:color="auto" w:fill="0093FF"/>
          </w:tcPr>
          <w:p>
            <w:pPr>
              <w:ind w:left="820"/>
              <w:spacing w:after="0"/>
              <w:rPr>
                <w:sz w:val="20"/>
                <w:szCs w:val="20"/>
                <w:color w:val="auto"/>
              </w:rPr>
            </w:pPr>
            <w:r>
              <w:rPr>
                <w:rFonts w:ascii="Arial" w:cs="Arial" w:eastAsia="Arial" w:hAnsi="Arial"/>
                <w:sz w:val="14"/>
                <w:szCs w:val="14"/>
                <w:b w:val="1"/>
                <w:bCs w:val="1"/>
                <w:color w:val="FFFFFF"/>
              </w:rPr>
              <w:t>Exercisable</w:t>
            </w:r>
          </w:p>
        </w:tc>
        <w:tc>
          <w:tcPr>
            <w:tcW w:w="1720" w:type="dxa"/>
            <w:vAlign w:val="bottom"/>
            <w:shd w:val="clear" w:color="auto" w:fill="0093FF"/>
          </w:tcPr>
          <w:p>
            <w:pPr>
              <w:ind w:left="160"/>
              <w:spacing w:after="0"/>
              <w:rPr>
                <w:sz w:val="20"/>
                <w:szCs w:val="20"/>
                <w:color w:val="auto"/>
              </w:rPr>
            </w:pPr>
            <w:r>
              <w:rPr>
                <w:rFonts w:ascii="Arial" w:cs="Arial" w:eastAsia="Arial" w:hAnsi="Arial"/>
                <w:sz w:val="14"/>
                <w:szCs w:val="14"/>
                <w:b w:val="1"/>
                <w:bCs w:val="1"/>
                <w:color w:val="FFFFFF"/>
              </w:rPr>
              <w:t>Unexercisable</w:t>
            </w:r>
          </w:p>
        </w:tc>
        <w:tc>
          <w:tcPr>
            <w:tcW w:w="2260" w:type="dxa"/>
            <w:vAlign w:val="bottom"/>
            <w:tcBorders>
              <w:right w:val="single" w:sz="8" w:color="C3E6FF"/>
            </w:tcBorders>
            <w:shd w:val="clear" w:color="auto" w:fill="0093FF"/>
          </w:tcPr>
          <w:p>
            <w:pPr>
              <w:ind w:left="440"/>
              <w:spacing w:after="0"/>
              <w:rPr>
                <w:sz w:val="20"/>
                <w:szCs w:val="20"/>
                <w:color w:val="auto"/>
              </w:rPr>
            </w:pPr>
            <w:r>
              <w:rPr>
                <w:rFonts w:ascii="Arial" w:cs="Arial" w:eastAsia="Arial" w:hAnsi="Arial"/>
                <w:sz w:val="14"/>
                <w:szCs w:val="14"/>
                <w:b w:val="1"/>
                <w:bCs w:val="1"/>
                <w:color w:val="FFFFFF"/>
              </w:rPr>
              <w:t>Vested</w:t>
            </w:r>
          </w:p>
        </w:tc>
        <w:tc>
          <w:tcPr>
            <w:tcW w:w="1780" w:type="dxa"/>
            <w:vAlign w:val="bottom"/>
            <w:shd w:val="clear" w:color="auto" w:fill="0093FF"/>
          </w:tcPr>
          <w:p>
            <w:pPr>
              <w:spacing w:after="0"/>
              <w:rPr>
                <w:sz w:val="16"/>
                <w:szCs w:val="16"/>
                <w:color w:val="auto"/>
              </w:rPr>
            </w:pPr>
          </w:p>
        </w:tc>
      </w:tr>
      <w:tr>
        <w:trPr>
          <w:trHeight w:val="93"/>
        </w:trPr>
        <w:tc>
          <w:tcPr>
            <w:tcW w:w="2220" w:type="dxa"/>
            <w:vAlign w:val="bottom"/>
            <w:tcBorders>
              <w:left w:val="single" w:sz="8" w:color="C3E6FF"/>
            </w:tcBorders>
            <w:shd w:val="clear" w:color="auto" w:fill="0093FF"/>
          </w:tcPr>
          <w:p>
            <w:pPr>
              <w:spacing w:after="0"/>
              <w:rPr>
                <w:sz w:val="8"/>
                <w:szCs w:val="8"/>
                <w:color w:val="auto"/>
              </w:rPr>
            </w:pPr>
          </w:p>
        </w:tc>
        <w:tc>
          <w:tcPr>
            <w:tcW w:w="2120" w:type="dxa"/>
            <w:vAlign w:val="bottom"/>
            <w:shd w:val="clear" w:color="auto" w:fill="0093FF"/>
          </w:tcPr>
          <w:p>
            <w:pPr>
              <w:spacing w:after="0"/>
              <w:rPr>
                <w:sz w:val="8"/>
                <w:szCs w:val="8"/>
                <w:color w:val="auto"/>
              </w:rPr>
            </w:pPr>
          </w:p>
        </w:tc>
        <w:tc>
          <w:tcPr>
            <w:tcW w:w="1720" w:type="dxa"/>
            <w:vAlign w:val="bottom"/>
            <w:shd w:val="clear" w:color="auto" w:fill="0093FF"/>
          </w:tcPr>
          <w:p>
            <w:pPr>
              <w:spacing w:after="0"/>
              <w:rPr>
                <w:sz w:val="8"/>
                <w:szCs w:val="8"/>
                <w:color w:val="auto"/>
              </w:rPr>
            </w:pPr>
          </w:p>
        </w:tc>
        <w:tc>
          <w:tcPr>
            <w:tcW w:w="2260" w:type="dxa"/>
            <w:vAlign w:val="bottom"/>
            <w:tcBorders>
              <w:right w:val="single" w:sz="8" w:color="C3E6FF"/>
            </w:tcBorders>
            <w:shd w:val="clear" w:color="auto" w:fill="0093FF"/>
          </w:tcPr>
          <w:p>
            <w:pPr>
              <w:spacing w:after="0"/>
              <w:rPr>
                <w:sz w:val="8"/>
                <w:szCs w:val="8"/>
                <w:color w:val="auto"/>
              </w:rPr>
            </w:pPr>
          </w:p>
        </w:tc>
        <w:tc>
          <w:tcPr>
            <w:tcW w:w="1780" w:type="dxa"/>
            <w:vAlign w:val="bottom"/>
            <w:shd w:val="clear" w:color="auto" w:fill="0093FF"/>
          </w:tcPr>
          <w:p>
            <w:pPr>
              <w:spacing w:after="0"/>
              <w:rPr>
                <w:sz w:val="8"/>
                <w:szCs w:val="8"/>
                <w:color w:val="auto"/>
              </w:rPr>
            </w:pPr>
          </w:p>
        </w:tc>
      </w:tr>
      <w:tr>
        <w:trPr>
          <w:trHeight w:val="250"/>
        </w:trPr>
        <w:tc>
          <w:tcPr>
            <w:tcW w:w="2220" w:type="dxa"/>
            <w:vAlign w:val="bottom"/>
            <w:tcBorders>
              <w:left w:val="single" w:sz="8" w:color="C3E6FF"/>
              <w:bottom w:val="single" w:sz="8" w:color="F3F9FF"/>
            </w:tcBorders>
            <w:shd w:val="clear" w:color="auto" w:fill="F3F9FF"/>
          </w:tcPr>
          <w:p>
            <w:pPr>
              <w:ind w:left="140"/>
              <w:spacing w:after="0"/>
              <w:rPr>
                <w:sz w:val="20"/>
                <w:szCs w:val="20"/>
                <w:color w:val="auto"/>
              </w:rPr>
            </w:pPr>
            <w:r>
              <w:rPr>
                <w:rFonts w:ascii="Arial" w:cs="Arial" w:eastAsia="Arial" w:hAnsi="Arial"/>
                <w:sz w:val="14"/>
                <w:szCs w:val="14"/>
                <w:color w:val="auto"/>
              </w:rPr>
              <w:t>David Kelso</w:t>
            </w:r>
          </w:p>
        </w:tc>
        <w:tc>
          <w:tcPr>
            <w:tcW w:w="2120" w:type="dxa"/>
            <w:vAlign w:val="bottom"/>
            <w:tcBorders>
              <w:bottom w:val="single" w:sz="8" w:color="F3F9FF"/>
            </w:tcBorders>
            <w:shd w:val="clear" w:color="auto" w:fill="F3F9FF"/>
          </w:tcPr>
          <w:p>
            <w:pPr>
              <w:jc w:val="right"/>
              <w:ind w:right="608"/>
              <w:spacing w:after="0"/>
              <w:rPr>
                <w:sz w:val="20"/>
                <w:szCs w:val="20"/>
                <w:color w:val="auto"/>
              </w:rPr>
            </w:pPr>
            <w:r>
              <w:rPr>
                <w:rFonts w:ascii="Arial" w:cs="Arial" w:eastAsia="Arial" w:hAnsi="Arial"/>
                <w:sz w:val="14"/>
                <w:szCs w:val="14"/>
                <w:color w:val="auto"/>
              </w:rPr>
              <w:t>26,294</w:t>
            </w:r>
          </w:p>
        </w:tc>
        <w:tc>
          <w:tcPr>
            <w:tcW w:w="1720" w:type="dxa"/>
            <w:vAlign w:val="bottom"/>
            <w:tcBorders>
              <w:bottom w:val="single" w:sz="8" w:color="F3F9FF"/>
            </w:tcBorders>
            <w:shd w:val="clear" w:color="auto" w:fill="F3F9FF"/>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bottom w:val="single" w:sz="8" w:color="F3F9FF"/>
              <w:right w:val="single" w:sz="8" w:color="C3E6FF"/>
            </w:tcBorders>
            <w:shd w:val="clear" w:color="auto" w:fill="F3F9FF"/>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Borders>
              <w:bottom w:val="single" w:sz="8" w:color="F3F9FF"/>
            </w:tcBorders>
            <w:shd w:val="clear" w:color="auto" w:fill="F3F9FF"/>
          </w:tcPr>
          <w:p>
            <w:pPr>
              <w:spacing w:after="0"/>
              <w:rPr>
                <w:sz w:val="21"/>
                <w:szCs w:val="21"/>
                <w:color w:val="auto"/>
              </w:rPr>
            </w:pPr>
          </w:p>
        </w:tc>
      </w:tr>
      <w:tr>
        <w:trPr>
          <w:trHeight w:val="231"/>
        </w:trPr>
        <w:tc>
          <w:tcPr>
            <w:tcW w:w="2220" w:type="dxa"/>
            <w:vAlign w:val="bottom"/>
            <w:tcBorders>
              <w:left w:val="single" w:sz="8" w:color="C3E6FF"/>
            </w:tcBorders>
          </w:tcPr>
          <w:p>
            <w:pPr>
              <w:ind w:left="140"/>
              <w:spacing w:after="0"/>
              <w:rPr>
                <w:sz w:val="20"/>
                <w:szCs w:val="20"/>
                <w:color w:val="auto"/>
              </w:rPr>
            </w:pPr>
            <w:r>
              <w:rPr>
                <w:rFonts w:ascii="Arial" w:cs="Arial" w:eastAsia="Arial" w:hAnsi="Arial"/>
                <w:sz w:val="14"/>
                <w:szCs w:val="14"/>
                <w:color w:val="auto"/>
              </w:rPr>
              <w:t>Deborah Kerr</w:t>
            </w:r>
          </w:p>
        </w:tc>
        <w:tc>
          <w:tcPr>
            <w:tcW w:w="212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720" w:type="dxa"/>
            <w:vAlign w:val="bottom"/>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right w:val="single" w:sz="8" w:color="C3E6FF"/>
            </w:tcBorders>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Pr>
          <w:p>
            <w:pPr>
              <w:spacing w:after="0"/>
              <w:rPr>
                <w:sz w:val="20"/>
                <w:szCs w:val="20"/>
                <w:color w:val="auto"/>
              </w:rPr>
            </w:pPr>
          </w:p>
        </w:tc>
      </w:tr>
      <w:tr>
        <w:trPr>
          <w:trHeight w:val="39"/>
        </w:trPr>
        <w:tc>
          <w:tcPr>
            <w:tcW w:w="2220" w:type="dxa"/>
            <w:vAlign w:val="bottom"/>
            <w:tcBorders>
              <w:left w:val="single" w:sz="8" w:color="C3E6FF"/>
            </w:tcBorders>
          </w:tcPr>
          <w:p>
            <w:pPr>
              <w:spacing w:after="0"/>
              <w:rPr>
                <w:sz w:val="3"/>
                <w:szCs w:val="3"/>
                <w:color w:val="auto"/>
              </w:rPr>
            </w:pPr>
          </w:p>
        </w:tc>
        <w:tc>
          <w:tcPr>
            <w:tcW w:w="2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60" w:type="dxa"/>
            <w:vAlign w:val="bottom"/>
            <w:tcBorders>
              <w:right w:val="single" w:sz="8" w:color="C3E6FF"/>
            </w:tcBorders>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2220" w:type="dxa"/>
            <w:vAlign w:val="bottom"/>
            <w:tcBorders>
              <w:left w:val="single" w:sz="8" w:color="C3E6FF"/>
              <w:bottom w:val="single" w:sz="8" w:color="F3F9FF"/>
            </w:tcBorders>
            <w:shd w:val="clear" w:color="auto" w:fill="F3F9FF"/>
          </w:tcPr>
          <w:p>
            <w:pPr>
              <w:ind w:left="140"/>
              <w:spacing w:after="0"/>
              <w:rPr>
                <w:sz w:val="20"/>
                <w:szCs w:val="20"/>
                <w:color w:val="auto"/>
              </w:rPr>
            </w:pPr>
            <w:r>
              <w:rPr>
                <w:rFonts w:ascii="Arial" w:cs="Arial" w:eastAsia="Arial" w:hAnsi="Arial"/>
                <w:sz w:val="14"/>
                <w:szCs w:val="14"/>
                <w:color w:val="auto"/>
              </w:rPr>
              <w:t>Anne Minto</w:t>
            </w:r>
          </w:p>
        </w:tc>
        <w:tc>
          <w:tcPr>
            <w:tcW w:w="2120" w:type="dxa"/>
            <w:vAlign w:val="bottom"/>
            <w:tcBorders>
              <w:bottom w:val="single" w:sz="8" w:color="F3F9FF"/>
            </w:tcBorders>
            <w:shd w:val="clear" w:color="auto" w:fill="F3F9FF"/>
          </w:tcPr>
          <w:p>
            <w:pPr>
              <w:jc w:val="right"/>
              <w:ind w:right="608"/>
              <w:spacing w:after="0"/>
              <w:rPr>
                <w:sz w:val="20"/>
                <w:szCs w:val="20"/>
                <w:color w:val="auto"/>
              </w:rPr>
            </w:pPr>
            <w:r>
              <w:rPr>
                <w:rFonts w:ascii="Arial" w:cs="Arial" w:eastAsia="Arial" w:hAnsi="Arial"/>
                <w:sz w:val="14"/>
                <w:szCs w:val="14"/>
                <w:color w:val="auto"/>
              </w:rPr>
              <w:t>3,093</w:t>
            </w:r>
          </w:p>
        </w:tc>
        <w:tc>
          <w:tcPr>
            <w:tcW w:w="1720" w:type="dxa"/>
            <w:vAlign w:val="bottom"/>
            <w:tcBorders>
              <w:bottom w:val="single" w:sz="8" w:color="F3F9FF"/>
            </w:tcBorders>
            <w:shd w:val="clear" w:color="auto" w:fill="F3F9FF"/>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bottom w:val="single" w:sz="8" w:color="F3F9FF"/>
              <w:right w:val="single" w:sz="8" w:color="C3E6FF"/>
            </w:tcBorders>
            <w:shd w:val="clear" w:color="auto" w:fill="F3F9FF"/>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Borders>
              <w:bottom w:val="single" w:sz="8" w:color="F3F9FF"/>
            </w:tcBorders>
            <w:shd w:val="clear" w:color="auto" w:fill="F3F9FF"/>
          </w:tcPr>
          <w:p>
            <w:pPr>
              <w:spacing w:after="0"/>
              <w:rPr>
                <w:sz w:val="21"/>
                <w:szCs w:val="21"/>
                <w:color w:val="auto"/>
              </w:rPr>
            </w:pPr>
          </w:p>
        </w:tc>
      </w:tr>
      <w:tr>
        <w:trPr>
          <w:trHeight w:val="231"/>
        </w:trPr>
        <w:tc>
          <w:tcPr>
            <w:tcW w:w="2220" w:type="dxa"/>
            <w:vAlign w:val="bottom"/>
            <w:tcBorders>
              <w:left w:val="single" w:sz="8" w:color="C3E6FF"/>
            </w:tcBorders>
          </w:tcPr>
          <w:p>
            <w:pPr>
              <w:ind w:left="140"/>
              <w:spacing w:after="0"/>
              <w:rPr>
                <w:sz w:val="20"/>
                <w:szCs w:val="20"/>
                <w:color w:val="auto"/>
              </w:rPr>
            </w:pPr>
            <w:r>
              <w:rPr>
                <w:rFonts w:ascii="Arial" w:cs="Arial" w:eastAsia="Arial" w:hAnsi="Arial"/>
                <w:sz w:val="14"/>
                <w:szCs w:val="14"/>
                <w:color w:val="auto"/>
              </w:rPr>
              <w:t>Som Mittal</w:t>
            </w:r>
          </w:p>
        </w:tc>
        <w:tc>
          <w:tcPr>
            <w:tcW w:w="212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720" w:type="dxa"/>
            <w:vAlign w:val="bottom"/>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right w:val="single" w:sz="8" w:color="C3E6FF"/>
            </w:tcBorders>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Pr>
          <w:p>
            <w:pPr>
              <w:spacing w:after="0"/>
              <w:rPr>
                <w:sz w:val="20"/>
                <w:szCs w:val="20"/>
                <w:color w:val="auto"/>
              </w:rPr>
            </w:pPr>
          </w:p>
        </w:tc>
      </w:tr>
      <w:tr>
        <w:trPr>
          <w:trHeight w:val="39"/>
        </w:trPr>
        <w:tc>
          <w:tcPr>
            <w:tcW w:w="2220" w:type="dxa"/>
            <w:vAlign w:val="bottom"/>
            <w:tcBorders>
              <w:left w:val="single" w:sz="8" w:color="C3E6FF"/>
            </w:tcBorders>
          </w:tcPr>
          <w:p>
            <w:pPr>
              <w:spacing w:after="0"/>
              <w:rPr>
                <w:sz w:val="3"/>
                <w:szCs w:val="3"/>
                <w:color w:val="auto"/>
              </w:rPr>
            </w:pPr>
          </w:p>
        </w:tc>
        <w:tc>
          <w:tcPr>
            <w:tcW w:w="2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60" w:type="dxa"/>
            <w:vAlign w:val="bottom"/>
            <w:tcBorders>
              <w:right w:val="single" w:sz="8" w:color="C3E6FF"/>
            </w:tcBorders>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2220" w:type="dxa"/>
            <w:vAlign w:val="bottom"/>
            <w:tcBorders>
              <w:left w:val="single" w:sz="8" w:color="C3E6FF"/>
              <w:bottom w:val="single" w:sz="8" w:color="F3F9FF"/>
            </w:tcBorders>
            <w:shd w:val="clear" w:color="auto" w:fill="F3F9FF"/>
          </w:tcPr>
          <w:p>
            <w:pPr>
              <w:ind w:left="140"/>
              <w:spacing w:after="0"/>
              <w:rPr>
                <w:sz w:val="20"/>
                <w:szCs w:val="20"/>
                <w:color w:val="auto"/>
              </w:rPr>
            </w:pPr>
            <w:r>
              <w:rPr>
                <w:rFonts w:ascii="Arial" w:cs="Arial" w:eastAsia="Arial" w:hAnsi="Arial"/>
                <w:sz w:val="14"/>
                <w:szCs w:val="14"/>
                <w:color w:val="auto"/>
              </w:rPr>
              <w:t>Clyde Ostler</w:t>
            </w:r>
          </w:p>
        </w:tc>
        <w:tc>
          <w:tcPr>
            <w:tcW w:w="2120" w:type="dxa"/>
            <w:vAlign w:val="bottom"/>
            <w:tcBorders>
              <w:bottom w:val="single" w:sz="8" w:color="F3F9FF"/>
            </w:tcBorders>
            <w:shd w:val="clear" w:color="auto" w:fill="F3F9FF"/>
          </w:tcPr>
          <w:p>
            <w:pPr>
              <w:jc w:val="right"/>
              <w:ind w:right="608"/>
              <w:spacing w:after="0"/>
              <w:rPr>
                <w:sz w:val="20"/>
                <w:szCs w:val="20"/>
                <w:color w:val="auto"/>
              </w:rPr>
            </w:pPr>
            <w:r>
              <w:rPr>
                <w:rFonts w:ascii="Arial" w:cs="Arial" w:eastAsia="Arial" w:hAnsi="Arial"/>
                <w:sz w:val="14"/>
                <w:szCs w:val="14"/>
                <w:color w:val="auto"/>
              </w:rPr>
              <w:t>7,258</w:t>
            </w:r>
          </w:p>
        </w:tc>
        <w:tc>
          <w:tcPr>
            <w:tcW w:w="1720" w:type="dxa"/>
            <w:vAlign w:val="bottom"/>
            <w:tcBorders>
              <w:bottom w:val="single" w:sz="8" w:color="F3F9FF"/>
            </w:tcBorders>
            <w:shd w:val="clear" w:color="auto" w:fill="F3F9FF"/>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bottom w:val="single" w:sz="8" w:color="F3F9FF"/>
              <w:right w:val="single" w:sz="8" w:color="C3E6FF"/>
            </w:tcBorders>
            <w:shd w:val="clear" w:color="auto" w:fill="F3F9FF"/>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Borders>
              <w:bottom w:val="single" w:sz="8" w:color="F3F9FF"/>
            </w:tcBorders>
            <w:shd w:val="clear" w:color="auto" w:fill="F3F9FF"/>
          </w:tcPr>
          <w:p>
            <w:pPr>
              <w:spacing w:after="0"/>
              <w:rPr>
                <w:sz w:val="21"/>
                <w:szCs w:val="21"/>
                <w:color w:val="auto"/>
              </w:rPr>
            </w:pPr>
          </w:p>
        </w:tc>
      </w:tr>
      <w:tr>
        <w:trPr>
          <w:trHeight w:val="231"/>
        </w:trPr>
        <w:tc>
          <w:tcPr>
            <w:tcW w:w="2220" w:type="dxa"/>
            <w:vAlign w:val="bottom"/>
            <w:tcBorders>
              <w:left w:val="single" w:sz="8" w:color="C3E6FF"/>
            </w:tcBorders>
          </w:tcPr>
          <w:p>
            <w:pPr>
              <w:ind w:left="140"/>
              <w:spacing w:after="0"/>
              <w:rPr>
                <w:sz w:val="20"/>
                <w:szCs w:val="20"/>
                <w:color w:val="auto"/>
              </w:rPr>
            </w:pPr>
            <w:r>
              <w:rPr>
                <w:rFonts w:ascii="Arial" w:cs="Arial" w:eastAsia="Arial" w:hAnsi="Arial"/>
                <w:sz w:val="14"/>
                <w:szCs w:val="14"/>
                <w:color w:val="auto"/>
              </w:rPr>
              <w:t>Vikram Pandit</w:t>
            </w:r>
          </w:p>
        </w:tc>
        <w:tc>
          <w:tcPr>
            <w:tcW w:w="212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720" w:type="dxa"/>
            <w:vAlign w:val="bottom"/>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right w:val="single" w:sz="8" w:color="C3E6FF"/>
            </w:tcBorders>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Pr>
          <w:p>
            <w:pPr>
              <w:spacing w:after="0"/>
              <w:rPr>
                <w:sz w:val="20"/>
                <w:szCs w:val="20"/>
                <w:color w:val="auto"/>
              </w:rPr>
            </w:pPr>
          </w:p>
        </w:tc>
      </w:tr>
      <w:tr>
        <w:trPr>
          <w:trHeight w:val="39"/>
        </w:trPr>
        <w:tc>
          <w:tcPr>
            <w:tcW w:w="2220" w:type="dxa"/>
            <w:vAlign w:val="bottom"/>
            <w:tcBorders>
              <w:left w:val="single" w:sz="8" w:color="C3E6FF"/>
            </w:tcBorders>
          </w:tcPr>
          <w:p>
            <w:pPr>
              <w:spacing w:after="0"/>
              <w:rPr>
                <w:sz w:val="3"/>
                <w:szCs w:val="3"/>
                <w:color w:val="auto"/>
              </w:rPr>
            </w:pPr>
          </w:p>
        </w:tc>
        <w:tc>
          <w:tcPr>
            <w:tcW w:w="2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60" w:type="dxa"/>
            <w:vAlign w:val="bottom"/>
            <w:tcBorders>
              <w:right w:val="single" w:sz="8" w:color="C3E6FF"/>
            </w:tcBorders>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2220" w:type="dxa"/>
            <w:vAlign w:val="bottom"/>
            <w:tcBorders>
              <w:left w:val="single" w:sz="8" w:color="C3E6FF"/>
              <w:bottom w:val="single" w:sz="8" w:color="F3F9FF"/>
            </w:tcBorders>
            <w:shd w:val="clear" w:color="auto" w:fill="F3F9FF"/>
          </w:tcPr>
          <w:p>
            <w:pPr>
              <w:ind w:left="140"/>
              <w:spacing w:after="0"/>
              <w:rPr>
                <w:sz w:val="20"/>
                <w:szCs w:val="20"/>
                <w:color w:val="auto"/>
              </w:rPr>
            </w:pPr>
            <w:r>
              <w:rPr>
                <w:rFonts w:ascii="Arial" w:cs="Arial" w:eastAsia="Arial" w:hAnsi="Arial"/>
                <w:sz w:val="14"/>
                <w:szCs w:val="14"/>
                <w:color w:val="auto"/>
              </w:rPr>
              <w:t>Nitin Sahney</w:t>
            </w:r>
          </w:p>
        </w:tc>
        <w:tc>
          <w:tcPr>
            <w:tcW w:w="2120" w:type="dxa"/>
            <w:vAlign w:val="bottom"/>
            <w:tcBorders>
              <w:bottom w:val="single" w:sz="8" w:color="F3F9FF"/>
            </w:tcBorders>
            <w:shd w:val="clear" w:color="auto" w:fill="F3F9FF"/>
          </w:tcPr>
          <w:p>
            <w:pPr>
              <w:jc w:val="right"/>
              <w:ind w:right="608"/>
              <w:spacing w:after="0"/>
              <w:rPr>
                <w:sz w:val="20"/>
                <w:szCs w:val="20"/>
                <w:color w:val="auto"/>
              </w:rPr>
            </w:pPr>
            <w:r>
              <w:rPr>
                <w:rFonts w:ascii="Arial" w:cs="Arial" w:eastAsia="Arial" w:hAnsi="Arial"/>
                <w:sz w:val="14"/>
                <w:szCs w:val="14"/>
                <w:color w:val="auto"/>
              </w:rPr>
              <w:t>0</w:t>
            </w:r>
          </w:p>
        </w:tc>
        <w:tc>
          <w:tcPr>
            <w:tcW w:w="1720" w:type="dxa"/>
            <w:vAlign w:val="bottom"/>
            <w:tcBorders>
              <w:bottom w:val="single" w:sz="8" w:color="F3F9FF"/>
            </w:tcBorders>
            <w:shd w:val="clear" w:color="auto" w:fill="F3F9FF"/>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bottom w:val="single" w:sz="8" w:color="F3F9FF"/>
              <w:right w:val="single" w:sz="8" w:color="C3E6FF"/>
            </w:tcBorders>
            <w:shd w:val="clear" w:color="auto" w:fill="F3F9FF"/>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Borders>
              <w:bottom w:val="single" w:sz="8" w:color="F3F9FF"/>
            </w:tcBorders>
            <w:shd w:val="clear" w:color="auto" w:fill="F3F9FF"/>
          </w:tcPr>
          <w:p>
            <w:pPr>
              <w:spacing w:after="0"/>
              <w:rPr>
                <w:sz w:val="21"/>
                <w:szCs w:val="21"/>
                <w:color w:val="auto"/>
              </w:rPr>
            </w:pPr>
          </w:p>
        </w:tc>
      </w:tr>
      <w:tr>
        <w:trPr>
          <w:trHeight w:val="231"/>
        </w:trPr>
        <w:tc>
          <w:tcPr>
            <w:tcW w:w="2220" w:type="dxa"/>
            <w:vAlign w:val="bottom"/>
            <w:tcBorders>
              <w:left w:val="single" w:sz="8" w:color="C3E6FF"/>
            </w:tcBorders>
          </w:tcPr>
          <w:p>
            <w:pPr>
              <w:ind w:left="140"/>
              <w:spacing w:after="0"/>
              <w:rPr>
                <w:sz w:val="20"/>
                <w:szCs w:val="20"/>
                <w:color w:val="auto"/>
              </w:rPr>
            </w:pPr>
            <w:r>
              <w:rPr>
                <w:rFonts w:ascii="Arial" w:cs="Arial" w:eastAsia="Arial" w:hAnsi="Arial"/>
                <w:sz w:val="14"/>
                <w:szCs w:val="14"/>
                <w:color w:val="auto"/>
              </w:rPr>
              <w:t>Garen Staglin</w:t>
            </w:r>
          </w:p>
        </w:tc>
        <w:tc>
          <w:tcPr>
            <w:tcW w:w="2120" w:type="dxa"/>
            <w:vAlign w:val="bottom"/>
          </w:tcPr>
          <w:p>
            <w:pPr>
              <w:jc w:val="right"/>
              <w:ind w:right="608"/>
              <w:spacing w:after="0"/>
              <w:rPr>
                <w:sz w:val="20"/>
                <w:szCs w:val="20"/>
                <w:color w:val="auto"/>
              </w:rPr>
            </w:pPr>
            <w:r>
              <w:rPr>
                <w:rFonts w:ascii="Arial" w:cs="Arial" w:eastAsia="Arial" w:hAnsi="Arial"/>
                <w:sz w:val="14"/>
                <w:szCs w:val="14"/>
                <w:color w:val="auto"/>
              </w:rPr>
              <w:t>15,831</w:t>
            </w:r>
          </w:p>
        </w:tc>
        <w:tc>
          <w:tcPr>
            <w:tcW w:w="1720" w:type="dxa"/>
            <w:vAlign w:val="bottom"/>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right w:val="single" w:sz="8" w:color="C3E6FF"/>
            </w:tcBorders>
          </w:tcPr>
          <w:p>
            <w:pPr>
              <w:jc w:val="right"/>
              <w:ind w:right="728"/>
              <w:spacing w:after="0"/>
              <w:rPr>
                <w:sz w:val="20"/>
                <w:szCs w:val="20"/>
                <w:color w:val="auto"/>
              </w:rPr>
            </w:pPr>
            <w:r>
              <w:rPr>
                <w:rFonts w:ascii="Arial" w:cs="Arial" w:eastAsia="Arial" w:hAnsi="Arial"/>
                <w:sz w:val="14"/>
                <w:szCs w:val="14"/>
                <w:color w:val="auto"/>
              </w:rPr>
              <w:t>3,498</w:t>
            </w:r>
          </w:p>
        </w:tc>
        <w:tc>
          <w:tcPr>
            <w:tcW w:w="1780" w:type="dxa"/>
            <w:vAlign w:val="bottom"/>
          </w:tcPr>
          <w:p>
            <w:pPr>
              <w:spacing w:after="0"/>
              <w:rPr>
                <w:sz w:val="20"/>
                <w:szCs w:val="20"/>
                <w:color w:val="auto"/>
              </w:rPr>
            </w:pPr>
          </w:p>
        </w:tc>
      </w:tr>
      <w:tr>
        <w:trPr>
          <w:trHeight w:val="39"/>
        </w:trPr>
        <w:tc>
          <w:tcPr>
            <w:tcW w:w="2220" w:type="dxa"/>
            <w:vAlign w:val="bottom"/>
            <w:tcBorders>
              <w:left w:val="single" w:sz="8" w:color="C3E6FF"/>
            </w:tcBorders>
          </w:tcPr>
          <w:p>
            <w:pPr>
              <w:spacing w:after="0"/>
              <w:rPr>
                <w:sz w:val="3"/>
                <w:szCs w:val="3"/>
                <w:color w:val="auto"/>
              </w:rPr>
            </w:pPr>
          </w:p>
        </w:tc>
        <w:tc>
          <w:tcPr>
            <w:tcW w:w="2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60" w:type="dxa"/>
            <w:vAlign w:val="bottom"/>
            <w:tcBorders>
              <w:right w:val="single" w:sz="8" w:color="C3E6FF"/>
            </w:tcBorders>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2220" w:type="dxa"/>
            <w:vAlign w:val="bottom"/>
            <w:tcBorders>
              <w:left w:val="single" w:sz="8" w:color="C3E6FF"/>
              <w:bottom w:val="single" w:sz="8" w:color="F3F9FF"/>
            </w:tcBorders>
            <w:shd w:val="clear" w:color="auto" w:fill="F3F9FF"/>
          </w:tcPr>
          <w:p>
            <w:pPr>
              <w:ind w:left="140"/>
              <w:spacing w:after="0"/>
              <w:rPr>
                <w:sz w:val="20"/>
                <w:szCs w:val="20"/>
                <w:color w:val="auto"/>
              </w:rPr>
            </w:pPr>
            <w:r>
              <w:rPr>
                <w:rFonts w:ascii="Arial" w:cs="Arial" w:eastAsia="Arial" w:hAnsi="Arial"/>
                <w:sz w:val="14"/>
                <w:szCs w:val="14"/>
                <w:color w:val="auto"/>
              </w:rPr>
              <w:t>Jaynie Studenmund</w:t>
            </w:r>
          </w:p>
        </w:tc>
        <w:tc>
          <w:tcPr>
            <w:tcW w:w="2120" w:type="dxa"/>
            <w:vAlign w:val="bottom"/>
            <w:tcBorders>
              <w:bottom w:val="single" w:sz="8" w:color="F3F9FF"/>
            </w:tcBorders>
            <w:shd w:val="clear" w:color="auto" w:fill="F3F9FF"/>
          </w:tcPr>
          <w:p>
            <w:pPr>
              <w:jc w:val="right"/>
              <w:ind w:right="608"/>
              <w:spacing w:after="0"/>
              <w:rPr>
                <w:sz w:val="20"/>
                <w:szCs w:val="20"/>
                <w:color w:val="auto"/>
              </w:rPr>
            </w:pPr>
            <w:r>
              <w:rPr>
                <w:rFonts w:ascii="Arial" w:cs="Arial" w:eastAsia="Arial" w:hAnsi="Arial"/>
                <w:sz w:val="14"/>
                <w:szCs w:val="14"/>
                <w:color w:val="auto"/>
              </w:rPr>
              <w:t>0</w:t>
            </w:r>
          </w:p>
        </w:tc>
        <w:tc>
          <w:tcPr>
            <w:tcW w:w="1720" w:type="dxa"/>
            <w:vAlign w:val="bottom"/>
            <w:tcBorders>
              <w:bottom w:val="single" w:sz="8" w:color="F3F9FF"/>
            </w:tcBorders>
            <w:shd w:val="clear" w:color="auto" w:fill="F3F9FF"/>
          </w:tcPr>
          <w:p>
            <w:pPr>
              <w:jc w:val="right"/>
              <w:ind w:right="548"/>
              <w:spacing w:after="0"/>
              <w:rPr>
                <w:sz w:val="20"/>
                <w:szCs w:val="20"/>
                <w:color w:val="auto"/>
              </w:rPr>
            </w:pPr>
            <w:r>
              <w:rPr>
                <w:rFonts w:ascii="Arial" w:cs="Arial" w:eastAsia="Arial" w:hAnsi="Arial"/>
                <w:sz w:val="14"/>
                <w:szCs w:val="14"/>
                <w:color w:val="auto"/>
              </w:rPr>
              <w:t>0</w:t>
            </w:r>
          </w:p>
        </w:tc>
        <w:tc>
          <w:tcPr>
            <w:tcW w:w="2260" w:type="dxa"/>
            <w:vAlign w:val="bottom"/>
            <w:tcBorders>
              <w:bottom w:val="single" w:sz="8" w:color="F3F9FF"/>
              <w:right w:val="single" w:sz="8" w:color="C3E6FF"/>
            </w:tcBorders>
            <w:shd w:val="clear" w:color="auto" w:fill="F3F9FF"/>
          </w:tcPr>
          <w:p>
            <w:pPr>
              <w:jc w:val="right"/>
              <w:ind w:right="728"/>
              <w:spacing w:after="0"/>
              <w:rPr>
                <w:sz w:val="20"/>
                <w:szCs w:val="20"/>
                <w:color w:val="auto"/>
              </w:rPr>
            </w:pPr>
            <w:r>
              <w:rPr>
                <w:rFonts w:ascii="Arial" w:cs="Arial" w:eastAsia="Arial" w:hAnsi="Arial"/>
                <w:sz w:val="14"/>
                <w:szCs w:val="14"/>
                <w:color w:val="auto"/>
              </w:rPr>
              <w:t>1,796</w:t>
            </w:r>
          </w:p>
        </w:tc>
        <w:tc>
          <w:tcPr>
            <w:tcW w:w="1780" w:type="dxa"/>
            <w:vAlign w:val="bottom"/>
            <w:tcBorders>
              <w:bottom w:val="single" w:sz="8" w:color="F3F9FF"/>
            </w:tcBorders>
            <w:shd w:val="clear" w:color="auto" w:fill="F3F9FF"/>
          </w:tcPr>
          <w:p>
            <w:pPr>
              <w:spacing w:after="0"/>
              <w:rPr>
                <w:sz w:val="21"/>
                <w:szCs w:val="21"/>
                <w:color w:val="auto"/>
              </w:rPr>
            </w:pPr>
          </w:p>
        </w:tc>
      </w:tr>
      <w:tr>
        <w:trPr>
          <w:trHeight w:val="27"/>
        </w:trPr>
        <w:tc>
          <w:tcPr>
            <w:tcW w:w="2220" w:type="dxa"/>
            <w:vAlign w:val="bottom"/>
            <w:tcBorders>
              <w:left w:val="single" w:sz="8" w:color="C3E6FF"/>
            </w:tcBorders>
            <w:shd w:val="clear" w:color="auto" w:fill="C3E6FF"/>
          </w:tcPr>
          <w:p>
            <w:pPr>
              <w:spacing w:after="0"/>
              <w:rPr>
                <w:sz w:val="2"/>
                <w:szCs w:val="2"/>
                <w:color w:val="auto"/>
              </w:rPr>
            </w:pPr>
          </w:p>
        </w:tc>
        <w:tc>
          <w:tcPr>
            <w:tcW w:w="2120" w:type="dxa"/>
            <w:vAlign w:val="bottom"/>
            <w:shd w:val="clear" w:color="auto" w:fill="C3E6FF"/>
          </w:tcPr>
          <w:p>
            <w:pPr>
              <w:spacing w:after="0"/>
              <w:rPr>
                <w:sz w:val="2"/>
                <w:szCs w:val="2"/>
                <w:color w:val="auto"/>
              </w:rPr>
            </w:pPr>
          </w:p>
        </w:tc>
        <w:tc>
          <w:tcPr>
            <w:tcW w:w="1720" w:type="dxa"/>
            <w:vAlign w:val="bottom"/>
            <w:shd w:val="clear" w:color="auto" w:fill="C3E6FF"/>
          </w:tcPr>
          <w:p>
            <w:pPr>
              <w:spacing w:after="0"/>
              <w:rPr>
                <w:sz w:val="2"/>
                <w:szCs w:val="2"/>
                <w:color w:val="auto"/>
              </w:rPr>
            </w:pPr>
          </w:p>
        </w:tc>
        <w:tc>
          <w:tcPr>
            <w:tcW w:w="2260" w:type="dxa"/>
            <w:vAlign w:val="bottom"/>
            <w:tcBorders>
              <w:right w:val="single" w:sz="8" w:color="C3E6FF"/>
            </w:tcBorders>
            <w:shd w:val="clear" w:color="auto" w:fill="C3E6FF"/>
          </w:tcPr>
          <w:p>
            <w:pPr>
              <w:spacing w:after="0"/>
              <w:rPr>
                <w:sz w:val="2"/>
                <w:szCs w:val="2"/>
                <w:color w:val="auto"/>
              </w:rPr>
            </w:pPr>
          </w:p>
        </w:tc>
        <w:tc>
          <w:tcPr>
            <w:tcW w:w="1780" w:type="dxa"/>
            <w:vAlign w:val="bottom"/>
            <w:shd w:val="clear" w:color="auto" w:fill="F3F9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-2219325</wp:posOffset>
            </wp:positionV>
            <wp:extent cx="1148715" cy="11747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48715" cy="11747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-873760</wp:posOffset>
            </wp:positionV>
            <wp:extent cx="1148715"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48715"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-530860</wp:posOffset>
            </wp:positionV>
            <wp:extent cx="114871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48715"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1148715" cy="1803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48715" cy="180340"/>
                    </a:xfrm>
                    <a:prstGeom prst="rect">
                      <a:avLst/>
                    </a:prstGeom>
                    <a:noFill/>
                  </pic:spPr>
                </pic:pic>
              </a:graphicData>
            </a:graphic>
          </wp:anchor>
        </w:drawing>
      </w:r>
    </w:p>
    <w:p>
      <w:pPr>
        <w:spacing w:after="0" w:line="66" w:lineRule="exact"/>
        <w:rPr>
          <w:sz w:val="20"/>
          <w:szCs w:val="20"/>
          <w:color w:val="auto"/>
        </w:rPr>
      </w:pPr>
    </w:p>
    <w:p>
      <w:pPr>
        <w:ind w:right="20" w:firstLine="8"/>
        <w:spacing w:after="0" w:line="258" w:lineRule="auto"/>
        <w:tabs>
          <w:tab w:leader="none" w:pos="168" w:val="left"/>
        </w:tabs>
        <w:numPr>
          <w:ilvl w:val="0"/>
          <w:numId w:val="109"/>
        </w:numPr>
        <w:rPr>
          <w:rFonts w:ascii="Arial" w:cs="Arial" w:eastAsia="Arial" w:hAnsi="Arial"/>
          <w:sz w:val="14"/>
          <w:szCs w:val="14"/>
          <w:color w:val="262626"/>
        </w:rPr>
      </w:pPr>
      <w:r>
        <w:rPr>
          <w:rFonts w:ascii="Arial" w:cs="Arial" w:eastAsia="Arial" w:hAnsi="Arial"/>
          <w:sz w:val="14"/>
          <w:szCs w:val="14"/>
          <w:color w:val="262626"/>
        </w:rPr>
        <w:t>For Ms. Minto and Mr. Mittal, amount reflects our reimbursement to the director for tax planning fees as well as tax gross-up amounts ($6,395 for Ms. Minto and $12,373 for Mr. Mittal). For Mr. Staglin, amount reflects our reimbursement for costs associated with secretarial services.</w:t>
      </w:r>
    </w:p>
    <w:p>
      <w:pPr>
        <w:spacing w:after="0" w:line="312"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262626"/>
        </w:rPr>
        <w:t>For 2019, non-employee directors (other than the non-executive Chairman) were eligible to receive an annual retainer fee in the amount of $60,000 in cash and $110,000 in equity valued at the time of grant. The non-executive Chairman of our board of directors was eligible to receive an annual retainer fee in the amount of $ 110,000 in cash and $210,000 in equity valued at the time of grant. New non-employee directors who join our board of directors during a calendar quarter are eligible to receive the full cash fee for such calendar quarter and a pro-rated equity grant. The chairperson of our Audit Committee was eligible to receive an additional annual fee of $25,000 in cash, and other members of our Audit Committee were eligible to receive an additional annual fee of $12,500 in cash. The Chairpersons of committees other than our Audit Committee were eligible to receive an additional annual fee of $20,000 in cash, and members of committees other than our Audit Committee were eligible to receive an additional annual fee of $10,000.</w:t>
      </w:r>
    </w:p>
    <w:p>
      <w:pPr>
        <w:spacing w:after="0" w:line="1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262626"/>
        </w:rPr>
        <w:t>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8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62626"/>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83"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FF6503"/>
        </w:rPr>
      </w:pPr>
      <w:r>
        <w:rPr>
          <w:rFonts w:ascii="Arial" w:cs="Arial" w:eastAsia="Arial" w:hAnsi="Arial"/>
          <w:sz w:val="18"/>
          <w:szCs w:val="18"/>
          <w:color w:val="262626"/>
        </w:rPr>
        <w:t>such director’s death;</w:t>
      </w:r>
    </w:p>
    <w:p>
      <w:pPr>
        <w:spacing w:after="0" w:line="198" w:lineRule="exact"/>
        <w:rPr>
          <w:rFonts w:ascii="Arial" w:cs="Arial" w:eastAsia="Arial" w:hAnsi="Arial"/>
          <w:sz w:val="18"/>
          <w:szCs w:val="18"/>
          <w:color w:val="FF6503"/>
        </w:rPr>
      </w:pPr>
    </w:p>
    <w:p>
      <w:pPr>
        <w:ind w:left="660" w:right="360" w:hanging="328"/>
        <w:spacing w:after="0" w:line="246" w:lineRule="auto"/>
        <w:tabs>
          <w:tab w:leader="none" w:pos="660" w:val="left"/>
        </w:tabs>
        <w:numPr>
          <w:ilvl w:val="0"/>
          <w:numId w:val="110"/>
        </w:numPr>
        <w:rPr>
          <w:rFonts w:ascii="Arial" w:cs="Arial" w:eastAsia="Arial" w:hAnsi="Arial"/>
          <w:sz w:val="18"/>
          <w:szCs w:val="18"/>
          <w:color w:val="FF6503"/>
        </w:rPr>
      </w:pPr>
      <w:r>
        <w:rPr>
          <w:rFonts w:ascii="Arial" w:cs="Arial" w:eastAsia="Arial" w:hAnsi="Arial"/>
          <w:sz w:val="18"/>
          <w:szCs w:val="18"/>
          <w:color w:val="262626"/>
        </w:rPr>
        <w:t>180 days following the end of such director’s term on our board of directors, or if the director has satisfied our stock ownership guidelines and made an election prior to the grant, the vesting date of the award; and</w:t>
      </w:r>
    </w:p>
    <w:p>
      <w:pPr>
        <w:spacing w:after="0" w:line="183" w:lineRule="exact"/>
        <w:rPr>
          <w:rFonts w:ascii="Arial" w:cs="Arial" w:eastAsia="Arial" w:hAnsi="Arial"/>
          <w:sz w:val="18"/>
          <w:szCs w:val="18"/>
          <w:color w:val="FF6503"/>
        </w:rPr>
      </w:pPr>
    </w:p>
    <w:p>
      <w:pPr>
        <w:ind w:left="660" w:right="100" w:hanging="328"/>
        <w:spacing w:after="0" w:line="246" w:lineRule="auto"/>
        <w:tabs>
          <w:tab w:leader="none" w:pos="660" w:val="left"/>
        </w:tabs>
        <w:numPr>
          <w:ilvl w:val="0"/>
          <w:numId w:val="110"/>
        </w:numPr>
        <w:rPr>
          <w:rFonts w:ascii="Arial" w:cs="Arial" w:eastAsia="Arial" w:hAnsi="Arial"/>
          <w:sz w:val="18"/>
          <w:szCs w:val="18"/>
          <w:color w:val="FF6503"/>
        </w:rPr>
      </w:pPr>
      <w:r>
        <w:rPr>
          <w:rFonts w:ascii="Arial" w:cs="Arial" w:eastAsia="Arial" w:hAnsi="Arial"/>
          <w:sz w:val="18"/>
          <w:szCs w:val="18"/>
          <w:color w:val="262626"/>
        </w:rPr>
        <w:t>the occurrence of a “change in control,” as defined in the 2006 Plan or 2015 Plan, as applicable, that satisfies the requirements of Section 409A of the Code.</w:t>
      </w:r>
    </w:p>
    <w:p>
      <w:pPr>
        <w:spacing w:after="0" w:line="3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88" w:name="page89"/>
    <w:bookmarkEnd w:id="88"/>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483235</wp:posOffset>
            </wp:positionV>
            <wp:extent cx="600075" cy="411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820"/>
        <w:spacing w:after="0" w:line="286" w:lineRule="auto"/>
        <w:rPr>
          <w:sz w:val="20"/>
          <w:szCs w:val="20"/>
          <w:color w:val="auto"/>
        </w:rPr>
      </w:pPr>
      <w:r>
        <w:rPr>
          <w:rFonts w:ascii="Arial" w:cs="Arial" w:eastAsia="Arial" w:hAnsi="Arial"/>
          <w:sz w:val="32"/>
          <w:szCs w:val="32"/>
          <w:b w:val="1"/>
          <w:bCs w:val="1"/>
          <w:color w:val="0B5497"/>
        </w:rPr>
        <w:t>STOCK OWNERSHIP OF DIRECTORS, EXECUTIVE OFFICERS AND CERTAIN BENEFICIAL OWNERS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62626"/>
        </w:rPr>
        <w:t>Unless otherwise indicated, the table below sets forth information with respect to the beneficial ownership of our common stock by:</w:t>
      </w:r>
    </w:p>
    <w:p>
      <w:pPr>
        <w:spacing w:after="0" w:line="198"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FF6503"/>
        </w:rPr>
      </w:pPr>
      <w:r>
        <w:rPr>
          <w:rFonts w:ascii="Arial" w:cs="Arial" w:eastAsia="Arial" w:hAnsi="Arial"/>
          <w:sz w:val="18"/>
          <w:szCs w:val="18"/>
          <w:color w:val="262626"/>
        </w:rPr>
        <w:t>each of our directors and each of our named executive officers individually;</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11"/>
        </w:numPr>
        <w:rPr>
          <w:rFonts w:ascii="Arial" w:cs="Arial" w:eastAsia="Arial" w:hAnsi="Arial"/>
          <w:sz w:val="18"/>
          <w:szCs w:val="18"/>
          <w:color w:val="FF6503"/>
        </w:rPr>
      </w:pPr>
      <w:r>
        <w:rPr>
          <w:rFonts w:ascii="Arial" w:cs="Arial" w:eastAsia="Arial" w:hAnsi="Arial"/>
          <w:sz w:val="18"/>
          <w:szCs w:val="18"/>
          <w:color w:val="262626"/>
        </w:rPr>
        <w:t>each person who is known to be the beneficial owner of more than 5% of our common stock; and</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11"/>
        </w:numPr>
        <w:rPr>
          <w:rFonts w:ascii="Arial" w:cs="Arial" w:eastAsia="Arial" w:hAnsi="Arial"/>
          <w:sz w:val="18"/>
          <w:szCs w:val="18"/>
          <w:color w:val="FF6503"/>
        </w:rPr>
      </w:pPr>
      <w:r>
        <w:rPr>
          <w:rFonts w:ascii="Arial" w:cs="Arial" w:eastAsia="Arial" w:hAnsi="Arial"/>
          <w:sz w:val="18"/>
          <w:szCs w:val="18"/>
          <w:color w:val="262626"/>
        </w:rPr>
        <w:t>all of our current directors and current executive officers (i.e., not just named executive officers) as a group.</w:t>
      </w:r>
    </w:p>
    <w:p>
      <w:pPr>
        <w:spacing w:after="0" w:line="19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262626"/>
        </w:rPr>
        <w:t>The amounts and percentages of common stock beneficially owned below are as of March 31, 2020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123825</wp:posOffset>
            </wp:positionV>
            <wp:extent cx="6986270" cy="384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86270" cy="3848735"/>
                    </a:xfrm>
                    <a:prstGeom prst="rect">
                      <a:avLst/>
                    </a:prstGeom>
                    <a:noFill/>
                  </pic:spPr>
                </pic:pic>
              </a:graphicData>
            </a:graphic>
          </wp:anchor>
        </w:drawing>
      </w:r>
    </w:p>
    <w:p>
      <w:pPr>
        <w:spacing w:after="0" w:line="224"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FFFFFF"/>
        </w:rPr>
        <w:t>Beneficial Ownership</w:t>
      </w:r>
    </w:p>
    <w:tbl>
      <w:tblPr>
        <w:tblLayout w:type="fixed"/>
        <w:tblInd w:w="140" w:type="dxa"/>
        <w:tblCellMar>
          <w:top w:w="0" w:type="dxa"/>
          <w:left w:w="0" w:type="dxa"/>
          <w:bottom w:w="0" w:type="dxa"/>
          <w:right w:w="0" w:type="dxa"/>
        </w:tblCellMar>
      </w:tblPr>
      <w:tr>
        <w:trPr>
          <w:trHeight w:val="160"/>
        </w:trPr>
        <w:tc>
          <w:tcPr>
            <w:tcW w:w="4180" w:type="dxa"/>
            <w:vAlign w:val="bottom"/>
          </w:tcPr>
          <w:p>
            <w:pPr>
              <w:spacing w:after="0"/>
              <w:rPr>
                <w:sz w:val="13"/>
                <w:szCs w:val="13"/>
                <w:color w:val="auto"/>
              </w:rPr>
            </w:pPr>
          </w:p>
        </w:tc>
        <w:tc>
          <w:tcPr>
            <w:tcW w:w="1600" w:type="dxa"/>
            <w:vAlign w:val="bottom"/>
            <w:tcBorders>
              <w:bottom w:val="single" w:sz="8" w:color="0093FF"/>
            </w:tcBorders>
          </w:tcPr>
          <w:p>
            <w:pPr>
              <w:spacing w:after="0"/>
              <w:rPr>
                <w:sz w:val="13"/>
                <w:szCs w:val="13"/>
                <w:color w:val="auto"/>
              </w:rPr>
            </w:pPr>
          </w:p>
        </w:tc>
        <w:tc>
          <w:tcPr>
            <w:tcW w:w="1380" w:type="dxa"/>
            <w:vAlign w:val="bottom"/>
            <w:tcBorders>
              <w:bottom w:val="single" w:sz="8" w:color="0093FF"/>
            </w:tcBorders>
          </w:tcPr>
          <w:p>
            <w:pPr>
              <w:spacing w:after="0"/>
              <w:rPr>
                <w:sz w:val="13"/>
                <w:szCs w:val="13"/>
                <w:color w:val="auto"/>
              </w:rPr>
            </w:pPr>
          </w:p>
        </w:tc>
        <w:tc>
          <w:tcPr>
            <w:tcW w:w="2620" w:type="dxa"/>
            <w:vAlign w:val="bottom"/>
          </w:tcPr>
          <w:p>
            <w:pPr>
              <w:ind w:left="200"/>
              <w:spacing w:after="0" w:line="161" w:lineRule="exact"/>
              <w:rPr>
                <w:sz w:val="20"/>
                <w:szCs w:val="20"/>
                <w:color w:val="auto"/>
              </w:rPr>
            </w:pPr>
            <w:r>
              <w:rPr>
                <w:rFonts w:ascii="Arial" w:cs="Arial" w:eastAsia="Arial" w:hAnsi="Arial"/>
                <w:sz w:val="18"/>
                <w:szCs w:val="18"/>
                <w:b w:val="1"/>
                <w:bCs w:val="1"/>
                <w:color w:val="FFFFFF"/>
              </w:rPr>
              <w:t>Vested but Unsettled</w:t>
            </w:r>
          </w:p>
        </w:tc>
        <w:tc>
          <w:tcPr>
            <w:tcW w:w="1200" w:type="dxa"/>
            <w:vAlign w:val="bottom"/>
            <w:tcBorders>
              <w:bottom w:val="single" w:sz="8" w:color="0093FF"/>
            </w:tcBorders>
          </w:tcPr>
          <w:p>
            <w:pPr>
              <w:spacing w:after="0"/>
              <w:rPr>
                <w:sz w:val="13"/>
                <w:szCs w:val="13"/>
                <w:color w:val="auto"/>
              </w:rPr>
            </w:pPr>
          </w:p>
        </w:tc>
      </w:tr>
      <w:tr>
        <w:trPr>
          <w:trHeight w:val="207"/>
        </w:trPr>
        <w:tc>
          <w:tcPr>
            <w:tcW w:w="4180" w:type="dxa"/>
            <w:vAlign w:val="bottom"/>
          </w:tcPr>
          <w:p>
            <w:pPr>
              <w:ind w:left="240"/>
              <w:spacing w:after="0"/>
              <w:rPr>
                <w:sz w:val="20"/>
                <w:szCs w:val="20"/>
                <w:color w:val="auto"/>
              </w:rPr>
            </w:pPr>
            <w:r>
              <w:rPr>
                <w:rFonts w:ascii="Arial" w:cs="Arial" w:eastAsia="Arial" w:hAnsi="Arial"/>
                <w:sz w:val="18"/>
                <w:szCs w:val="18"/>
                <w:b w:val="1"/>
                <w:bCs w:val="1"/>
                <w:color w:val="FFFFFF"/>
              </w:rPr>
              <w:t>Name and Address</w:t>
            </w:r>
          </w:p>
        </w:tc>
        <w:tc>
          <w:tcPr>
            <w:tcW w:w="1600" w:type="dxa"/>
            <w:vAlign w:val="bottom"/>
            <w:shd w:val="clear" w:color="auto" w:fill="0093FF"/>
          </w:tcPr>
          <w:p>
            <w:pPr>
              <w:spacing w:after="0"/>
              <w:rPr>
                <w:sz w:val="17"/>
                <w:szCs w:val="17"/>
                <w:color w:val="auto"/>
              </w:rPr>
            </w:pPr>
          </w:p>
        </w:tc>
        <w:tc>
          <w:tcPr>
            <w:tcW w:w="1380" w:type="dxa"/>
            <w:vAlign w:val="bottom"/>
            <w:shd w:val="clear" w:color="auto" w:fill="0093FF"/>
          </w:tcPr>
          <w:p>
            <w:pPr>
              <w:spacing w:after="0"/>
              <w:rPr>
                <w:sz w:val="17"/>
                <w:szCs w:val="17"/>
                <w:color w:val="auto"/>
              </w:rPr>
            </w:pPr>
          </w:p>
        </w:tc>
        <w:tc>
          <w:tcPr>
            <w:tcW w:w="2620" w:type="dxa"/>
            <w:vAlign w:val="bottom"/>
          </w:tcPr>
          <w:p>
            <w:pPr>
              <w:ind w:left="200"/>
              <w:spacing w:after="0"/>
              <w:rPr>
                <w:sz w:val="20"/>
                <w:szCs w:val="20"/>
                <w:color w:val="auto"/>
              </w:rPr>
            </w:pPr>
            <w:r>
              <w:rPr>
                <w:rFonts w:ascii="Arial" w:cs="Arial" w:eastAsia="Arial" w:hAnsi="Arial"/>
                <w:sz w:val="18"/>
                <w:szCs w:val="18"/>
                <w:b w:val="1"/>
                <w:bCs w:val="1"/>
                <w:color w:val="FFFFFF"/>
              </w:rPr>
              <w:t>Restricted Stock</w:t>
            </w:r>
          </w:p>
        </w:tc>
        <w:tc>
          <w:tcPr>
            <w:tcW w:w="1200" w:type="dxa"/>
            <w:vAlign w:val="bottom"/>
            <w:shd w:val="clear" w:color="auto" w:fill="0093FF"/>
          </w:tcPr>
          <w:p>
            <w:pPr>
              <w:spacing w:after="0"/>
              <w:rPr>
                <w:sz w:val="17"/>
                <w:szCs w:val="17"/>
                <w:color w:val="auto"/>
              </w:rPr>
            </w:pPr>
          </w:p>
        </w:tc>
      </w:tr>
      <w:tr>
        <w:trPr>
          <w:trHeight w:val="383"/>
        </w:trPr>
        <w:tc>
          <w:tcPr>
            <w:tcW w:w="4180" w:type="dxa"/>
            <w:vAlign w:val="bottom"/>
          </w:tcPr>
          <w:p>
            <w:pPr>
              <w:ind w:left="240"/>
              <w:spacing w:after="0"/>
              <w:rPr>
                <w:sz w:val="20"/>
                <w:szCs w:val="20"/>
                <w:color w:val="auto"/>
              </w:rPr>
            </w:pPr>
            <w:r>
              <w:rPr>
                <w:rFonts w:ascii="Arial" w:cs="Arial" w:eastAsia="Arial" w:hAnsi="Arial"/>
                <w:sz w:val="18"/>
                <w:szCs w:val="18"/>
                <w:b w:val="1"/>
                <w:bCs w:val="1"/>
                <w:color w:val="FFFFFF"/>
              </w:rPr>
              <w:t>of Beneficial Owner</w:t>
            </w:r>
            <w:r>
              <w:rPr>
                <w:rFonts w:ascii="Arial" w:cs="Arial" w:eastAsia="Arial" w:hAnsi="Arial"/>
                <w:sz w:val="29"/>
                <w:szCs w:val="29"/>
                <w:b w:val="1"/>
                <w:bCs w:val="1"/>
                <w:color w:val="FFFFFF"/>
                <w:vertAlign w:val="superscript"/>
              </w:rPr>
              <w:t>(1)</w:t>
            </w:r>
          </w:p>
        </w:tc>
        <w:tc>
          <w:tcPr>
            <w:tcW w:w="1600" w:type="dxa"/>
            <w:vAlign w:val="bottom"/>
            <w:shd w:val="clear" w:color="auto" w:fill="0093FF"/>
          </w:tcPr>
          <w:p>
            <w:pPr>
              <w:jc w:val="right"/>
              <w:ind w:right="170"/>
              <w:spacing w:after="0"/>
              <w:rPr>
                <w:sz w:val="20"/>
                <w:szCs w:val="20"/>
                <w:color w:val="auto"/>
              </w:rPr>
            </w:pPr>
            <w:r>
              <w:rPr>
                <w:rFonts w:ascii="Arial" w:cs="Arial" w:eastAsia="Arial" w:hAnsi="Arial"/>
                <w:sz w:val="18"/>
                <w:szCs w:val="18"/>
                <w:b w:val="1"/>
                <w:bCs w:val="1"/>
                <w:color w:val="FFFFFF"/>
              </w:rPr>
              <w:t>Shares</w:t>
            </w:r>
          </w:p>
        </w:tc>
        <w:tc>
          <w:tcPr>
            <w:tcW w:w="1380" w:type="dxa"/>
            <w:vAlign w:val="bottom"/>
            <w:shd w:val="clear" w:color="auto" w:fill="0093FF"/>
          </w:tcPr>
          <w:p>
            <w:pPr>
              <w:jc w:val="right"/>
              <w:ind w:right="611"/>
              <w:spacing w:after="0" w:line="383" w:lineRule="exact"/>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5"/>
                <w:szCs w:val="15"/>
                <w:b w:val="1"/>
                <w:bCs w:val="1"/>
                <w:color w:val="FFFFFF"/>
              </w:rPr>
              <w:t>(2)</w:t>
            </w:r>
          </w:p>
        </w:tc>
        <w:tc>
          <w:tcPr>
            <w:tcW w:w="2620" w:type="dxa"/>
            <w:vAlign w:val="bottom"/>
          </w:tcPr>
          <w:p>
            <w:pPr>
              <w:ind w:left="200"/>
              <w:spacing w:after="0"/>
              <w:rPr>
                <w:sz w:val="20"/>
                <w:szCs w:val="20"/>
                <w:color w:val="auto"/>
              </w:rPr>
            </w:pPr>
            <w:r>
              <w:rPr>
                <w:rFonts w:ascii="Arial" w:cs="Arial" w:eastAsia="Arial" w:hAnsi="Arial"/>
                <w:sz w:val="18"/>
                <w:szCs w:val="18"/>
                <w:b w:val="1"/>
                <w:bCs w:val="1"/>
                <w:color w:val="FFFFFF"/>
              </w:rPr>
              <w:t>Units</w:t>
            </w:r>
            <w:r>
              <w:rPr>
                <w:rFonts w:ascii="Arial" w:cs="Arial" w:eastAsia="Arial" w:hAnsi="Arial"/>
                <w:sz w:val="29"/>
                <w:szCs w:val="29"/>
                <w:b w:val="1"/>
                <w:bCs w:val="1"/>
                <w:color w:val="FFFFFF"/>
                <w:vertAlign w:val="superscript"/>
              </w:rPr>
              <w:t>(3)</w:t>
            </w:r>
          </w:p>
        </w:tc>
        <w:tc>
          <w:tcPr>
            <w:tcW w:w="1200" w:type="dxa"/>
            <w:vAlign w:val="bottom"/>
            <w:shd w:val="clear" w:color="auto" w:fill="0093FF"/>
          </w:tcPr>
          <w:p>
            <w:pPr>
              <w:jc w:val="right"/>
              <w:ind w:right="590"/>
              <w:spacing w:after="0"/>
              <w:rPr>
                <w:sz w:val="20"/>
                <w:szCs w:val="20"/>
                <w:color w:val="auto"/>
              </w:rPr>
            </w:pPr>
            <w:r>
              <w:rPr>
                <w:rFonts w:ascii="Arial" w:cs="Arial" w:eastAsia="Arial" w:hAnsi="Arial"/>
                <w:sz w:val="18"/>
                <w:szCs w:val="18"/>
                <w:b w:val="1"/>
                <w:bCs w:val="1"/>
                <w:color w:val="FFFFFF"/>
              </w:rPr>
              <w:t>Total</w:t>
            </w:r>
          </w:p>
        </w:tc>
      </w:tr>
      <w:tr>
        <w:trPr>
          <w:trHeight w:val="297"/>
        </w:trPr>
        <w:tc>
          <w:tcPr>
            <w:tcW w:w="4180" w:type="dxa"/>
            <w:vAlign w:val="bottom"/>
            <w:shd w:val="clear" w:color="auto" w:fill="D9D9D9"/>
          </w:tcPr>
          <w:p>
            <w:pPr>
              <w:ind w:left="240"/>
              <w:spacing w:after="0"/>
              <w:rPr>
                <w:sz w:val="20"/>
                <w:szCs w:val="20"/>
                <w:color w:val="auto"/>
              </w:rPr>
            </w:pPr>
            <w:r>
              <w:rPr>
                <w:rFonts w:ascii="Arial" w:cs="Arial" w:eastAsia="Arial" w:hAnsi="Arial"/>
                <w:sz w:val="18"/>
                <w:szCs w:val="18"/>
                <w:b w:val="1"/>
                <w:bCs w:val="1"/>
                <w:color w:val="auto"/>
              </w:rPr>
              <w:t>5% Beneficial Owners</w:t>
            </w:r>
          </w:p>
        </w:tc>
        <w:tc>
          <w:tcPr>
            <w:tcW w:w="1600" w:type="dxa"/>
            <w:vAlign w:val="bottom"/>
            <w:shd w:val="clear" w:color="auto" w:fill="D9D9D9"/>
          </w:tcPr>
          <w:p>
            <w:pPr>
              <w:spacing w:after="0"/>
              <w:rPr>
                <w:sz w:val="24"/>
                <w:szCs w:val="24"/>
                <w:color w:val="auto"/>
              </w:rPr>
            </w:pPr>
          </w:p>
        </w:tc>
        <w:tc>
          <w:tcPr>
            <w:tcW w:w="1380" w:type="dxa"/>
            <w:vAlign w:val="bottom"/>
            <w:shd w:val="clear" w:color="auto" w:fill="D9D9D9"/>
          </w:tcPr>
          <w:p>
            <w:pPr>
              <w:spacing w:after="0"/>
              <w:rPr>
                <w:sz w:val="24"/>
                <w:szCs w:val="24"/>
                <w:color w:val="auto"/>
              </w:rPr>
            </w:pPr>
          </w:p>
        </w:tc>
        <w:tc>
          <w:tcPr>
            <w:tcW w:w="262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r>
      <w:tr>
        <w:trPr>
          <w:trHeight w:val="68"/>
        </w:trPr>
        <w:tc>
          <w:tcPr>
            <w:tcW w:w="4180" w:type="dxa"/>
            <w:vAlign w:val="bottom"/>
            <w:shd w:val="clear" w:color="auto" w:fill="D9D9D9"/>
          </w:tcPr>
          <w:p>
            <w:pPr>
              <w:spacing w:after="0"/>
              <w:rPr>
                <w:sz w:val="5"/>
                <w:szCs w:val="5"/>
                <w:color w:val="auto"/>
              </w:rPr>
            </w:pPr>
          </w:p>
        </w:tc>
        <w:tc>
          <w:tcPr>
            <w:tcW w:w="1600" w:type="dxa"/>
            <w:vAlign w:val="bottom"/>
            <w:shd w:val="clear" w:color="auto" w:fill="D9D9D9"/>
          </w:tcPr>
          <w:p>
            <w:pPr>
              <w:spacing w:after="0"/>
              <w:rPr>
                <w:sz w:val="5"/>
                <w:szCs w:val="5"/>
                <w:color w:val="auto"/>
              </w:rPr>
            </w:pPr>
          </w:p>
        </w:tc>
        <w:tc>
          <w:tcPr>
            <w:tcW w:w="1380" w:type="dxa"/>
            <w:vAlign w:val="bottom"/>
            <w:shd w:val="clear" w:color="auto" w:fill="D9D9D9"/>
          </w:tcPr>
          <w:p>
            <w:pPr>
              <w:spacing w:after="0"/>
              <w:rPr>
                <w:sz w:val="5"/>
                <w:szCs w:val="5"/>
                <w:color w:val="auto"/>
              </w:rPr>
            </w:pPr>
          </w:p>
        </w:tc>
        <w:tc>
          <w:tcPr>
            <w:tcW w:w="2620" w:type="dxa"/>
            <w:vAlign w:val="bottom"/>
            <w:shd w:val="clear" w:color="auto" w:fill="D9D9D9"/>
          </w:tcPr>
          <w:p>
            <w:pPr>
              <w:spacing w:after="0"/>
              <w:rPr>
                <w:sz w:val="5"/>
                <w:szCs w:val="5"/>
                <w:color w:val="auto"/>
              </w:rPr>
            </w:pPr>
          </w:p>
        </w:tc>
        <w:tc>
          <w:tcPr>
            <w:tcW w:w="1200" w:type="dxa"/>
            <w:vAlign w:val="bottom"/>
            <w:shd w:val="clear" w:color="auto" w:fill="D9D9D9"/>
          </w:tcPr>
          <w:p>
            <w:pPr>
              <w:spacing w:after="0"/>
              <w:rPr>
                <w:sz w:val="5"/>
                <w:szCs w:val="5"/>
                <w:color w:val="auto"/>
              </w:rPr>
            </w:pPr>
          </w:p>
        </w:tc>
      </w:tr>
      <w:tr>
        <w:trPr>
          <w:trHeight w:val="405"/>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60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5,107,172</w:t>
            </w:r>
          </w:p>
        </w:tc>
        <w:tc>
          <w:tcPr>
            <w:tcW w:w="1380" w:type="dxa"/>
            <w:vAlign w:val="bottom"/>
            <w:shd w:val="clear" w:color="auto" w:fill="F3F9FF"/>
          </w:tcPr>
          <w:p>
            <w:pPr>
              <w:jc w:val="center"/>
              <w:ind w:right="331"/>
              <w:spacing w:after="0"/>
              <w:rPr>
                <w:sz w:val="20"/>
                <w:szCs w:val="20"/>
                <w:color w:val="auto"/>
              </w:rPr>
            </w:pPr>
            <w:r>
              <w:rPr>
                <w:rFonts w:ascii="Arial" w:cs="Arial" w:eastAsia="Arial" w:hAnsi="Arial"/>
                <w:sz w:val="18"/>
                <w:szCs w:val="18"/>
                <w:color w:val="auto"/>
                <w:w w:val="97"/>
              </w:rPr>
              <w:t>14.88</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3F9FF"/>
          </w:tcPr>
          <w:p>
            <w:pPr>
              <w:spacing w:after="0"/>
              <w:rPr>
                <w:sz w:val="24"/>
                <w:szCs w:val="24"/>
                <w:color w:val="auto"/>
              </w:rPr>
            </w:pPr>
          </w:p>
        </w:tc>
      </w:tr>
      <w:tr>
        <w:trPr>
          <w:trHeight w:val="405"/>
        </w:trPr>
        <w:tc>
          <w:tcPr>
            <w:tcW w:w="4180" w:type="dxa"/>
            <w:vAlign w:val="bottom"/>
          </w:tcPr>
          <w:p>
            <w:pPr>
              <w:ind w:left="240"/>
              <w:spacing w:after="0"/>
              <w:rPr>
                <w:sz w:val="20"/>
                <w:szCs w:val="20"/>
                <w:color w:val="auto"/>
              </w:rPr>
            </w:pPr>
            <w:r>
              <w:rPr>
                <w:rFonts w:ascii="Arial" w:cs="Arial" w:eastAsia="Arial" w:hAnsi="Arial"/>
                <w:sz w:val="18"/>
                <w:szCs w:val="18"/>
                <w:color w:val="auto"/>
              </w:rPr>
              <w:t>Vanguard Group, Inc.</w:t>
            </w:r>
            <w:r>
              <w:rPr>
                <w:rFonts w:ascii="Arial" w:cs="Arial" w:eastAsia="Arial" w:hAnsi="Arial"/>
                <w:sz w:val="29"/>
                <w:szCs w:val="29"/>
                <w:color w:val="auto"/>
                <w:vertAlign w:val="superscript"/>
              </w:rPr>
              <w:t>(5)</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3,562,322</w:t>
            </w:r>
          </w:p>
        </w:tc>
        <w:tc>
          <w:tcPr>
            <w:tcW w:w="1380" w:type="dxa"/>
            <w:vAlign w:val="bottom"/>
          </w:tcPr>
          <w:p>
            <w:pPr>
              <w:jc w:val="center"/>
              <w:ind w:right="331"/>
              <w:spacing w:after="0"/>
              <w:rPr>
                <w:sz w:val="20"/>
                <w:szCs w:val="20"/>
                <w:color w:val="auto"/>
              </w:rPr>
            </w:pPr>
            <w:r>
              <w:rPr>
                <w:rFonts w:ascii="Arial" w:cs="Arial" w:eastAsia="Arial" w:hAnsi="Arial"/>
                <w:sz w:val="18"/>
                <w:szCs w:val="18"/>
                <w:color w:val="auto"/>
                <w:w w:val="97"/>
              </w:rPr>
              <w:t>10.38</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r>
      <w:tr>
        <w:trPr>
          <w:trHeight w:val="405"/>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29"/>
                <w:szCs w:val="29"/>
                <w:color w:val="auto"/>
                <w:vertAlign w:val="superscript"/>
              </w:rPr>
              <w:t>(6)</w:t>
            </w:r>
          </w:p>
        </w:tc>
        <w:tc>
          <w:tcPr>
            <w:tcW w:w="160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2,105,848</w:t>
            </w:r>
          </w:p>
        </w:tc>
        <w:tc>
          <w:tcPr>
            <w:tcW w:w="1380" w:type="dxa"/>
            <w:vAlign w:val="bottom"/>
            <w:shd w:val="clear" w:color="auto" w:fill="F3F9FF"/>
          </w:tcPr>
          <w:p>
            <w:pPr>
              <w:jc w:val="center"/>
              <w:ind w:right="331"/>
              <w:spacing w:after="0"/>
              <w:rPr>
                <w:sz w:val="20"/>
                <w:szCs w:val="20"/>
                <w:color w:val="auto"/>
              </w:rPr>
            </w:pPr>
            <w:r>
              <w:rPr>
                <w:rFonts w:ascii="Arial" w:cs="Arial" w:eastAsia="Arial" w:hAnsi="Arial"/>
                <w:sz w:val="18"/>
                <w:szCs w:val="18"/>
                <w:color w:val="auto"/>
              </w:rPr>
              <w:t>6.14</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3F9FF"/>
          </w:tcPr>
          <w:p>
            <w:pPr>
              <w:spacing w:after="0"/>
              <w:rPr>
                <w:sz w:val="24"/>
                <w:szCs w:val="24"/>
                <w:color w:val="auto"/>
              </w:rPr>
            </w:pPr>
          </w:p>
        </w:tc>
      </w:tr>
      <w:tr>
        <w:trPr>
          <w:trHeight w:val="297"/>
        </w:trPr>
        <w:tc>
          <w:tcPr>
            <w:tcW w:w="4180" w:type="dxa"/>
            <w:vAlign w:val="bottom"/>
            <w:shd w:val="clear" w:color="auto" w:fill="D9D9D9"/>
          </w:tcPr>
          <w:p>
            <w:pPr>
              <w:ind w:left="240"/>
              <w:spacing w:after="0"/>
              <w:rPr>
                <w:sz w:val="20"/>
                <w:szCs w:val="20"/>
                <w:color w:val="auto"/>
              </w:rPr>
            </w:pPr>
            <w:r>
              <w:rPr>
                <w:rFonts w:ascii="Arial" w:cs="Arial" w:eastAsia="Arial" w:hAnsi="Arial"/>
                <w:sz w:val="18"/>
                <w:szCs w:val="18"/>
                <w:b w:val="1"/>
                <w:bCs w:val="1"/>
                <w:color w:val="auto"/>
              </w:rPr>
              <w:t>NEOs and Directors</w:t>
            </w:r>
          </w:p>
        </w:tc>
        <w:tc>
          <w:tcPr>
            <w:tcW w:w="1600" w:type="dxa"/>
            <w:vAlign w:val="bottom"/>
            <w:shd w:val="clear" w:color="auto" w:fill="D9D9D9"/>
          </w:tcPr>
          <w:p>
            <w:pPr>
              <w:spacing w:after="0"/>
              <w:rPr>
                <w:sz w:val="24"/>
                <w:szCs w:val="24"/>
                <w:color w:val="auto"/>
              </w:rPr>
            </w:pPr>
          </w:p>
        </w:tc>
        <w:tc>
          <w:tcPr>
            <w:tcW w:w="1380" w:type="dxa"/>
            <w:vAlign w:val="bottom"/>
            <w:shd w:val="clear" w:color="auto" w:fill="D9D9D9"/>
          </w:tcPr>
          <w:p>
            <w:pPr>
              <w:spacing w:after="0"/>
              <w:rPr>
                <w:sz w:val="24"/>
                <w:szCs w:val="24"/>
                <w:color w:val="auto"/>
              </w:rPr>
            </w:pPr>
          </w:p>
        </w:tc>
        <w:tc>
          <w:tcPr>
            <w:tcW w:w="262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r>
      <w:tr>
        <w:trPr>
          <w:trHeight w:val="67"/>
        </w:trPr>
        <w:tc>
          <w:tcPr>
            <w:tcW w:w="4180" w:type="dxa"/>
            <w:vAlign w:val="bottom"/>
            <w:shd w:val="clear" w:color="auto" w:fill="D9D9D9"/>
          </w:tcPr>
          <w:p>
            <w:pPr>
              <w:spacing w:after="0"/>
              <w:rPr>
                <w:sz w:val="5"/>
                <w:szCs w:val="5"/>
                <w:color w:val="auto"/>
              </w:rPr>
            </w:pPr>
          </w:p>
        </w:tc>
        <w:tc>
          <w:tcPr>
            <w:tcW w:w="1600" w:type="dxa"/>
            <w:vAlign w:val="bottom"/>
            <w:shd w:val="clear" w:color="auto" w:fill="D9D9D9"/>
          </w:tcPr>
          <w:p>
            <w:pPr>
              <w:spacing w:after="0"/>
              <w:rPr>
                <w:sz w:val="5"/>
                <w:szCs w:val="5"/>
                <w:color w:val="auto"/>
              </w:rPr>
            </w:pPr>
          </w:p>
        </w:tc>
        <w:tc>
          <w:tcPr>
            <w:tcW w:w="1380" w:type="dxa"/>
            <w:vAlign w:val="bottom"/>
            <w:shd w:val="clear" w:color="auto" w:fill="D9D9D9"/>
          </w:tcPr>
          <w:p>
            <w:pPr>
              <w:spacing w:after="0"/>
              <w:rPr>
                <w:sz w:val="5"/>
                <w:szCs w:val="5"/>
                <w:color w:val="auto"/>
              </w:rPr>
            </w:pPr>
          </w:p>
        </w:tc>
        <w:tc>
          <w:tcPr>
            <w:tcW w:w="2620" w:type="dxa"/>
            <w:vAlign w:val="bottom"/>
            <w:shd w:val="clear" w:color="auto" w:fill="D9D9D9"/>
          </w:tcPr>
          <w:p>
            <w:pPr>
              <w:spacing w:after="0"/>
              <w:rPr>
                <w:sz w:val="5"/>
                <w:szCs w:val="5"/>
                <w:color w:val="auto"/>
              </w:rPr>
            </w:pPr>
          </w:p>
        </w:tc>
        <w:tc>
          <w:tcPr>
            <w:tcW w:w="1200" w:type="dxa"/>
            <w:vAlign w:val="bottom"/>
            <w:shd w:val="clear" w:color="auto" w:fill="D9D9D9"/>
          </w:tcPr>
          <w:p>
            <w:pPr>
              <w:spacing w:after="0"/>
              <w:rPr>
                <w:sz w:val="5"/>
                <w:szCs w:val="5"/>
                <w:color w:val="auto"/>
              </w:rPr>
            </w:pPr>
          </w:p>
        </w:tc>
      </w:tr>
      <w:tr>
        <w:trPr>
          <w:trHeight w:val="297"/>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Pavan Bagai</w:t>
            </w:r>
          </w:p>
        </w:tc>
        <w:tc>
          <w:tcPr>
            <w:tcW w:w="160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44,060</w:t>
            </w:r>
          </w:p>
        </w:tc>
        <w:tc>
          <w:tcPr>
            <w:tcW w:w="1380" w:type="dxa"/>
            <w:vAlign w:val="bottom"/>
            <w:shd w:val="clear" w:color="auto" w:fill="F3F9FF"/>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44,060</w:t>
            </w:r>
          </w:p>
        </w:tc>
      </w:tr>
      <w:tr>
        <w:trPr>
          <w:trHeight w:val="68"/>
        </w:trPr>
        <w:tc>
          <w:tcPr>
            <w:tcW w:w="4180" w:type="dxa"/>
            <w:vAlign w:val="bottom"/>
            <w:shd w:val="clear" w:color="auto" w:fill="F3F9FF"/>
          </w:tcPr>
          <w:p>
            <w:pPr>
              <w:spacing w:after="0"/>
              <w:rPr>
                <w:sz w:val="5"/>
                <w:szCs w:val="5"/>
                <w:color w:val="auto"/>
              </w:rPr>
            </w:pPr>
          </w:p>
        </w:tc>
        <w:tc>
          <w:tcPr>
            <w:tcW w:w="1600" w:type="dxa"/>
            <w:vAlign w:val="bottom"/>
            <w:shd w:val="clear" w:color="auto" w:fill="F3F9FF"/>
          </w:tcPr>
          <w:p>
            <w:pPr>
              <w:spacing w:after="0"/>
              <w:rPr>
                <w:sz w:val="5"/>
                <w:szCs w:val="5"/>
                <w:color w:val="auto"/>
              </w:rPr>
            </w:pPr>
          </w:p>
        </w:tc>
        <w:tc>
          <w:tcPr>
            <w:tcW w:w="1380" w:type="dxa"/>
            <w:vAlign w:val="bottom"/>
            <w:shd w:val="clear" w:color="auto" w:fill="F3F9FF"/>
          </w:tcPr>
          <w:p>
            <w:pPr>
              <w:spacing w:after="0"/>
              <w:rPr>
                <w:sz w:val="5"/>
                <w:szCs w:val="5"/>
                <w:color w:val="auto"/>
              </w:rPr>
            </w:pPr>
          </w:p>
        </w:tc>
        <w:tc>
          <w:tcPr>
            <w:tcW w:w="2620" w:type="dxa"/>
            <w:vAlign w:val="bottom"/>
            <w:shd w:val="clear" w:color="auto" w:fill="F3F9FF"/>
          </w:tcPr>
          <w:p>
            <w:pPr>
              <w:spacing w:after="0"/>
              <w:rPr>
                <w:sz w:val="5"/>
                <w:szCs w:val="5"/>
                <w:color w:val="auto"/>
              </w:rPr>
            </w:pPr>
          </w:p>
        </w:tc>
        <w:tc>
          <w:tcPr>
            <w:tcW w:w="1200" w:type="dxa"/>
            <w:vAlign w:val="bottom"/>
            <w:shd w:val="clear" w:color="auto" w:fill="F3F9FF"/>
          </w:tcPr>
          <w:p>
            <w:pPr>
              <w:spacing w:after="0"/>
              <w:rPr>
                <w:sz w:val="5"/>
                <w:szCs w:val="5"/>
                <w:color w:val="auto"/>
              </w:rPr>
            </w:pPr>
          </w:p>
        </w:tc>
      </w:tr>
      <w:tr>
        <w:trPr>
          <w:trHeight w:val="405"/>
        </w:trPr>
        <w:tc>
          <w:tcPr>
            <w:tcW w:w="4180" w:type="dxa"/>
            <w:vAlign w:val="bottom"/>
          </w:tcPr>
          <w:p>
            <w:pPr>
              <w:ind w:left="240"/>
              <w:spacing w:after="0"/>
              <w:rPr>
                <w:sz w:val="20"/>
                <w:szCs w:val="20"/>
                <w:color w:val="auto"/>
              </w:rPr>
            </w:pPr>
            <w:r>
              <w:rPr>
                <w:rFonts w:ascii="Arial" w:cs="Arial" w:eastAsia="Arial" w:hAnsi="Arial"/>
                <w:sz w:val="18"/>
                <w:szCs w:val="18"/>
                <w:color w:val="auto"/>
              </w:rPr>
              <w:t>Vishal Chhibbar</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18,036</w:t>
            </w:r>
            <w:r>
              <w:rPr>
                <w:rFonts w:ascii="Arial" w:cs="Arial" w:eastAsia="Arial" w:hAnsi="Arial"/>
                <w:sz w:val="29"/>
                <w:szCs w:val="29"/>
                <w:color w:val="auto"/>
                <w:vertAlign w:val="superscript"/>
              </w:rPr>
              <w:t>(7)</w:t>
            </w:r>
          </w:p>
        </w:tc>
        <w:tc>
          <w:tcPr>
            <w:tcW w:w="1380" w:type="dxa"/>
            <w:vAlign w:val="bottom"/>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18,036</w:t>
            </w:r>
          </w:p>
        </w:tc>
      </w:tr>
      <w:tr>
        <w:trPr>
          <w:trHeight w:val="405"/>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Rohit Kapoor</w:t>
            </w:r>
          </w:p>
        </w:tc>
        <w:tc>
          <w:tcPr>
            <w:tcW w:w="160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 xml:space="preserve">898,671 </w:t>
            </w:r>
            <w:r>
              <w:rPr>
                <w:rFonts w:ascii="Arial" w:cs="Arial" w:eastAsia="Arial" w:hAnsi="Arial"/>
                <w:sz w:val="29"/>
                <w:szCs w:val="29"/>
                <w:color w:val="auto"/>
                <w:vertAlign w:val="superscript"/>
              </w:rPr>
              <w:t>(8)</w:t>
            </w:r>
          </w:p>
        </w:tc>
        <w:tc>
          <w:tcPr>
            <w:tcW w:w="1380" w:type="dxa"/>
            <w:vAlign w:val="bottom"/>
            <w:shd w:val="clear" w:color="auto" w:fill="F3F9FF"/>
          </w:tcPr>
          <w:p>
            <w:pPr>
              <w:jc w:val="center"/>
              <w:ind w:right="231"/>
              <w:spacing w:after="0"/>
              <w:rPr>
                <w:sz w:val="20"/>
                <w:szCs w:val="20"/>
                <w:color w:val="auto"/>
              </w:rPr>
            </w:pPr>
            <w:r>
              <w:rPr>
                <w:rFonts w:ascii="Arial" w:cs="Arial" w:eastAsia="Arial" w:hAnsi="Arial"/>
                <w:sz w:val="18"/>
                <w:szCs w:val="18"/>
                <w:color w:val="auto"/>
                <w:w w:val="96"/>
              </w:rPr>
              <w:t>2.62</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898,671</w:t>
            </w:r>
          </w:p>
        </w:tc>
      </w:tr>
      <w:tr>
        <w:trPr>
          <w:trHeight w:val="405"/>
        </w:trPr>
        <w:tc>
          <w:tcPr>
            <w:tcW w:w="4180" w:type="dxa"/>
            <w:vAlign w:val="bottom"/>
          </w:tcPr>
          <w:p>
            <w:pPr>
              <w:ind w:left="240"/>
              <w:spacing w:after="0"/>
              <w:rPr>
                <w:sz w:val="20"/>
                <w:szCs w:val="20"/>
                <w:color w:val="auto"/>
              </w:rPr>
            </w:pPr>
            <w:r>
              <w:rPr>
                <w:rFonts w:ascii="Arial" w:cs="Arial" w:eastAsia="Arial" w:hAnsi="Arial"/>
                <w:sz w:val="18"/>
                <w:szCs w:val="18"/>
                <w:color w:val="auto"/>
              </w:rPr>
              <w:t>David B. Kelso</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30,005</w:t>
            </w:r>
            <w:r>
              <w:rPr>
                <w:rFonts w:ascii="Arial" w:cs="Arial" w:eastAsia="Arial" w:hAnsi="Arial"/>
                <w:sz w:val="29"/>
                <w:szCs w:val="29"/>
                <w:color w:val="auto"/>
                <w:vertAlign w:val="superscript"/>
              </w:rPr>
              <w:t>(9)</w:t>
            </w:r>
          </w:p>
        </w:tc>
        <w:tc>
          <w:tcPr>
            <w:tcW w:w="1380" w:type="dxa"/>
            <w:vAlign w:val="bottom"/>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38,061</w:t>
            </w:r>
          </w:p>
        </w:tc>
        <w:tc>
          <w:tcPr>
            <w:tcW w:w="1200" w:type="dxa"/>
            <w:vAlign w:val="bottom"/>
          </w:tcPr>
          <w:p>
            <w:pPr>
              <w:jc w:val="right"/>
              <w:spacing w:after="0"/>
              <w:rPr>
                <w:sz w:val="20"/>
                <w:szCs w:val="20"/>
                <w:color w:val="auto"/>
              </w:rPr>
            </w:pPr>
            <w:r>
              <w:rPr>
                <w:rFonts w:ascii="Arial" w:cs="Arial" w:eastAsia="Arial" w:hAnsi="Arial"/>
                <w:sz w:val="18"/>
                <w:szCs w:val="18"/>
                <w:color w:val="auto"/>
              </w:rPr>
              <w:t>68,066</w:t>
            </w:r>
          </w:p>
        </w:tc>
      </w:tr>
      <w:tr>
        <w:trPr>
          <w:trHeight w:val="297"/>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Deborah Kerr</w:t>
            </w:r>
          </w:p>
        </w:tc>
        <w:tc>
          <w:tcPr>
            <w:tcW w:w="160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F3F9FF"/>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10,127</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10,127</w:t>
            </w:r>
          </w:p>
        </w:tc>
      </w:tr>
      <w:tr>
        <w:trPr>
          <w:trHeight w:val="67"/>
        </w:trPr>
        <w:tc>
          <w:tcPr>
            <w:tcW w:w="4180" w:type="dxa"/>
            <w:vAlign w:val="bottom"/>
            <w:shd w:val="clear" w:color="auto" w:fill="F3F9FF"/>
          </w:tcPr>
          <w:p>
            <w:pPr>
              <w:spacing w:after="0"/>
              <w:rPr>
                <w:sz w:val="5"/>
                <w:szCs w:val="5"/>
                <w:color w:val="auto"/>
              </w:rPr>
            </w:pPr>
          </w:p>
        </w:tc>
        <w:tc>
          <w:tcPr>
            <w:tcW w:w="1600" w:type="dxa"/>
            <w:vAlign w:val="bottom"/>
            <w:shd w:val="clear" w:color="auto" w:fill="F3F9FF"/>
          </w:tcPr>
          <w:p>
            <w:pPr>
              <w:spacing w:after="0"/>
              <w:rPr>
                <w:sz w:val="5"/>
                <w:szCs w:val="5"/>
                <w:color w:val="auto"/>
              </w:rPr>
            </w:pPr>
          </w:p>
        </w:tc>
        <w:tc>
          <w:tcPr>
            <w:tcW w:w="1380" w:type="dxa"/>
            <w:vAlign w:val="bottom"/>
            <w:shd w:val="clear" w:color="auto" w:fill="F3F9FF"/>
          </w:tcPr>
          <w:p>
            <w:pPr>
              <w:spacing w:after="0"/>
              <w:rPr>
                <w:sz w:val="5"/>
                <w:szCs w:val="5"/>
                <w:color w:val="auto"/>
              </w:rPr>
            </w:pPr>
          </w:p>
        </w:tc>
        <w:tc>
          <w:tcPr>
            <w:tcW w:w="2620" w:type="dxa"/>
            <w:vAlign w:val="bottom"/>
            <w:shd w:val="clear" w:color="auto" w:fill="F3F9FF"/>
          </w:tcPr>
          <w:p>
            <w:pPr>
              <w:spacing w:after="0"/>
              <w:rPr>
                <w:sz w:val="5"/>
                <w:szCs w:val="5"/>
                <w:color w:val="auto"/>
              </w:rPr>
            </w:pPr>
          </w:p>
        </w:tc>
        <w:tc>
          <w:tcPr>
            <w:tcW w:w="1200" w:type="dxa"/>
            <w:vAlign w:val="bottom"/>
            <w:shd w:val="clear" w:color="auto" w:fill="F3F9FF"/>
          </w:tcPr>
          <w:p>
            <w:pPr>
              <w:spacing w:after="0"/>
              <w:rPr>
                <w:sz w:val="5"/>
                <w:szCs w:val="5"/>
                <w:color w:val="auto"/>
              </w:rPr>
            </w:pPr>
          </w:p>
        </w:tc>
      </w:tr>
      <w:tr>
        <w:trPr>
          <w:trHeight w:val="297"/>
        </w:trPr>
        <w:tc>
          <w:tcPr>
            <w:tcW w:w="4180" w:type="dxa"/>
            <w:vAlign w:val="bottom"/>
          </w:tcPr>
          <w:p>
            <w:pPr>
              <w:ind w:left="240"/>
              <w:spacing w:after="0"/>
              <w:rPr>
                <w:sz w:val="20"/>
                <w:szCs w:val="20"/>
                <w:color w:val="auto"/>
              </w:rPr>
            </w:pPr>
            <w:r>
              <w:rPr>
                <w:rFonts w:ascii="Arial" w:cs="Arial" w:eastAsia="Arial" w:hAnsi="Arial"/>
                <w:sz w:val="18"/>
                <w:szCs w:val="18"/>
                <w:color w:val="auto"/>
              </w:rPr>
              <w:t>Samuel Meckey</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2,350</w:t>
            </w:r>
          </w:p>
        </w:tc>
        <w:tc>
          <w:tcPr>
            <w:tcW w:w="1380" w:type="dxa"/>
            <w:vAlign w:val="bottom"/>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67"/>
        </w:trPr>
        <w:tc>
          <w:tcPr>
            <w:tcW w:w="4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97"/>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Nalin Miglani</w:t>
            </w:r>
          </w:p>
        </w:tc>
        <w:tc>
          <w:tcPr>
            <w:tcW w:w="1600" w:type="dxa"/>
            <w:vAlign w:val="bottom"/>
            <w:shd w:val="clear" w:color="auto" w:fill="F3F9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F3F9FF"/>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w:t>
            </w:r>
          </w:p>
        </w:tc>
      </w:tr>
      <w:tr>
        <w:trPr>
          <w:trHeight w:val="68"/>
        </w:trPr>
        <w:tc>
          <w:tcPr>
            <w:tcW w:w="4180" w:type="dxa"/>
            <w:vAlign w:val="bottom"/>
            <w:shd w:val="clear" w:color="auto" w:fill="F3F9FF"/>
          </w:tcPr>
          <w:p>
            <w:pPr>
              <w:spacing w:after="0"/>
              <w:rPr>
                <w:sz w:val="5"/>
                <w:szCs w:val="5"/>
                <w:color w:val="auto"/>
              </w:rPr>
            </w:pPr>
          </w:p>
        </w:tc>
        <w:tc>
          <w:tcPr>
            <w:tcW w:w="1600" w:type="dxa"/>
            <w:vAlign w:val="bottom"/>
            <w:shd w:val="clear" w:color="auto" w:fill="F3F9FF"/>
          </w:tcPr>
          <w:p>
            <w:pPr>
              <w:spacing w:after="0"/>
              <w:rPr>
                <w:sz w:val="5"/>
                <w:szCs w:val="5"/>
                <w:color w:val="auto"/>
              </w:rPr>
            </w:pPr>
          </w:p>
        </w:tc>
        <w:tc>
          <w:tcPr>
            <w:tcW w:w="1380" w:type="dxa"/>
            <w:vAlign w:val="bottom"/>
            <w:shd w:val="clear" w:color="auto" w:fill="F3F9FF"/>
          </w:tcPr>
          <w:p>
            <w:pPr>
              <w:spacing w:after="0"/>
              <w:rPr>
                <w:sz w:val="5"/>
                <w:szCs w:val="5"/>
                <w:color w:val="auto"/>
              </w:rPr>
            </w:pPr>
          </w:p>
        </w:tc>
        <w:tc>
          <w:tcPr>
            <w:tcW w:w="2620" w:type="dxa"/>
            <w:vAlign w:val="bottom"/>
            <w:shd w:val="clear" w:color="auto" w:fill="F3F9FF"/>
          </w:tcPr>
          <w:p>
            <w:pPr>
              <w:spacing w:after="0"/>
              <w:rPr>
                <w:sz w:val="5"/>
                <w:szCs w:val="5"/>
                <w:color w:val="auto"/>
              </w:rPr>
            </w:pPr>
          </w:p>
        </w:tc>
        <w:tc>
          <w:tcPr>
            <w:tcW w:w="1200" w:type="dxa"/>
            <w:vAlign w:val="bottom"/>
            <w:shd w:val="clear" w:color="auto" w:fill="F3F9FF"/>
          </w:tcPr>
          <w:p>
            <w:pPr>
              <w:spacing w:after="0"/>
              <w:rPr>
                <w:sz w:val="5"/>
                <w:szCs w:val="5"/>
                <w:color w:val="auto"/>
              </w:rPr>
            </w:pPr>
          </w:p>
        </w:tc>
      </w:tr>
      <w:tr>
        <w:trPr>
          <w:trHeight w:val="464"/>
        </w:trPr>
        <w:tc>
          <w:tcPr>
            <w:tcW w:w="4180" w:type="dxa"/>
            <w:vAlign w:val="bottom"/>
          </w:tcPr>
          <w:p>
            <w:pPr>
              <w:ind w:left="240"/>
              <w:spacing w:after="0"/>
              <w:rPr>
                <w:sz w:val="20"/>
                <w:szCs w:val="20"/>
                <w:color w:val="auto"/>
              </w:rPr>
            </w:pPr>
            <w:r>
              <w:rPr>
                <w:rFonts w:ascii="Arial" w:cs="Arial" w:eastAsia="Arial" w:hAnsi="Arial"/>
                <w:sz w:val="18"/>
                <w:szCs w:val="18"/>
                <w:color w:val="auto"/>
              </w:rPr>
              <w:t>Anne E. Minto</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3,093</w:t>
            </w:r>
            <w:r>
              <w:rPr>
                <w:rFonts w:ascii="Arial" w:cs="Arial" w:eastAsia="Arial" w:hAnsi="Arial"/>
                <w:sz w:val="29"/>
                <w:szCs w:val="29"/>
                <w:color w:val="auto"/>
                <w:vertAlign w:val="superscript"/>
              </w:rPr>
              <w:t>(10)</w:t>
            </w:r>
          </w:p>
        </w:tc>
        <w:tc>
          <w:tcPr>
            <w:tcW w:w="1380" w:type="dxa"/>
            <w:vAlign w:val="bottom"/>
          </w:tcPr>
          <w:p>
            <w:pPr>
              <w:jc w:val="center"/>
              <w:ind w:right="231"/>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17,278</w:t>
            </w:r>
          </w:p>
        </w:tc>
        <w:tc>
          <w:tcPr>
            <w:tcW w:w="1200" w:type="dxa"/>
            <w:vAlign w:val="bottom"/>
          </w:tcPr>
          <w:p>
            <w:pPr>
              <w:jc w:val="right"/>
              <w:spacing w:after="0"/>
              <w:rPr>
                <w:sz w:val="20"/>
                <w:szCs w:val="20"/>
                <w:color w:val="auto"/>
              </w:rPr>
            </w:pPr>
            <w:r>
              <w:rPr>
                <w:rFonts w:ascii="Arial" w:cs="Arial" w:eastAsia="Arial" w:hAnsi="Arial"/>
                <w:sz w:val="18"/>
                <w:szCs w:val="18"/>
                <w:color w:val="auto"/>
              </w:rPr>
              <w:t>20,371</w:t>
            </w:r>
          </w:p>
        </w:tc>
      </w:tr>
    </w:tbl>
    <w:p>
      <w:pPr>
        <w:spacing w:after="0" w:line="294"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483235</wp:posOffset>
            </wp:positionV>
            <wp:extent cx="7020560" cy="31889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20560" cy="3188970"/>
                    </a:xfrm>
                    <a:prstGeom prst="rect">
                      <a:avLst/>
                    </a:prstGeom>
                    <a:noFill/>
                  </pic:spPr>
                </pic:pic>
              </a:graphicData>
            </a:graphic>
          </wp:anchor>
        </w:drawing>
      </w:r>
    </w:p>
    <w:p>
      <w:pPr>
        <w:spacing w:after="0" w:line="263"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FFFFFF"/>
        </w:rPr>
        <w:t>Beneficial Ownership</w:t>
      </w:r>
    </w:p>
    <w:tbl>
      <w:tblPr>
        <w:tblLayout w:type="fixed"/>
        <w:tblInd w:w="1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20" w:type="dxa"/>
            <w:vAlign w:val="bottom"/>
            <w:tcBorders>
              <w:bottom w:val="single" w:sz="8" w:color="0093FF"/>
            </w:tcBorders>
          </w:tcPr>
          <w:p>
            <w:pPr>
              <w:spacing w:after="0"/>
              <w:rPr>
                <w:sz w:val="13"/>
                <w:szCs w:val="13"/>
                <w:color w:val="auto"/>
              </w:rPr>
            </w:pPr>
          </w:p>
        </w:tc>
        <w:tc>
          <w:tcPr>
            <w:tcW w:w="1360" w:type="dxa"/>
            <w:vAlign w:val="bottom"/>
            <w:tcBorders>
              <w:bottom w:val="single" w:sz="8" w:color="0093FF"/>
            </w:tcBorders>
          </w:tcPr>
          <w:p>
            <w:pPr>
              <w:spacing w:after="0"/>
              <w:rPr>
                <w:sz w:val="13"/>
                <w:szCs w:val="13"/>
                <w:color w:val="auto"/>
              </w:rPr>
            </w:pPr>
          </w:p>
        </w:tc>
        <w:tc>
          <w:tcPr>
            <w:tcW w:w="2620" w:type="dxa"/>
            <w:vAlign w:val="bottom"/>
          </w:tcPr>
          <w:p>
            <w:pPr>
              <w:ind w:left="80"/>
              <w:spacing w:after="0" w:line="161" w:lineRule="exact"/>
              <w:rPr>
                <w:sz w:val="20"/>
                <w:szCs w:val="20"/>
                <w:color w:val="auto"/>
              </w:rPr>
            </w:pPr>
            <w:r>
              <w:rPr>
                <w:rFonts w:ascii="Arial" w:cs="Arial" w:eastAsia="Arial" w:hAnsi="Arial"/>
                <w:sz w:val="18"/>
                <w:szCs w:val="18"/>
                <w:b w:val="1"/>
                <w:bCs w:val="1"/>
                <w:color w:val="FFFFFF"/>
              </w:rPr>
              <w:t>Vested but Unsettled</w:t>
            </w:r>
          </w:p>
        </w:tc>
        <w:tc>
          <w:tcPr>
            <w:tcW w:w="1200" w:type="dxa"/>
            <w:vAlign w:val="bottom"/>
            <w:tcBorders>
              <w:bottom w:val="single" w:sz="8" w:color="0093FF"/>
            </w:tcBorders>
          </w:tcPr>
          <w:p>
            <w:pPr>
              <w:spacing w:after="0"/>
              <w:rPr>
                <w:sz w:val="13"/>
                <w:szCs w:val="13"/>
                <w:color w:val="auto"/>
              </w:rPr>
            </w:pPr>
          </w:p>
        </w:tc>
      </w:tr>
      <w:tr>
        <w:trPr>
          <w:trHeight w:val="207"/>
        </w:trPr>
        <w:tc>
          <w:tcPr>
            <w:tcW w:w="4180" w:type="dxa"/>
            <w:vAlign w:val="bottom"/>
          </w:tcPr>
          <w:p>
            <w:pPr>
              <w:ind w:left="240"/>
              <w:spacing w:after="0"/>
              <w:rPr>
                <w:sz w:val="20"/>
                <w:szCs w:val="20"/>
                <w:color w:val="auto"/>
              </w:rPr>
            </w:pPr>
            <w:r>
              <w:rPr>
                <w:rFonts w:ascii="Arial" w:cs="Arial" w:eastAsia="Arial" w:hAnsi="Arial"/>
                <w:sz w:val="18"/>
                <w:szCs w:val="18"/>
                <w:b w:val="1"/>
                <w:bCs w:val="1"/>
                <w:color w:val="FFFFFF"/>
              </w:rPr>
              <w:t>Name and Address</w:t>
            </w:r>
          </w:p>
        </w:tc>
        <w:tc>
          <w:tcPr>
            <w:tcW w:w="1620" w:type="dxa"/>
            <w:vAlign w:val="bottom"/>
            <w:shd w:val="clear" w:color="auto" w:fill="0093FF"/>
          </w:tcPr>
          <w:p>
            <w:pPr>
              <w:spacing w:after="0"/>
              <w:rPr>
                <w:sz w:val="17"/>
                <w:szCs w:val="17"/>
                <w:color w:val="auto"/>
              </w:rPr>
            </w:pPr>
          </w:p>
        </w:tc>
        <w:tc>
          <w:tcPr>
            <w:tcW w:w="1360" w:type="dxa"/>
            <w:vAlign w:val="bottom"/>
            <w:shd w:val="clear" w:color="auto" w:fill="0093FF"/>
          </w:tcPr>
          <w:p>
            <w:pPr>
              <w:spacing w:after="0"/>
              <w:rPr>
                <w:sz w:val="17"/>
                <w:szCs w:val="17"/>
                <w:color w:val="auto"/>
              </w:rPr>
            </w:pPr>
          </w:p>
        </w:tc>
        <w:tc>
          <w:tcPr>
            <w:tcW w:w="2620" w:type="dxa"/>
            <w:vAlign w:val="bottom"/>
          </w:tcPr>
          <w:p>
            <w:pPr>
              <w:ind w:left="80"/>
              <w:spacing w:after="0"/>
              <w:rPr>
                <w:sz w:val="20"/>
                <w:szCs w:val="20"/>
                <w:color w:val="auto"/>
              </w:rPr>
            </w:pPr>
            <w:r>
              <w:rPr>
                <w:rFonts w:ascii="Arial" w:cs="Arial" w:eastAsia="Arial" w:hAnsi="Arial"/>
                <w:sz w:val="18"/>
                <w:szCs w:val="18"/>
                <w:b w:val="1"/>
                <w:bCs w:val="1"/>
                <w:color w:val="FFFFFF"/>
              </w:rPr>
              <w:t>Restricted Stock</w:t>
            </w:r>
          </w:p>
        </w:tc>
        <w:tc>
          <w:tcPr>
            <w:tcW w:w="1200" w:type="dxa"/>
            <w:vAlign w:val="bottom"/>
            <w:shd w:val="clear" w:color="auto" w:fill="0093FF"/>
          </w:tcPr>
          <w:p>
            <w:pPr>
              <w:spacing w:after="0"/>
              <w:rPr>
                <w:sz w:val="17"/>
                <w:szCs w:val="17"/>
                <w:color w:val="auto"/>
              </w:rPr>
            </w:pPr>
          </w:p>
        </w:tc>
      </w:tr>
      <w:tr>
        <w:trPr>
          <w:trHeight w:val="383"/>
        </w:trPr>
        <w:tc>
          <w:tcPr>
            <w:tcW w:w="4180" w:type="dxa"/>
            <w:vAlign w:val="bottom"/>
          </w:tcPr>
          <w:p>
            <w:pPr>
              <w:ind w:left="240"/>
              <w:spacing w:after="0"/>
              <w:rPr>
                <w:sz w:val="20"/>
                <w:szCs w:val="20"/>
                <w:color w:val="auto"/>
              </w:rPr>
            </w:pPr>
            <w:r>
              <w:rPr>
                <w:rFonts w:ascii="Arial" w:cs="Arial" w:eastAsia="Arial" w:hAnsi="Arial"/>
                <w:sz w:val="18"/>
                <w:szCs w:val="18"/>
                <w:b w:val="1"/>
                <w:bCs w:val="1"/>
                <w:color w:val="FFFFFF"/>
              </w:rPr>
              <w:t>of Beneficial Owner</w:t>
            </w:r>
            <w:r>
              <w:rPr>
                <w:rFonts w:ascii="Arial" w:cs="Arial" w:eastAsia="Arial" w:hAnsi="Arial"/>
                <w:sz w:val="29"/>
                <w:szCs w:val="29"/>
                <w:b w:val="1"/>
                <w:bCs w:val="1"/>
                <w:color w:val="FFFFFF"/>
                <w:vertAlign w:val="superscript"/>
              </w:rPr>
              <w:t>(1)</w:t>
            </w:r>
          </w:p>
        </w:tc>
        <w:tc>
          <w:tcPr>
            <w:tcW w:w="1620" w:type="dxa"/>
            <w:vAlign w:val="bottom"/>
            <w:shd w:val="clear" w:color="auto" w:fill="0093FF"/>
          </w:tcPr>
          <w:p>
            <w:pPr>
              <w:jc w:val="right"/>
              <w:ind w:right="192"/>
              <w:spacing w:after="0"/>
              <w:rPr>
                <w:sz w:val="20"/>
                <w:szCs w:val="20"/>
                <w:color w:val="auto"/>
              </w:rPr>
            </w:pPr>
            <w:r>
              <w:rPr>
                <w:rFonts w:ascii="Arial" w:cs="Arial" w:eastAsia="Arial" w:hAnsi="Arial"/>
                <w:sz w:val="18"/>
                <w:szCs w:val="18"/>
                <w:b w:val="1"/>
                <w:bCs w:val="1"/>
                <w:color w:val="FFFFFF"/>
              </w:rPr>
              <w:t>Shares</w:t>
            </w:r>
          </w:p>
        </w:tc>
        <w:tc>
          <w:tcPr>
            <w:tcW w:w="1360" w:type="dxa"/>
            <w:vAlign w:val="bottom"/>
            <w:shd w:val="clear" w:color="auto" w:fill="0093FF"/>
          </w:tcPr>
          <w:p>
            <w:pPr>
              <w:jc w:val="center"/>
              <w:ind w:right="312"/>
              <w:spacing w:after="0" w:line="383" w:lineRule="exact"/>
              <w:rPr>
                <w:sz w:val="20"/>
                <w:szCs w:val="20"/>
                <w:color w:val="auto"/>
              </w:rPr>
            </w:pPr>
            <w:r>
              <w:rPr>
                <w:rFonts w:ascii="Arial" w:cs="Arial" w:eastAsia="Arial" w:hAnsi="Arial"/>
                <w:sz w:val="35"/>
                <w:szCs w:val="35"/>
                <w:b w:val="1"/>
                <w:bCs w:val="1"/>
                <w:color w:val="FFFFFF"/>
                <w:w w:val="92"/>
                <w:vertAlign w:val="subscript"/>
              </w:rPr>
              <w:t>%</w:t>
            </w:r>
            <w:r>
              <w:rPr>
                <w:rFonts w:ascii="Arial" w:cs="Arial" w:eastAsia="Arial" w:hAnsi="Arial"/>
                <w:sz w:val="15"/>
                <w:szCs w:val="15"/>
                <w:b w:val="1"/>
                <w:bCs w:val="1"/>
                <w:color w:val="FFFFFF"/>
                <w:w w:val="92"/>
              </w:rPr>
              <w:t>(2)</w:t>
            </w:r>
          </w:p>
        </w:tc>
        <w:tc>
          <w:tcPr>
            <w:tcW w:w="2620" w:type="dxa"/>
            <w:vAlign w:val="bottom"/>
          </w:tcPr>
          <w:p>
            <w:pPr>
              <w:ind w:left="80"/>
              <w:spacing w:after="0"/>
              <w:rPr>
                <w:sz w:val="20"/>
                <w:szCs w:val="20"/>
                <w:color w:val="auto"/>
              </w:rPr>
            </w:pPr>
            <w:r>
              <w:rPr>
                <w:rFonts w:ascii="Arial" w:cs="Arial" w:eastAsia="Arial" w:hAnsi="Arial"/>
                <w:sz w:val="18"/>
                <w:szCs w:val="18"/>
                <w:b w:val="1"/>
                <w:bCs w:val="1"/>
                <w:color w:val="FFFFFF"/>
              </w:rPr>
              <w:t>Units</w:t>
            </w:r>
            <w:r>
              <w:rPr>
                <w:rFonts w:ascii="Arial" w:cs="Arial" w:eastAsia="Arial" w:hAnsi="Arial"/>
                <w:sz w:val="29"/>
                <w:szCs w:val="29"/>
                <w:b w:val="1"/>
                <w:bCs w:val="1"/>
                <w:color w:val="FFFFFF"/>
                <w:vertAlign w:val="superscript"/>
              </w:rPr>
              <w:t>(3)</w:t>
            </w:r>
          </w:p>
        </w:tc>
        <w:tc>
          <w:tcPr>
            <w:tcW w:w="1200" w:type="dxa"/>
            <w:vAlign w:val="bottom"/>
            <w:shd w:val="clear" w:color="auto" w:fill="0093FF"/>
          </w:tcPr>
          <w:p>
            <w:pPr>
              <w:jc w:val="right"/>
              <w:ind w:right="590"/>
              <w:spacing w:after="0"/>
              <w:rPr>
                <w:sz w:val="20"/>
                <w:szCs w:val="20"/>
                <w:color w:val="auto"/>
              </w:rPr>
            </w:pPr>
            <w:r>
              <w:rPr>
                <w:rFonts w:ascii="Arial" w:cs="Arial" w:eastAsia="Arial" w:hAnsi="Arial"/>
                <w:sz w:val="18"/>
                <w:szCs w:val="18"/>
                <w:b w:val="1"/>
                <w:bCs w:val="1"/>
                <w:color w:val="FFFFFF"/>
              </w:rPr>
              <w:t>Total</w:t>
            </w:r>
          </w:p>
        </w:tc>
      </w:tr>
      <w:tr>
        <w:trPr>
          <w:trHeight w:val="297"/>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Som Mittal</w:t>
            </w:r>
          </w:p>
        </w:tc>
        <w:tc>
          <w:tcPr>
            <w:tcW w:w="1620" w:type="dxa"/>
            <w:vAlign w:val="bottom"/>
            <w:shd w:val="clear" w:color="auto" w:fill="F3F9FF"/>
          </w:tcPr>
          <w:p>
            <w:pPr>
              <w:jc w:val="right"/>
              <w:ind w:right="192"/>
              <w:spacing w:after="0"/>
              <w:rPr>
                <w:sz w:val="20"/>
                <w:szCs w:val="20"/>
                <w:color w:val="auto"/>
              </w:rPr>
            </w:pPr>
            <w:r>
              <w:rPr>
                <w:rFonts w:ascii="Arial" w:cs="Arial" w:eastAsia="Arial" w:hAnsi="Arial"/>
                <w:sz w:val="18"/>
                <w:szCs w:val="18"/>
                <w:color w:val="auto"/>
              </w:rPr>
              <w:t>5,657</w:t>
            </w:r>
          </w:p>
        </w:tc>
        <w:tc>
          <w:tcPr>
            <w:tcW w:w="1360" w:type="dxa"/>
            <w:vAlign w:val="bottom"/>
            <w:shd w:val="clear" w:color="auto" w:fill="F3F9FF"/>
          </w:tcPr>
          <w:p>
            <w:pPr>
              <w:jc w:val="center"/>
              <w:ind w:right="252"/>
              <w:spacing w:after="0"/>
              <w:rPr>
                <w:sz w:val="20"/>
                <w:szCs w:val="20"/>
                <w:color w:val="auto"/>
              </w:rPr>
            </w:pPr>
            <w:r>
              <w:rPr>
                <w:rFonts w:ascii="Arial" w:cs="Arial" w:eastAsia="Arial" w:hAnsi="Arial"/>
                <w:sz w:val="18"/>
                <w:szCs w:val="18"/>
                <w:color w:val="auto"/>
                <w:w w:val="84"/>
              </w:rPr>
              <w:t>*</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8,874</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14,531</w:t>
            </w:r>
          </w:p>
        </w:tc>
      </w:tr>
      <w:tr>
        <w:trPr>
          <w:trHeight w:val="68"/>
        </w:trPr>
        <w:tc>
          <w:tcPr>
            <w:tcW w:w="4180" w:type="dxa"/>
            <w:vAlign w:val="bottom"/>
            <w:shd w:val="clear" w:color="auto" w:fill="F3F9FF"/>
          </w:tcPr>
          <w:p>
            <w:pPr>
              <w:spacing w:after="0"/>
              <w:rPr>
                <w:sz w:val="5"/>
                <w:szCs w:val="5"/>
                <w:color w:val="auto"/>
              </w:rPr>
            </w:pPr>
          </w:p>
        </w:tc>
        <w:tc>
          <w:tcPr>
            <w:tcW w:w="1620" w:type="dxa"/>
            <w:vAlign w:val="bottom"/>
            <w:shd w:val="clear" w:color="auto" w:fill="F3F9FF"/>
          </w:tcPr>
          <w:p>
            <w:pPr>
              <w:spacing w:after="0"/>
              <w:rPr>
                <w:sz w:val="5"/>
                <w:szCs w:val="5"/>
                <w:color w:val="auto"/>
              </w:rPr>
            </w:pPr>
          </w:p>
        </w:tc>
        <w:tc>
          <w:tcPr>
            <w:tcW w:w="1360" w:type="dxa"/>
            <w:vAlign w:val="bottom"/>
            <w:shd w:val="clear" w:color="auto" w:fill="F3F9FF"/>
          </w:tcPr>
          <w:p>
            <w:pPr>
              <w:spacing w:after="0"/>
              <w:rPr>
                <w:sz w:val="5"/>
                <w:szCs w:val="5"/>
                <w:color w:val="auto"/>
              </w:rPr>
            </w:pPr>
          </w:p>
        </w:tc>
        <w:tc>
          <w:tcPr>
            <w:tcW w:w="2620" w:type="dxa"/>
            <w:vAlign w:val="bottom"/>
            <w:shd w:val="clear" w:color="auto" w:fill="F3F9FF"/>
          </w:tcPr>
          <w:p>
            <w:pPr>
              <w:spacing w:after="0"/>
              <w:rPr>
                <w:sz w:val="5"/>
                <w:szCs w:val="5"/>
                <w:color w:val="auto"/>
              </w:rPr>
            </w:pPr>
          </w:p>
        </w:tc>
        <w:tc>
          <w:tcPr>
            <w:tcW w:w="1200" w:type="dxa"/>
            <w:vAlign w:val="bottom"/>
            <w:shd w:val="clear" w:color="auto" w:fill="F3F9FF"/>
          </w:tcPr>
          <w:p>
            <w:pPr>
              <w:spacing w:after="0"/>
              <w:rPr>
                <w:sz w:val="5"/>
                <w:szCs w:val="5"/>
                <w:color w:val="auto"/>
              </w:rPr>
            </w:pPr>
          </w:p>
        </w:tc>
      </w:tr>
      <w:tr>
        <w:trPr>
          <w:trHeight w:val="405"/>
        </w:trPr>
        <w:tc>
          <w:tcPr>
            <w:tcW w:w="4180" w:type="dxa"/>
            <w:vAlign w:val="bottom"/>
          </w:tcPr>
          <w:p>
            <w:pPr>
              <w:ind w:left="240"/>
              <w:spacing w:after="0"/>
              <w:rPr>
                <w:sz w:val="20"/>
                <w:szCs w:val="20"/>
                <w:color w:val="auto"/>
              </w:rPr>
            </w:pPr>
            <w:r>
              <w:rPr>
                <w:rFonts w:ascii="Arial" w:cs="Arial" w:eastAsia="Arial" w:hAnsi="Arial"/>
                <w:sz w:val="18"/>
                <w:szCs w:val="18"/>
                <w:color w:val="auto"/>
              </w:rPr>
              <w:t>Clyde W. Ostler</w:t>
            </w: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 xml:space="preserve">26,820 </w:t>
            </w:r>
            <w:r>
              <w:rPr>
                <w:rFonts w:ascii="Arial" w:cs="Arial" w:eastAsia="Arial" w:hAnsi="Arial"/>
                <w:sz w:val="29"/>
                <w:szCs w:val="29"/>
                <w:color w:val="auto"/>
                <w:vertAlign w:val="superscript"/>
              </w:rPr>
              <w:t>(11)</w:t>
            </w:r>
          </w:p>
        </w:tc>
        <w:tc>
          <w:tcPr>
            <w:tcW w:w="1360" w:type="dxa"/>
            <w:vAlign w:val="bottom"/>
          </w:tcPr>
          <w:p>
            <w:pPr>
              <w:jc w:val="center"/>
              <w:ind w:right="252"/>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34,445</w:t>
            </w:r>
          </w:p>
        </w:tc>
        <w:tc>
          <w:tcPr>
            <w:tcW w:w="1200" w:type="dxa"/>
            <w:vAlign w:val="bottom"/>
          </w:tcPr>
          <w:p>
            <w:pPr>
              <w:jc w:val="right"/>
              <w:spacing w:after="0"/>
              <w:rPr>
                <w:sz w:val="20"/>
                <w:szCs w:val="20"/>
                <w:color w:val="auto"/>
              </w:rPr>
            </w:pPr>
            <w:r>
              <w:rPr>
                <w:rFonts w:ascii="Arial" w:cs="Arial" w:eastAsia="Arial" w:hAnsi="Arial"/>
                <w:sz w:val="18"/>
                <w:szCs w:val="18"/>
                <w:color w:val="auto"/>
              </w:rPr>
              <w:t>61,625</w:t>
            </w:r>
          </w:p>
        </w:tc>
      </w:tr>
      <w:tr>
        <w:trPr>
          <w:trHeight w:val="297"/>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Vikram S. Pandit</w:t>
            </w:r>
          </w:p>
        </w:tc>
        <w:tc>
          <w:tcPr>
            <w:tcW w:w="1620" w:type="dxa"/>
            <w:vAlign w:val="bottom"/>
            <w:shd w:val="clear" w:color="auto" w:fill="F3F9FF"/>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shd w:val="clear" w:color="auto" w:fill="F3F9FF"/>
          </w:tcPr>
          <w:p>
            <w:pPr>
              <w:jc w:val="center"/>
              <w:ind w:right="252"/>
              <w:spacing w:after="0"/>
              <w:rPr>
                <w:sz w:val="20"/>
                <w:szCs w:val="20"/>
                <w:color w:val="auto"/>
              </w:rPr>
            </w:pPr>
            <w:r>
              <w:rPr>
                <w:rFonts w:ascii="Arial" w:cs="Arial" w:eastAsia="Arial" w:hAnsi="Arial"/>
                <w:sz w:val="18"/>
                <w:szCs w:val="18"/>
                <w:color w:val="auto"/>
                <w:w w:val="84"/>
              </w:rPr>
              <w:t>*</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1,199</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1,199</w:t>
            </w:r>
          </w:p>
        </w:tc>
      </w:tr>
      <w:tr>
        <w:trPr>
          <w:trHeight w:val="68"/>
        </w:trPr>
        <w:tc>
          <w:tcPr>
            <w:tcW w:w="4180" w:type="dxa"/>
            <w:vAlign w:val="bottom"/>
            <w:shd w:val="clear" w:color="auto" w:fill="F3F9FF"/>
          </w:tcPr>
          <w:p>
            <w:pPr>
              <w:spacing w:after="0"/>
              <w:rPr>
                <w:sz w:val="5"/>
                <w:szCs w:val="5"/>
                <w:color w:val="auto"/>
              </w:rPr>
            </w:pPr>
          </w:p>
        </w:tc>
        <w:tc>
          <w:tcPr>
            <w:tcW w:w="1620" w:type="dxa"/>
            <w:vAlign w:val="bottom"/>
            <w:shd w:val="clear" w:color="auto" w:fill="F3F9FF"/>
          </w:tcPr>
          <w:p>
            <w:pPr>
              <w:spacing w:after="0"/>
              <w:rPr>
                <w:sz w:val="5"/>
                <w:szCs w:val="5"/>
                <w:color w:val="auto"/>
              </w:rPr>
            </w:pPr>
          </w:p>
        </w:tc>
        <w:tc>
          <w:tcPr>
            <w:tcW w:w="1360" w:type="dxa"/>
            <w:vAlign w:val="bottom"/>
            <w:shd w:val="clear" w:color="auto" w:fill="F3F9FF"/>
          </w:tcPr>
          <w:p>
            <w:pPr>
              <w:spacing w:after="0"/>
              <w:rPr>
                <w:sz w:val="5"/>
                <w:szCs w:val="5"/>
                <w:color w:val="auto"/>
              </w:rPr>
            </w:pPr>
          </w:p>
        </w:tc>
        <w:tc>
          <w:tcPr>
            <w:tcW w:w="2620" w:type="dxa"/>
            <w:vAlign w:val="bottom"/>
            <w:shd w:val="clear" w:color="auto" w:fill="F3F9FF"/>
          </w:tcPr>
          <w:p>
            <w:pPr>
              <w:spacing w:after="0"/>
              <w:rPr>
                <w:sz w:val="5"/>
                <w:szCs w:val="5"/>
                <w:color w:val="auto"/>
              </w:rPr>
            </w:pPr>
          </w:p>
        </w:tc>
        <w:tc>
          <w:tcPr>
            <w:tcW w:w="1200" w:type="dxa"/>
            <w:vAlign w:val="bottom"/>
            <w:shd w:val="clear" w:color="auto" w:fill="F3F9FF"/>
          </w:tcPr>
          <w:p>
            <w:pPr>
              <w:spacing w:after="0"/>
              <w:rPr>
                <w:sz w:val="5"/>
                <w:szCs w:val="5"/>
                <w:color w:val="auto"/>
              </w:rPr>
            </w:pPr>
          </w:p>
        </w:tc>
      </w:tr>
      <w:tr>
        <w:trPr>
          <w:trHeight w:val="297"/>
        </w:trPr>
        <w:tc>
          <w:tcPr>
            <w:tcW w:w="4180" w:type="dxa"/>
            <w:vAlign w:val="bottom"/>
          </w:tcPr>
          <w:p>
            <w:pPr>
              <w:ind w:left="240"/>
              <w:spacing w:after="0"/>
              <w:rPr>
                <w:sz w:val="20"/>
                <w:szCs w:val="20"/>
                <w:color w:val="auto"/>
              </w:rPr>
            </w:pPr>
            <w:r>
              <w:rPr>
                <w:rFonts w:ascii="Arial" w:cs="Arial" w:eastAsia="Arial" w:hAnsi="Arial"/>
                <w:sz w:val="18"/>
                <w:szCs w:val="18"/>
                <w:color w:val="auto"/>
              </w:rPr>
              <w:t>Nitin Sahney</w:t>
            </w: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252"/>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6,703</w:t>
            </w:r>
          </w:p>
        </w:tc>
        <w:tc>
          <w:tcPr>
            <w:tcW w:w="1200" w:type="dxa"/>
            <w:vAlign w:val="bottom"/>
          </w:tcPr>
          <w:p>
            <w:pPr>
              <w:jc w:val="right"/>
              <w:spacing w:after="0"/>
              <w:rPr>
                <w:sz w:val="20"/>
                <w:szCs w:val="20"/>
                <w:color w:val="auto"/>
              </w:rPr>
            </w:pPr>
            <w:r>
              <w:rPr>
                <w:rFonts w:ascii="Arial" w:cs="Arial" w:eastAsia="Arial" w:hAnsi="Arial"/>
                <w:sz w:val="18"/>
                <w:szCs w:val="18"/>
                <w:color w:val="auto"/>
              </w:rPr>
              <w:t>6,703</w:t>
            </w:r>
          </w:p>
        </w:tc>
      </w:tr>
      <w:tr>
        <w:trPr>
          <w:trHeight w:val="68"/>
        </w:trPr>
        <w:tc>
          <w:tcPr>
            <w:tcW w:w="4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405"/>
        </w:trPr>
        <w:tc>
          <w:tcPr>
            <w:tcW w:w="4180" w:type="dxa"/>
            <w:vAlign w:val="bottom"/>
            <w:shd w:val="clear" w:color="auto" w:fill="F3F9FF"/>
          </w:tcPr>
          <w:p>
            <w:pPr>
              <w:ind w:left="240"/>
              <w:spacing w:after="0"/>
              <w:rPr>
                <w:sz w:val="20"/>
                <w:szCs w:val="20"/>
                <w:color w:val="auto"/>
              </w:rPr>
            </w:pPr>
            <w:r>
              <w:rPr>
                <w:rFonts w:ascii="Arial" w:cs="Arial" w:eastAsia="Arial" w:hAnsi="Arial"/>
                <w:sz w:val="18"/>
                <w:szCs w:val="18"/>
                <w:color w:val="auto"/>
              </w:rPr>
              <w:t>Garen K. Staglin</w:t>
            </w:r>
          </w:p>
        </w:tc>
        <w:tc>
          <w:tcPr>
            <w:tcW w:w="1620" w:type="dxa"/>
            <w:vAlign w:val="bottom"/>
            <w:shd w:val="clear" w:color="auto" w:fill="F3F9FF"/>
          </w:tcPr>
          <w:p>
            <w:pPr>
              <w:jc w:val="right"/>
              <w:ind w:right="192"/>
              <w:spacing w:after="0"/>
              <w:rPr>
                <w:sz w:val="20"/>
                <w:szCs w:val="20"/>
                <w:color w:val="auto"/>
              </w:rPr>
            </w:pPr>
            <w:r>
              <w:rPr>
                <w:rFonts w:ascii="Arial" w:cs="Arial" w:eastAsia="Arial" w:hAnsi="Arial"/>
                <w:sz w:val="18"/>
                <w:szCs w:val="18"/>
                <w:color w:val="auto"/>
              </w:rPr>
              <w:t>29,663</w:t>
            </w:r>
            <w:r>
              <w:rPr>
                <w:rFonts w:ascii="Arial" w:cs="Arial" w:eastAsia="Arial" w:hAnsi="Arial"/>
                <w:sz w:val="29"/>
                <w:szCs w:val="29"/>
                <w:color w:val="auto"/>
                <w:vertAlign w:val="superscript"/>
              </w:rPr>
              <w:t>(12)</w:t>
            </w:r>
          </w:p>
        </w:tc>
        <w:tc>
          <w:tcPr>
            <w:tcW w:w="1360" w:type="dxa"/>
            <w:vAlign w:val="bottom"/>
            <w:shd w:val="clear" w:color="auto" w:fill="F3F9FF"/>
          </w:tcPr>
          <w:p>
            <w:pPr>
              <w:jc w:val="center"/>
              <w:ind w:right="252"/>
              <w:spacing w:after="0"/>
              <w:rPr>
                <w:sz w:val="20"/>
                <w:szCs w:val="20"/>
                <w:color w:val="auto"/>
              </w:rPr>
            </w:pPr>
            <w:r>
              <w:rPr>
                <w:rFonts w:ascii="Arial" w:cs="Arial" w:eastAsia="Arial" w:hAnsi="Arial"/>
                <w:sz w:val="18"/>
                <w:szCs w:val="18"/>
                <w:color w:val="auto"/>
                <w:w w:val="84"/>
              </w:rPr>
              <w:t>*</w:t>
            </w:r>
          </w:p>
        </w:tc>
        <w:tc>
          <w:tcPr>
            <w:tcW w:w="2620" w:type="dxa"/>
            <w:vAlign w:val="bottom"/>
            <w:shd w:val="clear" w:color="auto" w:fill="F3F9FF"/>
          </w:tcPr>
          <w:p>
            <w:pPr>
              <w:jc w:val="right"/>
              <w:ind w:right="30"/>
              <w:spacing w:after="0"/>
              <w:rPr>
                <w:sz w:val="20"/>
                <w:szCs w:val="20"/>
                <w:color w:val="auto"/>
              </w:rPr>
            </w:pPr>
            <w:r>
              <w:rPr>
                <w:rFonts w:ascii="Arial" w:cs="Arial" w:eastAsia="Arial" w:hAnsi="Arial"/>
                <w:sz w:val="18"/>
                <w:szCs w:val="18"/>
                <w:color w:val="auto"/>
              </w:rPr>
              <w:t>49,343</w:t>
            </w:r>
          </w:p>
        </w:tc>
        <w:tc>
          <w:tcPr>
            <w:tcW w:w="1200" w:type="dxa"/>
            <w:vAlign w:val="bottom"/>
            <w:shd w:val="clear" w:color="auto" w:fill="F3F9FF"/>
          </w:tcPr>
          <w:p>
            <w:pPr>
              <w:jc w:val="right"/>
              <w:spacing w:after="0"/>
              <w:rPr>
                <w:sz w:val="20"/>
                <w:szCs w:val="20"/>
                <w:color w:val="auto"/>
              </w:rPr>
            </w:pPr>
            <w:r>
              <w:rPr>
                <w:rFonts w:ascii="Arial" w:cs="Arial" w:eastAsia="Arial" w:hAnsi="Arial"/>
                <w:sz w:val="18"/>
                <w:szCs w:val="18"/>
                <w:color w:val="auto"/>
              </w:rPr>
              <w:t>79,006</w:t>
            </w:r>
          </w:p>
        </w:tc>
      </w:tr>
      <w:tr>
        <w:trPr>
          <w:trHeight w:val="297"/>
        </w:trPr>
        <w:tc>
          <w:tcPr>
            <w:tcW w:w="4180" w:type="dxa"/>
            <w:vAlign w:val="bottom"/>
          </w:tcPr>
          <w:p>
            <w:pPr>
              <w:ind w:left="240"/>
              <w:spacing w:after="0"/>
              <w:rPr>
                <w:sz w:val="20"/>
                <w:szCs w:val="20"/>
                <w:color w:val="auto"/>
              </w:rPr>
            </w:pPr>
            <w:r>
              <w:rPr>
                <w:rFonts w:ascii="Arial" w:cs="Arial" w:eastAsia="Arial" w:hAnsi="Arial"/>
                <w:sz w:val="18"/>
                <w:szCs w:val="18"/>
                <w:color w:val="auto"/>
              </w:rPr>
              <w:t>Jaynie M. Studenmund</w:t>
            </w: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2,220</w:t>
            </w:r>
          </w:p>
        </w:tc>
        <w:tc>
          <w:tcPr>
            <w:tcW w:w="1360" w:type="dxa"/>
            <w:vAlign w:val="bottom"/>
          </w:tcPr>
          <w:p>
            <w:pPr>
              <w:jc w:val="center"/>
              <w:ind w:right="252"/>
              <w:spacing w:after="0"/>
              <w:rPr>
                <w:sz w:val="20"/>
                <w:szCs w:val="20"/>
                <w:color w:val="auto"/>
              </w:rPr>
            </w:pPr>
            <w:r>
              <w:rPr>
                <w:rFonts w:ascii="Arial" w:cs="Arial" w:eastAsia="Arial" w:hAnsi="Arial"/>
                <w:sz w:val="18"/>
                <w:szCs w:val="18"/>
                <w:color w:val="auto"/>
                <w:w w:val="84"/>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1200" w:type="dxa"/>
            <w:vAlign w:val="bottom"/>
          </w:tcPr>
          <w:p>
            <w:pPr>
              <w:jc w:val="right"/>
              <w:spacing w:after="0"/>
              <w:rPr>
                <w:sz w:val="20"/>
                <w:szCs w:val="20"/>
                <w:color w:val="auto"/>
              </w:rPr>
            </w:pPr>
            <w:r>
              <w:rPr>
                <w:rFonts w:ascii="Arial" w:cs="Arial" w:eastAsia="Arial" w:hAnsi="Arial"/>
                <w:sz w:val="18"/>
                <w:szCs w:val="18"/>
                <w:color w:val="auto"/>
              </w:rPr>
              <w:t>3,460</w:t>
            </w:r>
          </w:p>
        </w:tc>
      </w:tr>
      <w:tr>
        <w:trPr>
          <w:trHeight w:val="332"/>
        </w:trPr>
        <w:tc>
          <w:tcPr>
            <w:tcW w:w="4180" w:type="dxa"/>
            <w:vAlign w:val="bottom"/>
          </w:tcPr>
          <w:p>
            <w:pPr>
              <w:ind w:left="240"/>
              <w:spacing w:after="0"/>
              <w:rPr>
                <w:sz w:val="20"/>
                <w:szCs w:val="20"/>
                <w:color w:val="auto"/>
              </w:rPr>
            </w:pPr>
            <w:r>
              <w:rPr>
                <w:rFonts w:ascii="Arial" w:cs="Arial" w:eastAsia="Arial" w:hAnsi="Arial"/>
                <w:sz w:val="18"/>
                <w:szCs w:val="18"/>
                <w:b w:val="1"/>
                <w:bCs w:val="1"/>
                <w:color w:val="auto"/>
              </w:rPr>
              <w:t>All current directors and executive officers as</w:t>
            </w:r>
          </w:p>
        </w:tc>
        <w:tc>
          <w:tcPr>
            <w:tcW w:w="1620" w:type="dxa"/>
            <w:vAlign w:val="bottom"/>
          </w:tcPr>
          <w:p>
            <w:pPr>
              <w:jc w:val="right"/>
              <w:ind w:right="192"/>
              <w:spacing w:after="0"/>
              <w:rPr>
                <w:sz w:val="20"/>
                <w:szCs w:val="20"/>
                <w:color w:val="auto"/>
              </w:rPr>
            </w:pPr>
            <w:r>
              <w:rPr>
                <w:rFonts w:ascii="Arial" w:cs="Arial" w:eastAsia="Arial" w:hAnsi="Arial"/>
                <w:sz w:val="18"/>
                <w:szCs w:val="18"/>
                <w:b w:val="1"/>
                <w:bCs w:val="1"/>
                <w:color w:val="auto"/>
              </w:rPr>
              <w:t>1,099,964</w:t>
            </w:r>
          </w:p>
        </w:tc>
        <w:tc>
          <w:tcPr>
            <w:tcW w:w="1360" w:type="dxa"/>
            <w:vAlign w:val="bottom"/>
          </w:tcPr>
          <w:p>
            <w:pPr>
              <w:jc w:val="center"/>
              <w:ind w:right="352"/>
              <w:spacing w:after="0"/>
              <w:rPr>
                <w:sz w:val="20"/>
                <w:szCs w:val="20"/>
                <w:color w:val="auto"/>
              </w:rPr>
            </w:pPr>
            <w:r>
              <w:rPr>
                <w:rFonts w:ascii="Arial" w:cs="Arial" w:eastAsia="Arial" w:hAnsi="Arial"/>
                <w:sz w:val="18"/>
                <w:szCs w:val="18"/>
                <w:b w:val="1"/>
                <w:bCs w:val="1"/>
                <w:color w:val="auto"/>
              </w:rPr>
              <w:t>3.20</w:t>
            </w:r>
          </w:p>
        </w:tc>
        <w:tc>
          <w:tcPr>
            <w:tcW w:w="2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1"/>
        </w:trPr>
        <w:tc>
          <w:tcPr>
            <w:tcW w:w="4180" w:type="dxa"/>
            <w:vAlign w:val="bottom"/>
          </w:tcPr>
          <w:p>
            <w:pPr>
              <w:ind w:left="240"/>
              <w:spacing w:after="0"/>
              <w:rPr>
                <w:sz w:val="20"/>
                <w:szCs w:val="20"/>
                <w:color w:val="auto"/>
              </w:rPr>
            </w:pPr>
            <w:r>
              <w:rPr>
                <w:rFonts w:ascii="Arial" w:cs="Arial" w:eastAsia="Arial" w:hAnsi="Arial"/>
                <w:sz w:val="18"/>
                <w:szCs w:val="18"/>
                <w:b w:val="1"/>
                <w:bCs w:val="1"/>
                <w:color w:val="auto"/>
              </w:rPr>
              <w:t>a group (18 persons)</w:t>
            </w:r>
            <w:r>
              <w:rPr>
                <w:rFonts w:ascii="Arial" w:cs="Arial" w:eastAsia="Arial" w:hAnsi="Arial"/>
                <w:sz w:val="29"/>
                <w:szCs w:val="29"/>
                <w:b w:val="1"/>
                <w:bCs w:val="1"/>
                <w:color w:val="auto"/>
                <w:vertAlign w:val="superscript"/>
              </w:rPr>
              <w:t>(13)</w:t>
            </w:r>
          </w:p>
        </w:tc>
        <w:tc>
          <w:tcPr>
            <w:tcW w:w="1620" w:type="dxa"/>
            <w:vAlign w:val="bottom"/>
          </w:tcPr>
          <w:p>
            <w:pPr>
              <w:jc w:val="right"/>
              <w:ind w:right="192"/>
              <w:spacing w:after="0"/>
              <w:rPr>
                <w:sz w:val="20"/>
                <w:szCs w:val="20"/>
                <w:color w:val="auto"/>
              </w:rPr>
            </w:pPr>
            <w:r>
              <w:rPr>
                <w:rFonts w:ascii="Arial" w:cs="Arial" w:eastAsia="Arial" w:hAnsi="Arial"/>
                <w:sz w:val="15"/>
                <w:szCs w:val="15"/>
                <w:b w:val="1"/>
                <w:bCs w:val="1"/>
                <w:color w:val="auto"/>
              </w:rPr>
              <w:t>(14)</w:t>
            </w:r>
          </w:p>
        </w:tc>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262626"/>
        </w:rPr>
        <w:t>*Less than 1%.</w:t>
      </w:r>
    </w:p>
    <w:p>
      <w:pPr>
        <w:spacing w:after="0" w:line="163"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Unless otherwise noted, the business address of each beneficial owner is c/o ExlService Holdings, Inc., 320 Park Avenue, 29th Floor, New York, New York 10022.</w:t>
      </w:r>
    </w:p>
    <w:p>
      <w:pPr>
        <w:spacing w:after="0" w:line="163" w:lineRule="exact"/>
        <w:rPr>
          <w:rFonts w:ascii="Arial" w:cs="Arial" w:eastAsia="Arial" w:hAnsi="Arial"/>
          <w:sz w:val="14"/>
          <w:szCs w:val="14"/>
          <w:color w:val="262626"/>
        </w:rPr>
      </w:pPr>
    </w:p>
    <w:p>
      <w:pPr>
        <w:ind w:left="220" w:hanging="212"/>
        <w:spacing w:after="0"/>
        <w:tabs>
          <w:tab w:leader="none" w:pos="220"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Based on 34,315,996 shares outstanding as of the Determination Date.</w:t>
      </w:r>
    </w:p>
    <w:p>
      <w:pPr>
        <w:spacing w:after="0" w:line="163" w:lineRule="exact"/>
        <w:rPr>
          <w:rFonts w:ascii="Arial" w:cs="Arial" w:eastAsia="Arial" w:hAnsi="Arial"/>
          <w:sz w:val="14"/>
          <w:szCs w:val="14"/>
          <w:color w:val="262626"/>
        </w:rPr>
      </w:pPr>
    </w:p>
    <w:p>
      <w:pPr>
        <w:ind w:firstLine="8"/>
        <w:spacing w:after="0" w:line="245" w:lineRule="auto"/>
        <w:tabs>
          <w:tab w:leader="none" w:pos="216"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2019” for additional details on settlement), the units are not treated as beneficially owned under SEC rules because the holder does not have the right to acquire the underlying stock within 60 days of the Determination Date. However, restricted stock units that are vested but unsettled provide a meaningful alignment with the Company’s stockholders, and they count towards our stock ownership policy for non-employee directors, which requires directors to maintain stock ownership of at least five times their respective annual retainers.</w:t>
      </w:r>
    </w:p>
    <w:p>
      <w:pPr>
        <w:spacing w:after="0" w:line="150" w:lineRule="exact"/>
        <w:rPr>
          <w:rFonts w:ascii="Arial" w:cs="Arial" w:eastAsia="Arial" w:hAnsi="Arial"/>
          <w:sz w:val="14"/>
          <w:szCs w:val="14"/>
          <w:color w:val="262626"/>
        </w:rPr>
      </w:pPr>
    </w:p>
    <w:p>
      <w:pPr>
        <w:ind w:firstLine="8"/>
        <w:spacing w:after="0" w:line="258" w:lineRule="auto"/>
        <w:tabs>
          <w:tab w:leader="none" w:pos="216"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Based on the Schedule 13G/A filed on February 4, 2020, BlackRock, Inc. had sole voting power with respect to 5,047,869 shares and sole dispositive power with respect to 5,107,172 shares. The business address of Blackrock, Inc. is 55 East 52nd Street, New York, New York 10022.</w:t>
      </w:r>
    </w:p>
    <w:p>
      <w:pPr>
        <w:spacing w:after="0" w:line="139" w:lineRule="exact"/>
        <w:rPr>
          <w:rFonts w:ascii="Arial" w:cs="Arial" w:eastAsia="Arial" w:hAnsi="Arial"/>
          <w:sz w:val="14"/>
          <w:szCs w:val="14"/>
          <w:color w:val="262626"/>
        </w:rPr>
      </w:pPr>
    </w:p>
    <w:p>
      <w:pPr>
        <w:jc w:val="both"/>
        <w:ind w:right="80" w:firstLine="8"/>
        <w:spacing w:after="0" w:line="249" w:lineRule="auto"/>
        <w:tabs>
          <w:tab w:leader="none" w:pos="216"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Based on the Schedule 13G/A filed on February 12, 2020, Vanguard Group, Inc. had sole voting power with respect to 72,043 shares, shared voting power with respect to 5,534 shares, sole dispositive power with respect to 3,490,393 shares and shared dispositive power with respect to 71,929 shares. The business address of Vanguard Group, Inc. is 100 Vanguard Boulevard, Malvern, PA 19355.</w:t>
      </w:r>
    </w:p>
    <w:p>
      <w:pPr>
        <w:spacing w:after="0" w:line="146" w:lineRule="exact"/>
        <w:rPr>
          <w:rFonts w:ascii="Arial" w:cs="Arial" w:eastAsia="Arial" w:hAnsi="Arial"/>
          <w:sz w:val="14"/>
          <w:szCs w:val="14"/>
          <w:color w:val="262626"/>
        </w:rPr>
      </w:pPr>
    </w:p>
    <w:p>
      <w:pPr>
        <w:ind w:right="500" w:firstLine="8"/>
        <w:spacing w:after="0" w:line="258" w:lineRule="auto"/>
        <w:tabs>
          <w:tab w:leader="none" w:pos="216"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Based on the Schedule 13G/A filed on February 7, 2020, FMR LLC had sole voting power with respect to 667,458 shares and sole dispositive power with respect to 2,105,848 shares. The business address of FMR LLC is 245 Summer Street, Boston, Massachusetts 02210.</w:t>
      </w:r>
    </w:p>
    <w:p>
      <w:pPr>
        <w:spacing w:after="0" w:line="139" w:lineRule="exact"/>
        <w:rPr>
          <w:rFonts w:ascii="Arial" w:cs="Arial" w:eastAsia="Arial" w:hAnsi="Arial"/>
          <w:sz w:val="14"/>
          <w:szCs w:val="14"/>
          <w:color w:val="262626"/>
        </w:rPr>
      </w:pPr>
    </w:p>
    <w:p>
      <w:pPr>
        <w:ind w:left="220" w:hanging="212"/>
        <w:spacing w:after="0"/>
        <w:tabs>
          <w:tab w:leader="none" w:pos="220"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Based on the Form 4 filed by Mr. Chhibbar on April 16, 2019, the last filing pursuant to Section 16 under the Exchange Act prior to his departure from the Company.</w:t>
      </w:r>
    </w:p>
    <w:p>
      <w:pPr>
        <w:spacing w:after="0" w:line="163" w:lineRule="exact"/>
        <w:rPr>
          <w:rFonts w:ascii="Arial" w:cs="Arial" w:eastAsia="Arial" w:hAnsi="Arial"/>
          <w:sz w:val="14"/>
          <w:szCs w:val="14"/>
          <w:color w:val="262626"/>
        </w:rPr>
      </w:pPr>
    </w:p>
    <w:p>
      <w:pPr>
        <w:jc w:val="both"/>
        <w:ind w:right="20" w:firstLine="8"/>
        <w:spacing w:after="0" w:line="241" w:lineRule="auto"/>
        <w:tabs>
          <w:tab w:leader="none" w:pos="213"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The amount includes: (a) 177,134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(b) 40,219 shares of our common stock owned indirectly by Mr. Kapoor through a family trust created in 2016 under a 2013 grantor retained annuity trust, for which Mr. Kapoor’s spouse and Mr.</w:t>
      </w:r>
    </w:p>
    <w:p>
      <w:pPr>
        <w:spacing w:after="0" w:line="1" w:lineRule="exact"/>
        <w:rPr>
          <w:rFonts w:ascii="Arial" w:cs="Arial" w:eastAsia="Arial" w:hAnsi="Arial"/>
          <w:sz w:val="14"/>
          <w:szCs w:val="14"/>
          <w:color w:val="262626"/>
        </w:rPr>
      </w:pPr>
    </w:p>
    <w:p>
      <w:pPr>
        <w:ind w:right="60"/>
        <w:spacing w:after="0" w:line="245" w:lineRule="auto"/>
        <w:rPr>
          <w:rFonts w:ascii="Arial" w:cs="Arial" w:eastAsia="Arial" w:hAnsi="Arial"/>
          <w:sz w:val="14"/>
          <w:szCs w:val="14"/>
          <w:color w:val="262626"/>
        </w:rPr>
      </w:pPr>
      <w:r>
        <w:rPr>
          <w:rFonts w:ascii="Arial" w:cs="Arial" w:eastAsia="Arial" w:hAnsi="Arial"/>
          <w:sz w:val="14"/>
          <w:szCs w:val="14"/>
          <w:color w:val="262626"/>
        </w:rPr>
        <w:t>Kapoor’s brother are the co-trustees and share dispositive and voting control over the shares in the trust, (c) 84,000 shares of our common stock owned indirectly by Mr. Kapoor through a spousal lifetime access trust, for which Mr. Kapoor’s spouse and Mr. Kapoor’s brother are the co-trustees and share dispositive and voting control over the shares in the trust, (d) 84,000 shares of our common stock owned indirectly by Mr. Kapoor through a spousal lifetime access trust for Mr. Kapoor’s spouse, for which Mr. Kapoor and Mr. Kapoor’s brother are the co-trustees and share dispositive and voting control over the shares in the trust, and (e) 233,185 shares of our common stock owned indirectly by Mr. Kapoor through a family trust for which Mr. Kapoor is the investment advisor to Commonwealth Trust Company, the trustee.</w:t>
      </w:r>
    </w:p>
    <w:p>
      <w:pPr>
        <w:spacing w:after="0" w:line="150" w:lineRule="exact"/>
        <w:rPr>
          <w:rFonts w:ascii="Arial" w:cs="Arial" w:eastAsia="Arial" w:hAnsi="Arial"/>
          <w:sz w:val="14"/>
          <w:szCs w:val="14"/>
          <w:color w:val="262626"/>
        </w:rPr>
      </w:pPr>
    </w:p>
    <w:p>
      <w:pPr>
        <w:ind w:right="380" w:firstLine="8"/>
        <w:spacing w:after="0" w:line="258" w:lineRule="auto"/>
        <w:tabs>
          <w:tab w:leader="none" w:pos="213"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This amount consists of 26,294 shares of our common stock of which Mr. Kelso has the right to acquire beneficial ownership within 60 days of the Determination Date pursuant to currently vested and exercisable stock options.</w:t>
      </w:r>
    </w:p>
    <w:p>
      <w:pPr>
        <w:spacing w:after="0" w:line="139" w:lineRule="exact"/>
        <w:rPr>
          <w:rFonts w:ascii="Arial" w:cs="Arial" w:eastAsia="Arial" w:hAnsi="Arial"/>
          <w:sz w:val="14"/>
          <w:szCs w:val="14"/>
          <w:color w:val="262626"/>
        </w:rPr>
      </w:pPr>
    </w:p>
    <w:p>
      <w:pPr>
        <w:ind w:right="360" w:firstLine="8"/>
        <w:spacing w:after="0" w:line="258" w:lineRule="auto"/>
        <w:tabs>
          <w:tab w:leader="none" w:pos="293" w:val="left"/>
        </w:tabs>
        <w:numPr>
          <w:ilvl w:val="0"/>
          <w:numId w:val="112"/>
        </w:numPr>
        <w:rPr>
          <w:rFonts w:ascii="Arial" w:cs="Arial" w:eastAsia="Arial" w:hAnsi="Arial"/>
          <w:sz w:val="14"/>
          <w:szCs w:val="14"/>
          <w:color w:val="262626"/>
        </w:rPr>
      </w:pPr>
      <w:r>
        <w:rPr>
          <w:rFonts w:ascii="Arial" w:cs="Arial" w:eastAsia="Arial" w:hAnsi="Arial"/>
          <w:sz w:val="14"/>
          <w:szCs w:val="14"/>
          <w:color w:val="262626"/>
        </w:rPr>
        <w:t>This amount consists of 3,093 shares of our common stock of which Ms. Minto has the right to acquire beneficial ownership within 60 days of the Determination Date pursuant to currently vested and exercisable stock options.</w:t>
      </w:r>
    </w:p>
    <w:p>
      <w:pPr>
        <w:spacing w:after="0" w:line="312"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0" w:name="page91"/>
    <w:bookmarkEnd w:id="90"/>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left="-8" w:right="480" w:firstLine="8"/>
        <w:spacing w:after="0" w:line="258" w:lineRule="auto"/>
        <w:tabs>
          <w:tab w:leader="none" w:pos="285" w:val="left"/>
        </w:tabs>
        <w:numPr>
          <w:ilvl w:val="0"/>
          <w:numId w:val="113"/>
        </w:numPr>
        <w:rPr>
          <w:rFonts w:ascii="Arial" w:cs="Arial" w:eastAsia="Arial" w:hAnsi="Arial"/>
          <w:sz w:val="14"/>
          <w:szCs w:val="14"/>
          <w:color w:val="262626"/>
        </w:rPr>
      </w:pPr>
      <w:r>
        <w:rPr>
          <w:rFonts w:ascii="Arial" w:cs="Arial" w:eastAsia="Arial" w:hAnsi="Arial"/>
          <w:sz w:val="14"/>
          <w:szCs w:val="14"/>
          <w:color w:val="262626"/>
        </w:rPr>
        <w:t>This amount includes 7,528 shares of our common stock of which Mr. Ostler has the right to acquire beneficial ownership within 60 days of the Determination Date pursuant to currently vested and exercisable stock options.</w:t>
      </w:r>
    </w:p>
    <w:p>
      <w:pPr>
        <w:spacing w:after="0" w:line="139" w:lineRule="exact"/>
        <w:rPr>
          <w:rFonts w:ascii="Arial" w:cs="Arial" w:eastAsia="Arial" w:hAnsi="Arial"/>
          <w:sz w:val="14"/>
          <w:szCs w:val="14"/>
          <w:color w:val="262626"/>
        </w:rPr>
      </w:pPr>
    </w:p>
    <w:p>
      <w:pPr>
        <w:jc w:val="both"/>
        <w:ind w:left="-8" w:firstLine="8"/>
        <w:spacing w:after="0" w:line="249" w:lineRule="auto"/>
        <w:tabs>
          <w:tab w:leader="none" w:pos="285" w:val="left"/>
        </w:tabs>
        <w:numPr>
          <w:ilvl w:val="0"/>
          <w:numId w:val="113"/>
        </w:numPr>
        <w:rPr>
          <w:rFonts w:ascii="Arial" w:cs="Arial" w:eastAsia="Arial" w:hAnsi="Arial"/>
          <w:sz w:val="14"/>
          <w:szCs w:val="14"/>
          <w:color w:val="262626"/>
        </w:rPr>
      </w:pPr>
      <w:r>
        <w:rPr>
          <w:rFonts w:ascii="Arial" w:cs="Arial" w:eastAsia="Arial" w:hAnsi="Arial"/>
          <w:sz w:val="14"/>
          <w:szCs w:val="14"/>
          <w:color w:val="262626"/>
        </w:rPr>
        <w:t>This amount includes 1,854 shares of our common stock owned indirectly by Mr. Staglin through an irrevocable family trust created in 2018, for which Mr. Staglin’s spouse is the sole beneficiary and trustee with sole dispositive and voting control over the shares in the trust, and 7,258 shares of our common stock of which Mr. Staglin has the right to acquire beneficial ownership within 60 days of the Determination Date pursuant to currently vested and exercisable stock options.</w:t>
      </w:r>
    </w:p>
    <w:p>
      <w:pPr>
        <w:spacing w:after="0" w:line="146" w:lineRule="exact"/>
        <w:rPr>
          <w:rFonts w:ascii="Arial" w:cs="Arial" w:eastAsia="Arial" w:hAnsi="Arial"/>
          <w:sz w:val="14"/>
          <w:szCs w:val="14"/>
          <w:color w:val="262626"/>
        </w:rPr>
      </w:pPr>
    </w:p>
    <w:p>
      <w:pPr>
        <w:ind w:left="292" w:hanging="292"/>
        <w:spacing w:after="0"/>
        <w:tabs>
          <w:tab w:leader="none" w:pos="292" w:val="left"/>
        </w:tabs>
        <w:numPr>
          <w:ilvl w:val="0"/>
          <w:numId w:val="113"/>
        </w:numPr>
        <w:rPr>
          <w:rFonts w:ascii="Arial" w:cs="Arial" w:eastAsia="Arial" w:hAnsi="Arial"/>
          <w:sz w:val="14"/>
          <w:szCs w:val="14"/>
          <w:color w:val="262626"/>
        </w:rPr>
      </w:pPr>
      <w:r>
        <w:rPr>
          <w:rFonts w:ascii="Arial" w:cs="Arial" w:eastAsia="Arial" w:hAnsi="Arial"/>
          <w:sz w:val="14"/>
          <w:szCs w:val="14"/>
          <w:color w:val="262626"/>
        </w:rPr>
        <w:t>Includes all nine current non-employee directors and our nine current executive officers.</w:t>
      </w:r>
    </w:p>
    <w:p>
      <w:pPr>
        <w:spacing w:after="0" w:line="163" w:lineRule="exact"/>
        <w:rPr>
          <w:rFonts w:ascii="Arial" w:cs="Arial" w:eastAsia="Arial" w:hAnsi="Arial"/>
          <w:sz w:val="14"/>
          <w:szCs w:val="14"/>
          <w:color w:val="262626"/>
        </w:rPr>
      </w:pPr>
    </w:p>
    <w:p>
      <w:pPr>
        <w:ind w:left="-8" w:right="20" w:firstLine="8"/>
        <w:spacing w:after="0" w:line="258" w:lineRule="auto"/>
        <w:tabs>
          <w:tab w:leader="none" w:pos="285" w:val="left"/>
        </w:tabs>
        <w:numPr>
          <w:ilvl w:val="0"/>
          <w:numId w:val="113"/>
        </w:numPr>
        <w:rPr>
          <w:rFonts w:ascii="Arial" w:cs="Arial" w:eastAsia="Arial" w:hAnsi="Arial"/>
          <w:sz w:val="14"/>
          <w:szCs w:val="14"/>
          <w:color w:val="262626"/>
        </w:rPr>
      </w:pPr>
      <w:r>
        <w:rPr>
          <w:rFonts w:ascii="Arial" w:cs="Arial" w:eastAsia="Arial" w:hAnsi="Arial"/>
          <w:sz w:val="14"/>
          <w:szCs w:val="14"/>
          <w:color w:val="262626"/>
        </w:rPr>
        <w:t>This amount includes an aggregate of 54,723 shares of our common stock of which our current directors and current executive officers have the right to acquire beneficial ownership within 60 days of the Determination Date pursuant to currently vested and exercisable stock options.</w:t>
      </w:r>
    </w:p>
    <w:p>
      <w:pPr>
        <w:spacing w:after="0" w:line="312" w:lineRule="exact"/>
        <w:rPr>
          <w:sz w:val="20"/>
          <w:szCs w:val="20"/>
          <w:color w:val="auto"/>
        </w:rPr>
      </w:pPr>
    </w:p>
    <w:p>
      <w:pPr>
        <w:ind w:left="9352"/>
        <w:spacing w:after="0"/>
        <w:tabs>
          <w:tab w:leader="none" w:pos="10852"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92"/>
          </w:cols>
          <w:pgMar w:left="328" w:top="1440" w:right="479" w:bottom="1440" w:gutter="0" w:footer="0" w:header="0"/>
        </w:sectPr>
      </w:pPr>
    </w:p>
    <w:bookmarkStart w:id="91" w:name="page92"/>
    <w:bookmarkEnd w:id="91"/>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CERTAIN RELATIONSHIPS AND RELATED PERSON TRANSACTIONS</w:t>
      </w:r>
    </w:p>
    <w:p>
      <w:pPr>
        <w:sectPr>
          <w:pgSz w:w="11900" w:h="16838" w:orient="portrait"/>
          <w:cols w:equalWidth="0" w:num="1">
            <w:col w:w="11220"/>
          </w:cols>
          <w:pgMar w:left="320" w:top="1440" w:right="35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Review and Approval of Related Party Transactions</w:t>
      </w:r>
    </w:p>
    <w:p>
      <w:pPr>
        <w:spacing w:after="0" w:line="2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review all relationships and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if the amount involved does not equal or exceed $120,000, our General Counsel will approve or disapprove the transaction. If our General Counsel determines that the transaction involves a related party transaction and if the amount involved equals or exceeds $120,000, our General Counsel will refer the transaction to our Audit Committee for consideration. In the course of reviewing, approving or ratifying a disclosable related party transaction, our General Counsel and Audit Committee considers all factors it considers appropriate, including but not limited to the factors in the box to the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color w:val="FF6503"/>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-281940</wp:posOffset>
            </wp:positionV>
            <wp:extent cx="17145" cy="23145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2314575"/>
                    </a:xfrm>
                    <a:prstGeom prst="rect">
                      <a:avLst/>
                    </a:prstGeom>
                    <a:noFill/>
                  </pic:spPr>
                </pic:pic>
              </a:graphicData>
            </a:graphic>
          </wp:anchor>
        </w:drawing>
      </w:r>
    </w:p>
    <w:p>
      <w:pPr>
        <w:spacing w:after="0" w:line="142" w:lineRule="exact"/>
        <w:rPr>
          <w:sz w:val="20"/>
          <w:szCs w:val="20"/>
          <w:color w:val="auto"/>
        </w:rPr>
      </w:pPr>
    </w:p>
    <w:p>
      <w:pPr>
        <w:ind w:left="480" w:hanging="311"/>
        <w:spacing w:after="0"/>
        <w:tabs>
          <w:tab w:leader="none" w:pos="480" w:val="left"/>
        </w:tabs>
        <w:numPr>
          <w:ilvl w:val="0"/>
          <w:numId w:val="114"/>
        </w:numPr>
        <w:rPr>
          <w:rFonts w:ascii="Arial" w:cs="Arial" w:eastAsia="Arial" w:hAnsi="Arial"/>
          <w:sz w:val="18"/>
          <w:szCs w:val="18"/>
          <w:color w:val="FF6503"/>
        </w:rPr>
      </w:pPr>
      <w:r>
        <w:rPr>
          <w:rFonts w:ascii="Arial" w:cs="Arial" w:eastAsia="Arial" w:hAnsi="Arial"/>
          <w:sz w:val="18"/>
          <w:szCs w:val="18"/>
          <w:color w:val="262626"/>
        </w:rPr>
        <w:t>The nature of the related party transaction</w:t>
      </w:r>
    </w:p>
    <w:p>
      <w:pPr>
        <w:spacing w:after="0" w:line="198" w:lineRule="exact"/>
        <w:rPr>
          <w:rFonts w:ascii="Arial" w:cs="Arial" w:eastAsia="Arial" w:hAnsi="Arial"/>
          <w:sz w:val="18"/>
          <w:szCs w:val="18"/>
          <w:color w:val="FF6503"/>
        </w:rPr>
      </w:pPr>
    </w:p>
    <w:p>
      <w:pPr>
        <w:ind w:left="480" w:hanging="311"/>
        <w:spacing w:after="0"/>
        <w:tabs>
          <w:tab w:leader="none" w:pos="480" w:val="left"/>
        </w:tabs>
        <w:numPr>
          <w:ilvl w:val="0"/>
          <w:numId w:val="114"/>
        </w:numPr>
        <w:rPr>
          <w:rFonts w:ascii="Arial" w:cs="Arial" w:eastAsia="Arial" w:hAnsi="Arial"/>
          <w:sz w:val="18"/>
          <w:szCs w:val="18"/>
          <w:color w:val="FF6503"/>
        </w:rPr>
      </w:pPr>
      <w:r>
        <w:rPr>
          <w:rFonts w:ascii="Arial" w:cs="Arial" w:eastAsia="Arial" w:hAnsi="Arial"/>
          <w:sz w:val="18"/>
          <w:szCs w:val="18"/>
          <w:color w:val="262626"/>
        </w:rPr>
        <w:t>The related party’s interest in the transaction</w:t>
      </w:r>
    </w:p>
    <w:p>
      <w:pPr>
        <w:spacing w:after="0" w:line="198" w:lineRule="exact"/>
        <w:rPr>
          <w:rFonts w:ascii="Arial" w:cs="Arial" w:eastAsia="Arial" w:hAnsi="Arial"/>
          <w:sz w:val="18"/>
          <w:szCs w:val="18"/>
          <w:color w:val="FF6503"/>
        </w:rPr>
      </w:pPr>
    </w:p>
    <w:p>
      <w:pPr>
        <w:ind w:left="500" w:right="60" w:hanging="331"/>
        <w:spacing w:after="0" w:line="274" w:lineRule="auto"/>
        <w:tabs>
          <w:tab w:leader="none" w:pos="486" w:val="left"/>
        </w:tabs>
        <w:numPr>
          <w:ilvl w:val="0"/>
          <w:numId w:val="114"/>
        </w:numPr>
        <w:rPr>
          <w:rFonts w:ascii="Arial" w:cs="Arial" w:eastAsia="Arial" w:hAnsi="Arial"/>
          <w:sz w:val="17"/>
          <w:szCs w:val="17"/>
          <w:color w:val="FF6503"/>
        </w:rPr>
      </w:pPr>
      <w:r>
        <w:rPr>
          <w:rFonts w:ascii="Arial" w:cs="Arial" w:eastAsia="Arial" w:hAnsi="Arial"/>
          <w:sz w:val="17"/>
          <w:szCs w:val="17"/>
          <w:color w:val="262626"/>
        </w:rPr>
        <w:t>The material terms of the transaction, including the amount involved and type of transaction</w:t>
      </w:r>
    </w:p>
    <w:p>
      <w:pPr>
        <w:spacing w:after="0" w:line="161" w:lineRule="exact"/>
        <w:rPr>
          <w:rFonts w:ascii="Arial" w:cs="Arial" w:eastAsia="Arial" w:hAnsi="Arial"/>
          <w:sz w:val="17"/>
          <w:szCs w:val="17"/>
          <w:color w:val="FF6503"/>
        </w:rPr>
      </w:pPr>
    </w:p>
    <w:p>
      <w:pPr>
        <w:ind w:left="500" w:right="140" w:hanging="331"/>
        <w:spacing w:after="0" w:line="246" w:lineRule="auto"/>
        <w:tabs>
          <w:tab w:leader="none" w:pos="486" w:val="left"/>
        </w:tabs>
        <w:numPr>
          <w:ilvl w:val="0"/>
          <w:numId w:val="114"/>
        </w:numPr>
        <w:rPr>
          <w:rFonts w:ascii="Arial" w:cs="Arial" w:eastAsia="Arial" w:hAnsi="Arial"/>
          <w:sz w:val="18"/>
          <w:szCs w:val="18"/>
          <w:color w:val="FF6503"/>
        </w:rPr>
      </w:pPr>
      <w:r>
        <w:rPr>
          <w:rFonts w:ascii="Arial" w:cs="Arial" w:eastAsia="Arial" w:hAnsi="Arial"/>
          <w:sz w:val="18"/>
          <w:szCs w:val="18"/>
          <w:color w:val="262626"/>
        </w:rPr>
        <w:t>The importance of the transaction to us and to the related party</w:t>
      </w:r>
    </w:p>
    <w:p>
      <w:pPr>
        <w:spacing w:after="0" w:line="183" w:lineRule="exact"/>
        <w:rPr>
          <w:rFonts w:ascii="Arial" w:cs="Arial" w:eastAsia="Arial" w:hAnsi="Arial"/>
          <w:sz w:val="18"/>
          <w:szCs w:val="18"/>
          <w:color w:val="FF6503"/>
        </w:rPr>
      </w:pPr>
    </w:p>
    <w:p>
      <w:pPr>
        <w:ind w:left="500" w:hanging="331"/>
        <w:spacing w:after="0"/>
        <w:tabs>
          <w:tab w:leader="none" w:pos="489" w:val="left"/>
        </w:tabs>
        <w:numPr>
          <w:ilvl w:val="0"/>
          <w:numId w:val="114"/>
        </w:numPr>
        <w:rPr>
          <w:rFonts w:ascii="Arial" w:cs="Arial" w:eastAsia="Arial" w:hAnsi="Arial"/>
          <w:sz w:val="18"/>
          <w:szCs w:val="18"/>
          <w:color w:val="FF6503"/>
        </w:rPr>
      </w:pPr>
      <w:r>
        <w:rPr>
          <w:rFonts w:ascii="Arial" w:cs="Arial" w:eastAsia="Arial" w:hAnsi="Arial"/>
          <w:sz w:val="18"/>
          <w:szCs w:val="18"/>
          <w:color w:val="262626"/>
        </w:rPr>
        <w:t>Whether the transaction would impair the judgment of a director or executive officer to act in our best interest</w:t>
      </w:r>
    </w:p>
    <w:p>
      <w:pPr>
        <w:spacing w:after="0" w:line="562" w:lineRule="exact"/>
        <w:rPr>
          <w:sz w:val="20"/>
          <w:szCs w:val="20"/>
          <w:color w:val="auto"/>
        </w:rPr>
      </w:pPr>
    </w:p>
    <w:p>
      <w:pPr>
        <w:sectPr>
          <w:pgSz w:w="11900" w:h="16838" w:orient="portrait"/>
          <w:cols w:equalWidth="0" w:num="2">
            <w:col w:w="6540" w:space="400"/>
            <w:col w:w="4280"/>
          </w:cols>
          <w:pgMar w:left="320" w:top="1440" w:right="359" w:bottom="1440" w:gutter="0" w:footer="0" w:header="0"/>
          <w:type w:val="continuous"/>
        </w:sectPr>
      </w:pPr>
    </w:p>
    <w:p>
      <w:pPr>
        <w:spacing w:after="0"/>
        <w:rPr>
          <w:sz w:val="20"/>
          <w:szCs w:val="20"/>
          <w:color w:val="auto"/>
        </w:rPr>
      </w:pPr>
      <w:r>
        <w:rPr>
          <w:rFonts w:ascii="Arial" w:cs="Arial" w:eastAsia="Arial" w:hAnsi="Arial"/>
          <w:sz w:val="22"/>
          <w:szCs w:val="22"/>
          <w:b w:val="1"/>
          <w:bCs w:val="1"/>
          <w:color w:val="0093FF"/>
        </w:rPr>
        <w:t>Related Party Transactions</w:t>
      </w:r>
    </w:p>
    <w:p>
      <w:pPr>
        <w:spacing w:after="0" w:line="22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262626"/>
        </w:rPr>
        <w:t>As required under SEC rules, transactions that are determined to be directly or indirectly material to us or a related person and which involve amounts exceeding $120,000 in the previous fiscal year are disclosed in our proxy statement.</w:t>
      </w:r>
    </w:p>
    <w:p>
      <w:pPr>
        <w:spacing w:after="0" w:line="18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262626"/>
        </w:rPr>
        <w:t>On October 1, 2018, the Company entered into the Investment Agreement with the Orogen Echo LLC, an affiliate of The Orogen Group LLC (the “Purchaser”). One of the Company’s directors, Vikram Pandit, is the Chairman and Chief Executive Officer of The Orogen Group LLC. Under the terms of the Investment Agreement, the Company issued to the Purchaser $150,000,000 in aggregate principal amount of 3.50% Convertible Senior Notes due October 1, 2024. In addition, we appointed Mr. Pandit, a nominee of the Purchaser, to our board of directors pursuant to the Investment Agreement. After considering the facts and circumstances regarding the relationship, the Board has determined that the Investment Agreement does not impair Mr. Pandit’s independence under applicable Nasdaq standards and federal securities laws.</w:t>
      </w:r>
    </w:p>
    <w:p>
      <w:pPr>
        <w:spacing w:after="0" w:line="328"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2" w:name="page93"/>
    <w:bookmarkEnd w:id="92"/>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AUDIT COMMITTEE REPORT</w:t>
      </w:r>
    </w:p>
    <w:p>
      <w:pPr>
        <w:spacing w:after="0" w:line="248"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262626"/>
        </w:rPr>
        <w:t>The Audit Committee of the board of directors of ExlService Holdings, Inc. assists our board of directors in fulfilling its oversight responsibilities with respect to the following:</w:t>
      </w:r>
    </w:p>
    <w:p>
      <w:pPr>
        <w:spacing w:after="0" w:line="183" w:lineRule="exact"/>
        <w:rPr>
          <w:sz w:val="20"/>
          <w:szCs w:val="20"/>
          <w:color w:val="auto"/>
        </w:rPr>
      </w:pPr>
    </w:p>
    <w:p>
      <w:pPr>
        <w:ind w:left="660" w:right="180" w:hanging="328"/>
        <w:spacing w:after="0" w:line="246" w:lineRule="auto"/>
        <w:tabs>
          <w:tab w:leader="none" w:pos="660" w:val="left"/>
        </w:tabs>
        <w:numPr>
          <w:ilvl w:val="0"/>
          <w:numId w:val="115"/>
        </w:numPr>
        <w:rPr>
          <w:rFonts w:ascii="Arial" w:cs="Arial" w:eastAsia="Arial" w:hAnsi="Arial"/>
          <w:sz w:val="18"/>
          <w:szCs w:val="18"/>
          <w:color w:val="FF6503"/>
        </w:rPr>
      </w:pPr>
      <w:r>
        <w:rPr>
          <w:rFonts w:ascii="Arial" w:cs="Arial" w:eastAsia="Arial" w:hAnsi="Arial"/>
          <w:sz w:val="18"/>
          <w:szCs w:val="18"/>
          <w:color w:val="262626"/>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FF6503"/>
        </w:rPr>
      </w:pPr>
    </w:p>
    <w:p>
      <w:pPr>
        <w:ind w:left="660" w:hanging="328"/>
        <w:spacing w:after="0"/>
        <w:tabs>
          <w:tab w:leader="none" w:pos="660" w:val="left"/>
        </w:tabs>
        <w:numPr>
          <w:ilvl w:val="0"/>
          <w:numId w:val="115"/>
        </w:numPr>
        <w:rPr>
          <w:rFonts w:ascii="Arial" w:cs="Arial" w:eastAsia="Arial" w:hAnsi="Arial"/>
          <w:sz w:val="18"/>
          <w:szCs w:val="18"/>
          <w:color w:val="FF6503"/>
        </w:rPr>
      </w:pPr>
      <w:r>
        <w:rPr>
          <w:rFonts w:ascii="Arial" w:cs="Arial" w:eastAsia="Arial" w:hAnsi="Arial"/>
          <w:sz w:val="18"/>
          <w:szCs w:val="18"/>
          <w:color w:val="262626"/>
        </w:rPr>
        <w:t>our compliance with legal and regulatory requirements;</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15"/>
        </w:numPr>
        <w:rPr>
          <w:rFonts w:ascii="Arial" w:cs="Arial" w:eastAsia="Arial" w:hAnsi="Arial"/>
          <w:sz w:val="18"/>
          <w:szCs w:val="18"/>
          <w:color w:val="FF6503"/>
        </w:rPr>
      </w:pPr>
      <w:r>
        <w:rPr>
          <w:rFonts w:ascii="Arial" w:cs="Arial" w:eastAsia="Arial" w:hAnsi="Arial"/>
          <w:sz w:val="18"/>
          <w:szCs w:val="18"/>
          <w:color w:val="262626"/>
        </w:rPr>
        <w:t>our registered independent public accounting firm’s qualifications and independence;</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15"/>
        </w:numPr>
        <w:rPr>
          <w:rFonts w:ascii="Arial" w:cs="Arial" w:eastAsia="Arial" w:hAnsi="Arial"/>
          <w:sz w:val="18"/>
          <w:szCs w:val="18"/>
          <w:color w:val="FF6503"/>
        </w:rPr>
      </w:pPr>
      <w:r>
        <w:rPr>
          <w:rFonts w:ascii="Arial" w:cs="Arial" w:eastAsia="Arial" w:hAnsi="Arial"/>
          <w:sz w:val="18"/>
          <w:szCs w:val="18"/>
          <w:color w:val="262626"/>
        </w:rPr>
        <w:t>the audit of our financial statements; and</w:t>
      </w:r>
    </w:p>
    <w:p>
      <w:pPr>
        <w:spacing w:after="0" w:line="198" w:lineRule="exact"/>
        <w:rPr>
          <w:rFonts w:ascii="Arial" w:cs="Arial" w:eastAsia="Arial" w:hAnsi="Arial"/>
          <w:sz w:val="18"/>
          <w:szCs w:val="18"/>
          <w:color w:val="FF6503"/>
        </w:rPr>
      </w:pPr>
    </w:p>
    <w:p>
      <w:pPr>
        <w:ind w:left="660" w:hanging="328"/>
        <w:spacing w:after="0"/>
        <w:tabs>
          <w:tab w:leader="none" w:pos="660" w:val="left"/>
        </w:tabs>
        <w:numPr>
          <w:ilvl w:val="0"/>
          <w:numId w:val="115"/>
        </w:numPr>
        <w:rPr>
          <w:rFonts w:ascii="Arial" w:cs="Arial" w:eastAsia="Arial" w:hAnsi="Arial"/>
          <w:sz w:val="18"/>
          <w:szCs w:val="18"/>
          <w:color w:val="FF6503"/>
        </w:rPr>
      </w:pPr>
      <w:r>
        <w:rPr>
          <w:rFonts w:ascii="Arial" w:cs="Arial" w:eastAsia="Arial" w:hAnsi="Arial"/>
          <w:sz w:val="18"/>
          <w:szCs w:val="18"/>
          <w:color w:val="262626"/>
        </w:rPr>
        <w:t>the performance of our internal audit function and independent registered public accounting firm.</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In connection with these responsibilities, the Audit Committee met with management and Deloitte &amp; Touche LLP to review and discuss the December 31, 2019 audited consolidated financial statements. The Audit Committee also discussed with Deloitte &amp; Touche LLP the matters required to be discussed by the applicable requirements of the Public Company Accounting Oversight Board and the SEC. The Audit Committee also received written disclosures and the letter from Deloitte &amp; Touche LLP required by Rule 3526 of the Public Company Accounting Oversight Board (Communications with Audit Committees Concerning Independence), and the Audit Committee discussed with Deloitte &amp; Touche LLP the firm’s independence.</w:t>
      </w:r>
    </w:p>
    <w:p>
      <w:pPr>
        <w:spacing w:after="0" w:line="19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262626"/>
        </w:rPr>
        <w:t>Based on the review and discussions referred to above, the Audit Committee approved the inclusion of the audited financial statements in the Company’s Annual Report on Form 10-K for the fiscal year ended December 31, 2019.</w:t>
      </w:r>
    </w:p>
    <w:p>
      <w:pPr>
        <w:spacing w:after="0" w:line="237"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AUDIT COMMITTEE</w:t>
      </w:r>
    </w:p>
    <w:p>
      <w:pPr>
        <w:spacing w:after="0" w:line="198"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Mr. Clyde W. Ostler (Chairman)</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Mr. David B. Kelso</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Mr. Vikram Pandit</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Mr. Nitin Sahney</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Ms. Jaynie Studenmund</w:t>
      </w:r>
    </w:p>
    <w:p>
      <w:pPr>
        <w:spacing w:after="0" w:line="33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3" w:name="page94"/>
    <w:bookmarkEnd w:id="93"/>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PROPOSAL 1 — ELECTION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The Nominees</w:t>
      </w:r>
    </w:p>
    <w:p>
      <w:pPr>
        <w:spacing w:after="0" w:line="2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262626"/>
        </w:rPr>
        <w:t>Our Nominating and Governance Committee has nominated, and our board of directors has designated, Mses. Minto and Studenmund and Messrs. Kapoor, Kelso, Mittal and Ostler to stand for election as directors at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Term of Office</w:t>
      </w:r>
    </w:p>
    <w:p>
      <w:pPr>
        <w:spacing w:after="0" w:line="22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262626"/>
        </w:rPr>
        <w:t>Effective at the 2019 Annual Meeting of Stockholders, the classification of the Board of Directors began to be phased out, such that (i) at the 2019 Annual Meeting of Stockholders, each of the directors formerly in Class I were elected to hold office for a term of one year, (ii) at the Annual Meeting, each of the Directors in former Class I and in Class II will be elected to hold office for a term of one year, and (iii) at the 2021 Annual Meeting of Stockholders, each of the Directors in former Class I, former Class II and Class III will be elected to hold office for a term of one year, and thereafter the classification of the Board of Directors will terminate in its entirety. Thus, if elected, each of the director nominees will serve a term of one year on our board of directors, until our 2021 Annual Meeting of Stockholders or until their successors are duly elected and qualified in accordance with our by-laws.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Voting Instructions and Substitutes</w:t>
      </w:r>
    </w:p>
    <w:p>
      <w:pPr>
        <w:spacing w:after="0" w:line="22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62626"/>
        </w:rPr>
        <w:t>The proxies given to the proxy holders will be voted or not voted as directed and, if no direction is given, will be voted FOR these six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General Information about Nominees</w:t>
      </w:r>
    </w:p>
    <w:p>
      <w:pPr>
        <w:spacing w:after="0" w:line="22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262626"/>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160" w:type="dxa"/>
            <w:vAlign w:val="bottom"/>
            <w:tcBorders>
              <w:left w:val="single" w:sz="8" w:color="C3E6FF"/>
            </w:tcBorders>
            <w:shd w:val="clear" w:color="auto" w:fill="0093FF"/>
          </w:tcPr>
          <w:p>
            <w:pPr>
              <w:ind w:left="120"/>
              <w:spacing w:after="0"/>
              <w:rPr>
                <w:sz w:val="20"/>
                <w:szCs w:val="20"/>
                <w:color w:val="auto"/>
              </w:rPr>
            </w:pPr>
            <w:r>
              <w:rPr>
                <w:rFonts w:ascii="Arial" w:cs="Arial" w:eastAsia="Arial" w:hAnsi="Arial"/>
                <w:sz w:val="18"/>
                <w:szCs w:val="18"/>
                <w:b w:val="1"/>
                <w:bCs w:val="1"/>
                <w:color w:val="FFFFFF"/>
              </w:rPr>
              <w:t>Name</w:t>
            </w:r>
          </w:p>
        </w:tc>
        <w:tc>
          <w:tcPr>
            <w:tcW w:w="800" w:type="dxa"/>
            <w:vAlign w:val="bottom"/>
            <w:shd w:val="clear" w:color="auto" w:fill="0093FF"/>
          </w:tcPr>
          <w:p>
            <w:pPr>
              <w:ind w:left="340"/>
              <w:spacing w:after="0"/>
              <w:rPr>
                <w:sz w:val="20"/>
                <w:szCs w:val="20"/>
                <w:color w:val="auto"/>
              </w:rPr>
            </w:pPr>
            <w:r>
              <w:rPr>
                <w:rFonts w:ascii="Arial" w:cs="Arial" w:eastAsia="Arial" w:hAnsi="Arial"/>
                <w:sz w:val="18"/>
                <w:szCs w:val="18"/>
                <w:b w:val="1"/>
                <w:bCs w:val="1"/>
                <w:color w:val="FFFFFF"/>
              </w:rPr>
              <w:t>Age</w:t>
            </w:r>
          </w:p>
        </w:tc>
        <w:tc>
          <w:tcPr>
            <w:tcW w:w="1840" w:type="dxa"/>
            <w:vAlign w:val="bottom"/>
            <w:shd w:val="clear" w:color="auto" w:fill="0093FF"/>
          </w:tcPr>
          <w:p>
            <w:pPr>
              <w:ind w:left="120"/>
              <w:spacing w:after="0"/>
              <w:rPr>
                <w:sz w:val="20"/>
                <w:szCs w:val="20"/>
                <w:color w:val="auto"/>
              </w:rPr>
            </w:pPr>
            <w:r>
              <w:rPr>
                <w:rFonts w:ascii="Arial" w:cs="Arial" w:eastAsia="Arial" w:hAnsi="Arial"/>
                <w:sz w:val="18"/>
                <w:szCs w:val="18"/>
                <w:b w:val="1"/>
                <w:bCs w:val="1"/>
                <w:color w:val="FFFFFF"/>
              </w:rPr>
              <w:t>Director Since</w:t>
            </w:r>
          </w:p>
        </w:tc>
        <w:tc>
          <w:tcPr>
            <w:tcW w:w="1700" w:type="dxa"/>
            <w:vAlign w:val="bottom"/>
            <w:shd w:val="clear" w:color="auto" w:fill="0093FF"/>
          </w:tcPr>
          <w:p>
            <w:pPr>
              <w:ind w:left="400"/>
              <w:spacing w:after="0"/>
              <w:rPr>
                <w:sz w:val="20"/>
                <w:szCs w:val="20"/>
                <w:color w:val="auto"/>
              </w:rPr>
            </w:pPr>
            <w:r>
              <w:rPr>
                <w:rFonts w:ascii="Arial" w:cs="Arial" w:eastAsia="Arial" w:hAnsi="Arial"/>
                <w:sz w:val="18"/>
                <w:szCs w:val="18"/>
                <w:b w:val="1"/>
                <w:bCs w:val="1"/>
                <w:color w:val="FFFFFF"/>
              </w:rPr>
              <w:t>Independent</w:t>
            </w:r>
          </w:p>
        </w:tc>
        <w:tc>
          <w:tcPr>
            <w:tcW w:w="4740" w:type="dxa"/>
            <w:vAlign w:val="bottom"/>
            <w:tcBorders>
              <w:right w:val="single" w:sz="8" w:color="C3E6FF"/>
            </w:tcBorders>
            <w:shd w:val="clear" w:color="auto" w:fill="0093FF"/>
          </w:tcPr>
          <w:p>
            <w:pPr>
              <w:ind w:left="260"/>
              <w:spacing w:after="0"/>
              <w:rPr>
                <w:sz w:val="20"/>
                <w:szCs w:val="20"/>
                <w:color w:val="auto"/>
              </w:rPr>
            </w:pPr>
            <w:r>
              <w:rPr>
                <w:rFonts w:ascii="Arial" w:cs="Arial" w:eastAsia="Arial" w:hAnsi="Arial"/>
                <w:sz w:val="18"/>
                <w:szCs w:val="18"/>
                <w:b w:val="1"/>
                <w:bCs w:val="1"/>
                <w:color w:val="FFFFFF"/>
              </w:rPr>
              <w:t>Committee Membership</w:t>
            </w:r>
          </w:p>
        </w:tc>
        <w:tc>
          <w:tcPr>
            <w:tcW w:w="0" w:type="dxa"/>
            <w:vAlign w:val="bottom"/>
          </w:tcPr>
          <w:p>
            <w:pPr>
              <w:spacing w:after="0"/>
              <w:rPr>
                <w:sz w:val="1"/>
                <w:szCs w:val="1"/>
                <w:color w:val="auto"/>
              </w:rPr>
            </w:pPr>
          </w:p>
        </w:tc>
      </w:tr>
      <w:tr>
        <w:trPr>
          <w:trHeight w:val="95"/>
        </w:trPr>
        <w:tc>
          <w:tcPr>
            <w:tcW w:w="2160" w:type="dxa"/>
            <w:vAlign w:val="bottom"/>
            <w:tcBorders>
              <w:left w:val="single" w:sz="8" w:color="C3E6FF"/>
            </w:tcBorders>
            <w:shd w:val="clear" w:color="auto" w:fill="0093FF"/>
          </w:tcPr>
          <w:p>
            <w:pPr>
              <w:spacing w:after="0"/>
              <w:rPr>
                <w:sz w:val="8"/>
                <w:szCs w:val="8"/>
                <w:color w:val="auto"/>
              </w:rPr>
            </w:pPr>
          </w:p>
        </w:tc>
        <w:tc>
          <w:tcPr>
            <w:tcW w:w="800" w:type="dxa"/>
            <w:vAlign w:val="bottom"/>
            <w:shd w:val="clear" w:color="auto" w:fill="0093FF"/>
          </w:tcPr>
          <w:p>
            <w:pPr>
              <w:spacing w:after="0"/>
              <w:rPr>
                <w:sz w:val="8"/>
                <w:szCs w:val="8"/>
                <w:color w:val="auto"/>
              </w:rPr>
            </w:pPr>
          </w:p>
        </w:tc>
        <w:tc>
          <w:tcPr>
            <w:tcW w:w="1840" w:type="dxa"/>
            <w:vAlign w:val="bottom"/>
            <w:shd w:val="clear" w:color="auto" w:fill="0093FF"/>
          </w:tcPr>
          <w:p>
            <w:pPr>
              <w:spacing w:after="0"/>
              <w:rPr>
                <w:sz w:val="8"/>
                <w:szCs w:val="8"/>
                <w:color w:val="auto"/>
              </w:rPr>
            </w:pPr>
          </w:p>
        </w:tc>
        <w:tc>
          <w:tcPr>
            <w:tcW w:w="1700" w:type="dxa"/>
            <w:vAlign w:val="bottom"/>
            <w:shd w:val="clear" w:color="auto" w:fill="0093FF"/>
          </w:tcPr>
          <w:p>
            <w:pPr>
              <w:spacing w:after="0"/>
              <w:rPr>
                <w:sz w:val="8"/>
                <w:szCs w:val="8"/>
                <w:color w:val="auto"/>
              </w:rPr>
            </w:pPr>
          </w:p>
        </w:tc>
        <w:tc>
          <w:tcPr>
            <w:tcW w:w="4740" w:type="dxa"/>
            <w:vAlign w:val="bottom"/>
            <w:tcBorders>
              <w:right w:val="single" w:sz="8" w:color="C3E6FF"/>
            </w:tcBorders>
            <w:shd w:val="clear" w:color="auto" w:fill="0093FF"/>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16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Rohit Kapoor, Vice</w:t>
            </w:r>
          </w:p>
        </w:tc>
        <w:tc>
          <w:tcPr>
            <w:tcW w:w="800" w:type="dxa"/>
            <w:vAlign w:val="bottom"/>
            <w:shd w:val="clear" w:color="auto" w:fill="F3F9FF"/>
          </w:tcPr>
          <w:p>
            <w:pPr>
              <w:ind w:left="340"/>
              <w:spacing w:after="0"/>
              <w:rPr>
                <w:sz w:val="20"/>
                <w:szCs w:val="20"/>
                <w:color w:val="auto"/>
              </w:rPr>
            </w:pPr>
            <w:r>
              <w:rPr>
                <w:rFonts w:ascii="Arial" w:cs="Arial" w:eastAsia="Arial" w:hAnsi="Arial"/>
                <w:sz w:val="18"/>
                <w:szCs w:val="18"/>
                <w:color w:val="auto"/>
              </w:rPr>
              <w:t>55</w:t>
            </w:r>
          </w:p>
        </w:tc>
        <w:tc>
          <w:tcPr>
            <w:tcW w:w="1840" w:type="dxa"/>
            <w:vAlign w:val="bottom"/>
            <w:shd w:val="clear" w:color="auto" w:fill="F3F9FF"/>
          </w:tcPr>
          <w:p>
            <w:pPr>
              <w:ind w:left="120"/>
              <w:spacing w:after="0"/>
              <w:rPr>
                <w:sz w:val="20"/>
                <w:szCs w:val="20"/>
                <w:color w:val="auto"/>
              </w:rPr>
            </w:pPr>
            <w:r>
              <w:rPr>
                <w:rFonts w:ascii="Arial" w:cs="Arial" w:eastAsia="Arial" w:hAnsi="Arial"/>
                <w:sz w:val="18"/>
                <w:szCs w:val="18"/>
                <w:color w:val="auto"/>
              </w:rPr>
              <w:t>April 2012</w:t>
            </w:r>
          </w:p>
        </w:tc>
        <w:tc>
          <w:tcPr>
            <w:tcW w:w="1700" w:type="dxa"/>
            <w:vAlign w:val="bottom"/>
            <w:shd w:val="clear" w:color="auto" w:fill="F3F9FF"/>
          </w:tcPr>
          <w:p>
            <w:pPr>
              <w:ind w:left="400"/>
              <w:spacing w:after="0"/>
              <w:rPr>
                <w:sz w:val="20"/>
                <w:szCs w:val="20"/>
                <w:color w:val="auto"/>
              </w:rPr>
            </w:pPr>
            <w:r>
              <w:rPr>
                <w:rFonts w:ascii="Arial" w:cs="Arial" w:eastAsia="Arial" w:hAnsi="Arial"/>
                <w:sz w:val="18"/>
                <w:szCs w:val="18"/>
                <w:color w:val="auto"/>
              </w:rPr>
              <w:t>No</w:t>
            </w:r>
          </w:p>
        </w:tc>
        <w:tc>
          <w:tcPr>
            <w:tcW w:w="4740" w:type="dxa"/>
            <w:vAlign w:val="bottom"/>
            <w:tcBorders>
              <w:right w:val="single" w:sz="8" w:color="C3E6FF"/>
            </w:tcBorders>
            <w:shd w:val="clear" w:color="auto" w:fill="F3F9FF"/>
          </w:tcPr>
          <w:p>
            <w:pPr>
              <w:ind w:left="2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9"/>
        </w:trPr>
        <w:tc>
          <w:tcPr>
            <w:tcW w:w="2160" w:type="dxa"/>
            <w:vAlign w:val="bottom"/>
            <w:tcBorders>
              <w:left w:val="single" w:sz="8" w:color="C3E6FF"/>
            </w:tcBorders>
            <w:shd w:val="clear" w:color="auto" w:fill="F3F9FF"/>
          </w:tcPr>
          <w:p>
            <w:pPr>
              <w:ind w:left="120"/>
              <w:spacing w:after="0"/>
              <w:rPr>
                <w:sz w:val="20"/>
                <w:szCs w:val="20"/>
                <w:color w:val="auto"/>
              </w:rPr>
            </w:pPr>
            <w:r>
              <w:rPr>
                <w:rFonts w:ascii="Arial" w:cs="Arial" w:eastAsia="Arial" w:hAnsi="Arial"/>
                <w:sz w:val="18"/>
                <w:szCs w:val="18"/>
                <w:b w:val="1"/>
                <w:bCs w:val="1"/>
                <w:color w:val="auto"/>
              </w:rPr>
              <w:t>Chairman and CEO</w:t>
            </w:r>
          </w:p>
        </w:tc>
        <w:tc>
          <w:tcPr>
            <w:tcW w:w="800" w:type="dxa"/>
            <w:vAlign w:val="bottom"/>
            <w:shd w:val="clear" w:color="auto" w:fill="F3F9FF"/>
          </w:tcPr>
          <w:p>
            <w:pPr>
              <w:spacing w:after="0"/>
              <w:rPr>
                <w:sz w:val="20"/>
                <w:szCs w:val="20"/>
                <w:color w:val="auto"/>
              </w:rPr>
            </w:pPr>
          </w:p>
        </w:tc>
        <w:tc>
          <w:tcPr>
            <w:tcW w:w="1840" w:type="dxa"/>
            <w:vAlign w:val="bottom"/>
            <w:shd w:val="clear" w:color="auto" w:fill="F3F9FF"/>
          </w:tcPr>
          <w:p>
            <w:pPr>
              <w:spacing w:after="0"/>
              <w:rPr>
                <w:sz w:val="20"/>
                <w:szCs w:val="20"/>
                <w:color w:val="auto"/>
              </w:rPr>
            </w:pPr>
          </w:p>
        </w:tc>
        <w:tc>
          <w:tcPr>
            <w:tcW w:w="1700" w:type="dxa"/>
            <w:vAlign w:val="bottom"/>
            <w:shd w:val="clear" w:color="auto" w:fill="F3F9FF"/>
          </w:tcPr>
          <w:p>
            <w:pPr>
              <w:spacing w:after="0"/>
              <w:rPr>
                <w:sz w:val="20"/>
                <w:szCs w:val="20"/>
                <w:color w:val="auto"/>
              </w:rPr>
            </w:pPr>
          </w:p>
        </w:tc>
        <w:tc>
          <w:tcPr>
            <w:tcW w:w="4740" w:type="dxa"/>
            <w:vAlign w:val="bottom"/>
            <w:tcBorders>
              <w:right w:val="single" w:sz="8" w:color="C3E6FF"/>
            </w:tcBorders>
            <w:shd w:val="clear" w:color="auto" w:fill="F3F9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60" w:type="dxa"/>
            <w:vAlign w:val="bottom"/>
            <w:tcBorders>
              <w:left w:val="single" w:sz="8" w:color="C3E6FF"/>
            </w:tcBorders>
            <w:shd w:val="clear" w:color="auto" w:fill="F3F9FF"/>
          </w:tcPr>
          <w:p>
            <w:pPr>
              <w:spacing w:after="0"/>
              <w:rPr>
                <w:sz w:val="16"/>
                <w:szCs w:val="16"/>
                <w:color w:val="auto"/>
              </w:rPr>
            </w:pPr>
          </w:p>
        </w:tc>
        <w:tc>
          <w:tcPr>
            <w:tcW w:w="800" w:type="dxa"/>
            <w:vAlign w:val="bottom"/>
            <w:shd w:val="clear" w:color="auto" w:fill="F3F9FF"/>
          </w:tcPr>
          <w:p>
            <w:pPr>
              <w:spacing w:after="0"/>
              <w:rPr>
                <w:sz w:val="16"/>
                <w:szCs w:val="16"/>
                <w:color w:val="auto"/>
              </w:rPr>
            </w:pPr>
          </w:p>
        </w:tc>
        <w:tc>
          <w:tcPr>
            <w:tcW w:w="1840" w:type="dxa"/>
            <w:vAlign w:val="bottom"/>
            <w:shd w:val="clear" w:color="auto" w:fill="F3F9FF"/>
          </w:tcPr>
          <w:p>
            <w:pPr>
              <w:spacing w:after="0"/>
              <w:rPr>
                <w:sz w:val="16"/>
                <w:szCs w:val="16"/>
                <w:color w:val="auto"/>
              </w:rPr>
            </w:pPr>
          </w:p>
        </w:tc>
        <w:tc>
          <w:tcPr>
            <w:tcW w:w="1700" w:type="dxa"/>
            <w:vAlign w:val="bottom"/>
            <w:shd w:val="clear" w:color="auto" w:fill="F3F9FF"/>
          </w:tcPr>
          <w:p>
            <w:pPr>
              <w:spacing w:after="0"/>
              <w:rPr>
                <w:sz w:val="16"/>
                <w:szCs w:val="16"/>
                <w:color w:val="auto"/>
              </w:rPr>
            </w:pPr>
          </w:p>
        </w:tc>
        <w:tc>
          <w:tcPr>
            <w:tcW w:w="4740" w:type="dxa"/>
            <w:vAlign w:val="bottom"/>
            <w:tcBorders>
              <w:right w:val="single" w:sz="8" w:color="C3E6FF"/>
            </w:tcBorders>
            <w:shd w:val="clear" w:color="auto" w:fill="F3F9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C3E6FF"/>
            </w:tcBorders>
            <w:vMerge w:val="restart"/>
          </w:tcPr>
          <w:p>
            <w:pPr>
              <w:ind w:left="120"/>
              <w:spacing w:after="0"/>
              <w:rPr>
                <w:sz w:val="20"/>
                <w:szCs w:val="20"/>
                <w:color w:val="auto"/>
              </w:rPr>
            </w:pPr>
            <w:r>
              <w:rPr>
                <w:rFonts w:ascii="Arial" w:cs="Arial" w:eastAsia="Arial" w:hAnsi="Arial"/>
                <w:sz w:val="18"/>
                <w:szCs w:val="18"/>
                <w:b w:val="1"/>
                <w:bCs w:val="1"/>
                <w:color w:val="auto"/>
              </w:rPr>
              <w:t>David Kelso</w:t>
            </w:r>
          </w:p>
        </w:tc>
        <w:tc>
          <w:tcPr>
            <w:tcW w:w="800" w:type="dxa"/>
            <w:vAlign w:val="bottom"/>
            <w:vMerge w:val="restart"/>
          </w:tcPr>
          <w:p>
            <w:pPr>
              <w:ind w:left="340"/>
              <w:spacing w:after="0"/>
              <w:rPr>
                <w:sz w:val="20"/>
                <w:szCs w:val="20"/>
                <w:color w:val="auto"/>
              </w:rPr>
            </w:pPr>
            <w:r>
              <w:rPr>
                <w:rFonts w:ascii="Arial" w:cs="Arial" w:eastAsia="Arial" w:hAnsi="Arial"/>
                <w:sz w:val="18"/>
                <w:szCs w:val="18"/>
                <w:color w:val="auto"/>
              </w:rPr>
              <w:t>67</w:t>
            </w:r>
          </w:p>
        </w:tc>
        <w:tc>
          <w:tcPr>
            <w:tcW w:w="1840" w:type="dxa"/>
            <w:vAlign w:val="bottom"/>
            <w:vMerge w:val="restart"/>
          </w:tcPr>
          <w:p>
            <w:pPr>
              <w:ind w:left="120"/>
              <w:spacing w:after="0"/>
              <w:rPr>
                <w:sz w:val="20"/>
                <w:szCs w:val="20"/>
                <w:color w:val="auto"/>
              </w:rPr>
            </w:pPr>
            <w:r>
              <w:rPr>
                <w:rFonts w:ascii="Arial" w:cs="Arial" w:eastAsia="Arial" w:hAnsi="Arial"/>
                <w:sz w:val="18"/>
                <w:szCs w:val="18"/>
                <w:color w:val="auto"/>
              </w:rPr>
              <w:t>July 2006</w:t>
            </w:r>
          </w:p>
        </w:tc>
        <w:tc>
          <w:tcPr>
            <w:tcW w:w="1700" w:type="dxa"/>
            <w:vAlign w:val="bottom"/>
            <w:vMerge w:val="restart"/>
          </w:tcPr>
          <w:p>
            <w:pPr>
              <w:ind w:left="400"/>
              <w:spacing w:after="0"/>
              <w:rPr>
                <w:sz w:val="20"/>
                <w:szCs w:val="20"/>
                <w:color w:val="auto"/>
              </w:rPr>
            </w:pPr>
            <w:r>
              <w:rPr>
                <w:rFonts w:ascii="Arial" w:cs="Arial" w:eastAsia="Arial" w:hAnsi="Arial"/>
                <w:sz w:val="18"/>
                <w:szCs w:val="18"/>
                <w:color w:val="auto"/>
              </w:rPr>
              <w:t>Yes</w:t>
            </w:r>
          </w:p>
        </w:tc>
        <w:tc>
          <w:tcPr>
            <w:tcW w:w="4740" w:type="dxa"/>
            <w:vAlign w:val="bottom"/>
            <w:tcBorders>
              <w:right w:val="single" w:sz="8" w:color="C3E6FF"/>
            </w:tcBorders>
          </w:tcPr>
          <w:p>
            <w:pPr>
              <w:ind w:left="260"/>
              <w:spacing w:after="0" w:line="201" w:lineRule="exact"/>
              <w:rPr>
                <w:sz w:val="20"/>
                <w:szCs w:val="20"/>
                <w:color w:val="auto"/>
              </w:rPr>
            </w:pPr>
            <w:r>
              <w:rPr>
                <w:rFonts w:ascii="Arial" w:cs="Arial" w:eastAsia="Arial" w:hAnsi="Arial"/>
                <w:sz w:val="18"/>
                <w:szCs w:val="18"/>
                <w:color w:val="auto"/>
              </w:rPr>
              <w:t>Nominating and Governance Committee (Chair)</w:t>
            </w:r>
          </w:p>
        </w:tc>
        <w:tc>
          <w:tcPr>
            <w:tcW w:w="0" w:type="dxa"/>
            <w:vAlign w:val="bottom"/>
          </w:tcPr>
          <w:p>
            <w:pPr>
              <w:spacing w:after="0"/>
              <w:rPr>
                <w:sz w:val="1"/>
                <w:szCs w:val="1"/>
                <w:color w:val="auto"/>
              </w:rPr>
            </w:pPr>
          </w:p>
        </w:tc>
      </w:tr>
      <w:tr>
        <w:trPr>
          <w:trHeight w:val="122"/>
        </w:trPr>
        <w:tc>
          <w:tcPr>
            <w:tcW w:w="2160" w:type="dxa"/>
            <w:vAlign w:val="bottom"/>
            <w:tcBorders>
              <w:left w:val="single" w:sz="8" w:color="C3E6FF"/>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4740" w:type="dxa"/>
            <w:vAlign w:val="bottom"/>
            <w:tcBorders>
              <w:right w:val="single" w:sz="8" w:color="C3E6FF"/>
            </w:tcBorders>
            <w:vMerge w:val="restart"/>
          </w:tcPr>
          <w:p>
            <w:pPr>
              <w:ind w:left="260"/>
              <w:spacing w:after="0"/>
              <w:rPr>
                <w:sz w:val="20"/>
                <w:szCs w:val="20"/>
                <w:color w:val="auto"/>
              </w:rPr>
            </w:pPr>
            <w:r>
              <w:rPr>
                <w:rFonts w:ascii="Arial" w:cs="Arial" w:eastAsia="Arial" w:hAnsi="Arial"/>
                <w:sz w:val="18"/>
                <w:szCs w:val="18"/>
                <w:color w:val="auto"/>
              </w:rPr>
              <w:t>Audit Committee</w:t>
            </w:r>
          </w:p>
        </w:tc>
        <w:tc>
          <w:tcPr>
            <w:tcW w:w="0" w:type="dxa"/>
            <w:vAlign w:val="bottom"/>
          </w:tcPr>
          <w:p>
            <w:pPr>
              <w:spacing w:after="0"/>
              <w:rPr>
                <w:sz w:val="1"/>
                <w:szCs w:val="1"/>
                <w:color w:val="auto"/>
              </w:rPr>
            </w:pPr>
          </w:p>
        </w:tc>
      </w:tr>
      <w:tr>
        <w:trPr>
          <w:trHeight w:val="94"/>
        </w:trPr>
        <w:tc>
          <w:tcPr>
            <w:tcW w:w="2160" w:type="dxa"/>
            <w:vAlign w:val="bottom"/>
            <w:tcBorders>
              <w:left w:val="single" w:sz="8" w:color="C3E6FF"/>
            </w:tcBorders>
          </w:tcPr>
          <w:p>
            <w:pPr>
              <w:spacing w:after="0"/>
              <w:rPr>
                <w:sz w:val="8"/>
                <w:szCs w:val="8"/>
                <w:color w:val="auto"/>
              </w:rPr>
            </w:pPr>
          </w:p>
        </w:tc>
        <w:tc>
          <w:tcPr>
            <w:tcW w:w="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740" w:type="dxa"/>
            <w:vAlign w:val="bottom"/>
            <w:tcBorders>
              <w:right w:val="single" w:sz="8" w:color="C3E6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160" w:type="dxa"/>
            <w:vAlign w:val="bottom"/>
            <w:tcBorders>
              <w:left w:val="single" w:sz="8" w:color="C3E6FF"/>
            </w:tcBorders>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740" w:type="dxa"/>
            <w:vAlign w:val="bottom"/>
            <w:tcBorders>
              <w:right w:val="single" w:sz="8" w:color="C3E6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C3E6FF"/>
            </w:tcBorders>
            <w:vMerge w:val="restart"/>
            <w:shd w:val="clear" w:color="auto" w:fill="F3F9FF"/>
          </w:tcPr>
          <w:p>
            <w:pPr>
              <w:ind w:left="120"/>
              <w:spacing w:after="0"/>
              <w:rPr>
                <w:sz w:val="20"/>
                <w:szCs w:val="20"/>
                <w:color w:val="auto"/>
              </w:rPr>
            </w:pPr>
            <w:r>
              <w:rPr>
                <w:rFonts w:ascii="Arial" w:cs="Arial" w:eastAsia="Arial" w:hAnsi="Arial"/>
                <w:sz w:val="18"/>
                <w:szCs w:val="18"/>
                <w:b w:val="1"/>
                <w:bCs w:val="1"/>
                <w:color w:val="auto"/>
              </w:rPr>
              <w:t>Anne Minto</w:t>
            </w:r>
          </w:p>
        </w:tc>
        <w:tc>
          <w:tcPr>
            <w:tcW w:w="800" w:type="dxa"/>
            <w:vAlign w:val="bottom"/>
            <w:vMerge w:val="restart"/>
            <w:shd w:val="clear" w:color="auto" w:fill="F3F9FF"/>
          </w:tcPr>
          <w:p>
            <w:pPr>
              <w:ind w:left="340"/>
              <w:spacing w:after="0"/>
              <w:rPr>
                <w:sz w:val="20"/>
                <w:szCs w:val="20"/>
                <w:color w:val="auto"/>
              </w:rPr>
            </w:pPr>
            <w:r>
              <w:rPr>
                <w:rFonts w:ascii="Arial" w:cs="Arial" w:eastAsia="Arial" w:hAnsi="Arial"/>
                <w:sz w:val="18"/>
                <w:szCs w:val="18"/>
                <w:color w:val="auto"/>
              </w:rPr>
              <w:t>66</w:t>
            </w:r>
          </w:p>
        </w:tc>
        <w:tc>
          <w:tcPr>
            <w:tcW w:w="1840" w:type="dxa"/>
            <w:vAlign w:val="bottom"/>
            <w:vMerge w:val="restart"/>
            <w:shd w:val="clear" w:color="auto" w:fill="F3F9FF"/>
          </w:tcPr>
          <w:p>
            <w:pPr>
              <w:ind w:left="120"/>
              <w:spacing w:after="0"/>
              <w:rPr>
                <w:sz w:val="20"/>
                <w:szCs w:val="20"/>
                <w:color w:val="auto"/>
              </w:rPr>
            </w:pPr>
            <w:r>
              <w:rPr>
                <w:rFonts w:ascii="Arial" w:cs="Arial" w:eastAsia="Arial" w:hAnsi="Arial"/>
                <w:sz w:val="18"/>
                <w:szCs w:val="18"/>
                <w:color w:val="auto"/>
              </w:rPr>
              <w:t>March 2013</w:t>
            </w:r>
          </w:p>
        </w:tc>
        <w:tc>
          <w:tcPr>
            <w:tcW w:w="1700" w:type="dxa"/>
            <w:vAlign w:val="bottom"/>
            <w:vMerge w:val="restart"/>
            <w:shd w:val="clear" w:color="auto" w:fill="F3F9FF"/>
          </w:tcPr>
          <w:p>
            <w:pPr>
              <w:ind w:left="400"/>
              <w:spacing w:after="0"/>
              <w:rPr>
                <w:sz w:val="20"/>
                <w:szCs w:val="20"/>
                <w:color w:val="auto"/>
              </w:rPr>
            </w:pPr>
            <w:r>
              <w:rPr>
                <w:rFonts w:ascii="Arial" w:cs="Arial" w:eastAsia="Arial" w:hAnsi="Arial"/>
                <w:sz w:val="18"/>
                <w:szCs w:val="18"/>
                <w:color w:val="auto"/>
              </w:rPr>
              <w:t>Yes</w:t>
            </w:r>
          </w:p>
        </w:tc>
        <w:tc>
          <w:tcPr>
            <w:tcW w:w="4740" w:type="dxa"/>
            <w:vAlign w:val="bottom"/>
            <w:tcBorders>
              <w:right w:val="single" w:sz="8" w:color="C3E6FF"/>
            </w:tcBorders>
            <w:shd w:val="clear" w:color="auto" w:fill="F3F9FF"/>
          </w:tcPr>
          <w:p>
            <w:pPr>
              <w:ind w:left="260"/>
              <w:spacing w:after="0" w:line="201" w:lineRule="exact"/>
              <w:rPr>
                <w:sz w:val="20"/>
                <w:szCs w:val="20"/>
                <w:color w:val="auto"/>
              </w:rPr>
            </w:pPr>
            <w:r>
              <w:rPr>
                <w:rFonts w:ascii="Arial" w:cs="Arial" w:eastAsia="Arial" w:hAnsi="Arial"/>
                <w:sz w:val="18"/>
                <w:szCs w:val="18"/>
                <w:color w:val="auto"/>
              </w:rPr>
              <w:t>Compensation Committee (Chair)</w:t>
            </w:r>
          </w:p>
        </w:tc>
        <w:tc>
          <w:tcPr>
            <w:tcW w:w="0" w:type="dxa"/>
            <w:vAlign w:val="bottom"/>
          </w:tcPr>
          <w:p>
            <w:pPr>
              <w:spacing w:after="0"/>
              <w:rPr>
                <w:sz w:val="1"/>
                <w:szCs w:val="1"/>
                <w:color w:val="auto"/>
              </w:rPr>
            </w:pPr>
          </w:p>
        </w:tc>
      </w:tr>
      <w:tr>
        <w:trPr>
          <w:trHeight w:val="122"/>
        </w:trPr>
        <w:tc>
          <w:tcPr>
            <w:tcW w:w="2160" w:type="dxa"/>
            <w:vAlign w:val="bottom"/>
            <w:tcBorders>
              <w:left w:val="single" w:sz="8" w:color="C3E6FF"/>
            </w:tcBorders>
            <w:vMerge w:val="continue"/>
            <w:shd w:val="clear" w:color="auto" w:fill="F3F9FF"/>
          </w:tcPr>
          <w:p>
            <w:pPr>
              <w:spacing w:after="0"/>
              <w:rPr>
                <w:sz w:val="10"/>
                <w:szCs w:val="10"/>
                <w:color w:val="auto"/>
              </w:rPr>
            </w:pPr>
          </w:p>
        </w:tc>
        <w:tc>
          <w:tcPr>
            <w:tcW w:w="800" w:type="dxa"/>
            <w:vAlign w:val="bottom"/>
            <w:vMerge w:val="continue"/>
            <w:shd w:val="clear" w:color="auto" w:fill="F3F9FF"/>
          </w:tcPr>
          <w:p>
            <w:pPr>
              <w:spacing w:after="0"/>
              <w:rPr>
                <w:sz w:val="10"/>
                <w:szCs w:val="10"/>
                <w:color w:val="auto"/>
              </w:rPr>
            </w:pPr>
          </w:p>
        </w:tc>
        <w:tc>
          <w:tcPr>
            <w:tcW w:w="1840" w:type="dxa"/>
            <w:vAlign w:val="bottom"/>
            <w:vMerge w:val="continue"/>
            <w:shd w:val="clear" w:color="auto" w:fill="F3F9FF"/>
          </w:tcPr>
          <w:p>
            <w:pPr>
              <w:spacing w:after="0"/>
              <w:rPr>
                <w:sz w:val="10"/>
                <w:szCs w:val="10"/>
                <w:color w:val="auto"/>
              </w:rPr>
            </w:pPr>
          </w:p>
        </w:tc>
        <w:tc>
          <w:tcPr>
            <w:tcW w:w="1700" w:type="dxa"/>
            <w:vAlign w:val="bottom"/>
            <w:vMerge w:val="continue"/>
            <w:shd w:val="clear" w:color="auto" w:fill="F3F9FF"/>
          </w:tcPr>
          <w:p>
            <w:pPr>
              <w:spacing w:after="0"/>
              <w:rPr>
                <w:sz w:val="10"/>
                <w:szCs w:val="10"/>
                <w:color w:val="auto"/>
              </w:rPr>
            </w:pPr>
          </w:p>
        </w:tc>
        <w:tc>
          <w:tcPr>
            <w:tcW w:w="4740" w:type="dxa"/>
            <w:vAlign w:val="bottom"/>
            <w:tcBorders>
              <w:right w:val="single" w:sz="8" w:color="C3E6FF"/>
            </w:tcBorders>
            <w:vMerge w:val="restart"/>
            <w:shd w:val="clear" w:color="auto" w:fill="F3F9FF"/>
          </w:tcPr>
          <w:p>
            <w:pPr>
              <w:ind w:left="260"/>
              <w:spacing w:after="0"/>
              <w:rPr>
                <w:sz w:val="20"/>
                <w:szCs w:val="20"/>
                <w:color w:val="auto"/>
              </w:rPr>
            </w:pPr>
            <w:r>
              <w:rPr>
                <w:rFonts w:ascii="Arial" w:cs="Arial" w:eastAsia="Arial" w:hAnsi="Arial"/>
                <w:sz w:val="18"/>
                <w:szCs w:val="18"/>
                <w:color w:val="auto"/>
              </w:rPr>
              <w:t>Nominating and Governance Committee</w:t>
            </w:r>
          </w:p>
        </w:tc>
        <w:tc>
          <w:tcPr>
            <w:tcW w:w="0" w:type="dxa"/>
            <w:vAlign w:val="bottom"/>
          </w:tcPr>
          <w:p>
            <w:pPr>
              <w:spacing w:after="0"/>
              <w:rPr>
                <w:sz w:val="1"/>
                <w:szCs w:val="1"/>
                <w:color w:val="auto"/>
              </w:rPr>
            </w:pPr>
          </w:p>
        </w:tc>
      </w:tr>
      <w:tr>
        <w:trPr>
          <w:trHeight w:val="95"/>
        </w:trPr>
        <w:tc>
          <w:tcPr>
            <w:tcW w:w="2160" w:type="dxa"/>
            <w:vAlign w:val="bottom"/>
            <w:tcBorders>
              <w:left w:val="single" w:sz="8" w:color="C3E6FF"/>
            </w:tcBorders>
            <w:shd w:val="clear" w:color="auto" w:fill="F3F9FF"/>
          </w:tcPr>
          <w:p>
            <w:pPr>
              <w:spacing w:after="0"/>
              <w:rPr>
                <w:sz w:val="8"/>
                <w:szCs w:val="8"/>
                <w:color w:val="auto"/>
              </w:rPr>
            </w:pPr>
          </w:p>
        </w:tc>
        <w:tc>
          <w:tcPr>
            <w:tcW w:w="800" w:type="dxa"/>
            <w:vAlign w:val="bottom"/>
            <w:shd w:val="clear" w:color="auto" w:fill="F3F9FF"/>
          </w:tcPr>
          <w:p>
            <w:pPr>
              <w:spacing w:after="0"/>
              <w:rPr>
                <w:sz w:val="8"/>
                <w:szCs w:val="8"/>
                <w:color w:val="auto"/>
              </w:rPr>
            </w:pPr>
          </w:p>
        </w:tc>
        <w:tc>
          <w:tcPr>
            <w:tcW w:w="1840" w:type="dxa"/>
            <w:vAlign w:val="bottom"/>
            <w:shd w:val="clear" w:color="auto" w:fill="F3F9FF"/>
          </w:tcPr>
          <w:p>
            <w:pPr>
              <w:spacing w:after="0"/>
              <w:rPr>
                <w:sz w:val="8"/>
                <w:szCs w:val="8"/>
                <w:color w:val="auto"/>
              </w:rPr>
            </w:pPr>
          </w:p>
        </w:tc>
        <w:tc>
          <w:tcPr>
            <w:tcW w:w="1700" w:type="dxa"/>
            <w:vAlign w:val="bottom"/>
            <w:shd w:val="clear" w:color="auto" w:fill="F3F9FF"/>
          </w:tcPr>
          <w:p>
            <w:pPr>
              <w:spacing w:after="0"/>
              <w:rPr>
                <w:sz w:val="8"/>
                <w:szCs w:val="8"/>
                <w:color w:val="auto"/>
              </w:rPr>
            </w:pPr>
          </w:p>
        </w:tc>
        <w:tc>
          <w:tcPr>
            <w:tcW w:w="4740" w:type="dxa"/>
            <w:vAlign w:val="bottom"/>
            <w:tcBorders>
              <w:right w:val="single" w:sz="8" w:color="C3E6FF"/>
            </w:tcBorders>
            <w:vMerge w:val="continue"/>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160" w:type="dxa"/>
            <w:vAlign w:val="bottom"/>
            <w:tcBorders>
              <w:left w:val="single" w:sz="8" w:color="C3E6FF"/>
            </w:tcBorders>
            <w:shd w:val="clear" w:color="auto" w:fill="F3F9FF"/>
          </w:tcPr>
          <w:p>
            <w:pPr>
              <w:spacing w:after="0"/>
              <w:rPr>
                <w:sz w:val="16"/>
                <w:szCs w:val="16"/>
                <w:color w:val="auto"/>
              </w:rPr>
            </w:pPr>
          </w:p>
        </w:tc>
        <w:tc>
          <w:tcPr>
            <w:tcW w:w="800" w:type="dxa"/>
            <w:vAlign w:val="bottom"/>
            <w:shd w:val="clear" w:color="auto" w:fill="F3F9FF"/>
          </w:tcPr>
          <w:p>
            <w:pPr>
              <w:spacing w:after="0"/>
              <w:rPr>
                <w:sz w:val="16"/>
                <w:szCs w:val="16"/>
                <w:color w:val="auto"/>
              </w:rPr>
            </w:pPr>
          </w:p>
        </w:tc>
        <w:tc>
          <w:tcPr>
            <w:tcW w:w="1840" w:type="dxa"/>
            <w:vAlign w:val="bottom"/>
            <w:shd w:val="clear" w:color="auto" w:fill="F3F9FF"/>
          </w:tcPr>
          <w:p>
            <w:pPr>
              <w:spacing w:after="0"/>
              <w:rPr>
                <w:sz w:val="16"/>
                <w:szCs w:val="16"/>
                <w:color w:val="auto"/>
              </w:rPr>
            </w:pPr>
          </w:p>
        </w:tc>
        <w:tc>
          <w:tcPr>
            <w:tcW w:w="1700" w:type="dxa"/>
            <w:vAlign w:val="bottom"/>
            <w:shd w:val="clear" w:color="auto" w:fill="F3F9FF"/>
          </w:tcPr>
          <w:p>
            <w:pPr>
              <w:spacing w:after="0"/>
              <w:rPr>
                <w:sz w:val="16"/>
                <w:szCs w:val="16"/>
                <w:color w:val="auto"/>
              </w:rPr>
            </w:pPr>
          </w:p>
        </w:tc>
        <w:tc>
          <w:tcPr>
            <w:tcW w:w="4740" w:type="dxa"/>
            <w:vAlign w:val="bottom"/>
            <w:tcBorders>
              <w:right w:val="single" w:sz="8" w:color="C3E6FF"/>
            </w:tcBorders>
            <w:shd w:val="clear" w:color="auto" w:fill="F3F9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C3E6FF"/>
            </w:tcBorders>
            <w:vMerge w:val="restart"/>
          </w:tcPr>
          <w:p>
            <w:pPr>
              <w:ind w:left="120"/>
              <w:spacing w:after="0"/>
              <w:rPr>
                <w:sz w:val="20"/>
                <w:szCs w:val="20"/>
                <w:color w:val="auto"/>
              </w:rPr>
            </w:pPr>
            <w:r>
              <w:rPr>
                <w:rFonts w:ascii="Arial" w:cs="Arial" w:eastAsia="Arial" w:hAnsi="Arial"/>
                <w:sz w:val="18"/>
                <w:szCs w:val="18"/>
                <w:b w:val="1"/>
                <w:bCs w:val="1"/>
                <w:color w:val="auto"/>
              </w:rPr>
              <w:t>Som Mittal</w:t>
            </w:r>
          </w:p>
        </w:tc>
        <w:tc>
          <w:tcPr>
            <w:tcW w:w="800" w:type="dxa"/>
            <w:vAlign w:val="bottom"/>
            <w:vMerge w:val="restart"/>
          </w:tcPr>
          <w:p>
            <w:pPr>
              <w:ind w:left="340"/>
              <w:spacing w:after="0"/>
              <w:rPr>
                <w:sz w:val="20"/>
                <w:szCs w:val="20"/>
                <w:color w:val="auto"/>
              </w:rPr>
            </w:pPr>
            <w:r>
              <w:rPr>
                <w:rFonts w:ascii="Arial" w:cs="Arial" w:eastAsia="Arial" w:hAnsi="Arial"/>
                <w:sz w:val="18"/>
                <w:szCs w:val="18"/>
                <w:color w:val="auto"/>
              </w:rPr>
              <w:t>68</w:t>
            </w:r>
          </w:p>
        </w:tc>
        <w:tc>
          <w:tcPr>
            <w:tcW w:w="1840" w:type="dxa"/>
            <w:vAlign w:val="bottom"/>
            <w:vMerge w:val="restart"/>
          </w:tcPr>
          <w:p>
            <w:pPr>
              <w:ind w:left="120"/>
              <w:spacing w:after="0"/>
              <w:rPr>
                <w:sz w:val="20"/>
                <w:szCs w:val="20"/>
                <w:color w:val="auto"/>
              </w:rPr>
            </w:pPr>
            <w:r>
              <w:rPr>
                <w:rFonts w:ascii="Arial" w:cs="Arial" w:eastAsia="Arial" w:hAnsi="Arial"/>
                <w:sz w:val="18"/>
                <w:szCs w:val="18"/>
                <w:color w:val="auto"/>
              </w:rPr>
              <w:t>December 2013</w:t>
            </w:r>
          </w:p>
        </w:tc>
        <w:tc>
          <w:tcPr>
            <w:tcW w:w="1700" w:type="dxa"/>
            <w:vAlign w:val="bottom"/>
            <w:vMerge w:val="restart"/>
          </w:tcPr>
          <w:p>
            <w:pPr>
              <w:ind w:left="400"/>
              <w:spacing w:after="0"/>
              <w:rPr>
                <w:sz w:val="20"/>
                <w:szCs w:val="20"/>
                <w:color w:val="auto"/>
              </w:rPr>
            </w:pPr>
            <w:r>
              <w:rPr>
                <w:rFonts w:ascii="Arial" w:cs="Arial" w:eastAsia="Arial" w:hAnsi="Arial"/>
                <w:sz w:val="18"/>
                <w:szCs w:val="18"/>
                <w:color w:val="auto"/>
              </w:rPr>
              <w:t>Yes</w:t>
            </w:r>
          </w:p>
        </w:tc>
        <w:tc>
          <w:tcPr>
            <w:tcW w:w="4740" w:type="dxa"/>
            <w:vAlign w:val="bottom"/>
            <w:tcBorders>
              <w:right w:val="single" w:sz="8" w:color="C3E6FF"/>
            </w:tcBorders>
          </w:tcPr>
          <w:p>
            <w:pPr>
              <w:ind w:left="260"/>
              <w:spacing w:after="0" w:line="201" w:lineRule="exact"/>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122"/>
        </w:trPr>
        <w:tc>
          <w:tcPr>
            <w:tcW w:w="2160" w:type="dxa"/>
            <w:vAlign w:val="bottom"/>
            <w:tcBorders>
              <w:left w:val="single" w:sz="8" w:color="C3E6FF"/>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4740" w:type="dxa"/>
            <w:vAlign w:val="bottom"/>
            <w:tcBorders>
              <w:right w:val="single" w:sz="8" w:color="C3E6FF"/>
            </w:tcBorders>
            <w:vMerge w:val="restart"/>
          </w:tcPr>
          <w:p>
            <w:pPr>
              <w:ind w:left="260"/>
              <w:spacing w:after="0"/>
              <w:rPr>
                <w:sz w:val="20"/>
                <w:szCs w:val="20"/>
                <w:color w:val="auto"/>
              </w:rPr>
            </w:pPr>
            <w:r>
              <w:rPr>
                <w:rFonts w:ascii="Arial" w:cs="Arial" w:eastAsia="Arial" w:hAnsi="Arial"/>
                <w:sz w:val="18"/>
                <w:szCs w:val="18"/>
                <w:color w:val="auto"/>
              </w:rPr>
              <w:t>Nominating and Governance Committee</w:t>
            </w:r>
          </w:p>
        </w:tc>
        <w:tc>
          <w:tcPr>
            <w:tcW w:w="0" w:type="dxa"/>
            <w:vAlign w:val="bottom"/>
          </w:tcPr>
          <w:p>
            <w:pPr>
              <w:spacing w:after="0"/>
              <w:rPr>
                <w:sz w:val="1"/>
                <w:szCs w:val="1"/>
                <w:color w:val="auto"/>
              </w:rPr>
            </w:pPr>
          </w:p>
        </w:tc>
      </w:tr>
      <w:tr>
        <w:trPr>
          <w:trHeight w:val="95"/>
        </w:trPr>
        <w:tc>
          <w:tcPr>
            <w:tcW w:w="2160" w:type="dxa"/>
            <w:vAlign w:val="bottom"/>
            <w:tcBorders>
              <w:left w:val="single" w:sz="8" w:color="C3E6FF"/>
            </w:tcBorders>
          </w:tcPr>
          <w:p>
            <w:pPr>
              <w:spacing w:after="0"/>
              <w:rPr>
                <w:sz w:val="8"/>
                <w:szCs w:val="8"/>
                <w:color w:val="auto"/>
              </w:rPr>
            </w:pPr>
          </w:p>
        </w:tc>
        <w:tc>
          <w:tcPr>
            <w:tcW w:w="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740" w:type="dxa"/>
            <w:vAlign w:val="bottom"/>
            <w:tcBorders>
              <w:right w:val="single" w:sz="8" w:color="C3E6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160" w:type="dxa"/>
            <w:vAlign w:val="bottom"/>
            <w:tcBorders>
              <w:left w:val="single" w:sz="8" w:color="C3E6FF"/>
            </w:tcBorders>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740" w:type="dxa"/>
            <w:vAlign w:val="bottom"/>
            <w:tcBorders>
              <w:right w:val="single" w:sz="8" w:color="C3E6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C3E6FF"/>
            </w:tcBorders>
            <w:vMerge w:val="restart"/>
            <w:shd w:val="clear" w:color="auto" w:fill="F3F9FF"/>
          </w:tcPr>
          <w:p>
            <w:pPr>
              <w:ind w:left="120"/>
              <w:spacing w:after="0"/>
              <w:rPr>
                <w:sz w:val="20"/>
                <w:szCs w:val="20"/>
                <w:color w:val="auto"/>
              </w:rPr>
            </w:pPr>
            <w:r>
              <w:rPr>
                <w:rFonts w:ascii="Arial" w:cs="Arial" w:eastAsia="Arial" w:hAnsi="Arial"/>
                <w:sz w:val="18"/>
                <w:szCs w:val="18"/>
                <w:b w:val="1"/>
                <w:bCs w:val="1"/>
                <w:color w:val="auto"/>
              </w:rPr>
              <w:t>Clyde Ostler</w:t>
            </w:r>
          </w:p>
        </w:tc>
        <w:tc>
          <w:tcPr>
            <w:tcW w:w="800" w:type="dxa"/>
            <w:vAlign w:val="bottom"/>
            <w:vMerge w:val="restart"/>
            <w:shd w:val="clear" w:color="auto" w:fill="F3F9FF"/>
          </w:tcPr>
          <w:p>
            <w:pPr>
              <w:ind w:left="340"/>
              <w:spacing w:after="0"/>
              <w:rPr>
                <w:sz w:val="20"/>
                <w:szCs w:val="20"/>
                <w:color w:val="auto"/>
              </w:rPr>
            </w:pPr>
            <w:r>
              <w:rPr>
                <w:rFonts w:ascii="Arial" w:cs="Arial" w:eastAsia="Arial" w:hAnsi="Arial"/>
                <w:sz w:val="18"/>
                <w:szCs w:val="18"/>
                <w:color w:val="auto"/>
              </w:rPr>
              <w:t>73</w:t>
            </w:r>
          </w:p>
        </w:tc>
        <w:tc>
          <w:tcPr>
            <w:tcW w:w="1840" w:type="dxa"/>
            <w:vAlign w:val="bottom"/>
            <w:vMerge w:val="restart"/>
            <w:shd w:val="clear" w:color="auto" w:fill="F3F9FF"/>
          </w:tcPr>
          <w:p>
            <w:pPr>
              <w:ind w:left="120"/>
              <w:spacing w:after="0"/>
              <w:rPr>
                <w:sz w:val="20"/>
                <w:szCs w:val="20"/>
                <w:color w:val="auto"/>
              </w:rPr>
            </w:pPr>
            <w:r>
              <w:rPr>
                <w:rFonts w:ascii="Arial" w:cs="Arial" w:eastAsia="Arial" w:hAnsi="Arial"/>
                <w:sz w:val="18"/>
                <w:szCs w:val="18"/>
                <w:color w:val="auto"/>
              </w:rPr>
              <w:t>December 2007</w:t>
            </w:r>
          </w:p>
        </w:tc>
        <w:tc>
          <w:tcPr>
            <w:tcW w:w="1700" w:type="dxa"/>
            <w:vAlign w:val="bottom"/>
            <w:vMerge w:val="restart"/>
            <w:shd w:val="clear" w:color="auto" w:fill="F3F9FF"/>
          </w:tcPr>
          <w:p>
            <w:pPr>
              <w:ind w:left="400"/>
              <w:spacing w:after="0"/>
              <w:rPr>
                <w:sz w:val="20"/>
                <w:szCs w:val="20"/>
                <w:color w:val="auto"/>
              </w:rPr>
            </w:pPr>
            <w:r>
              <w:rPr>
                <w:rFonts w:ascii="Arial" w:cs="Arial" w:eastAsia="Arial" w:hAnsi="Arial"/>
                <w:sz w:val="18"/>
                <w:szCs w:val="18"/>
                <w:color w:val="auto"/>
              </w:rPr>
              <w:t>Yes</w:t>
            </w:r>
          </w:p>
        </w:tc>
        <w:tc>
          <w:tcPr>
            <w:tcW w:w="4740" w:type="dxa"/>
            <w:vAlign w:val="bottom"/>
            <w:tcBorders>
              <w:right w:val="single" w:sz="8" w:color="C3E6FF"/>
            </w:tcBorders>
            <w:shd w:val="clear" w:color="auto" w:fill="F3F9FF"/>
          </w:tcPr>
          <w:p>
            <w:pPr>
              <w:ind w:left="260"/>
              <w:spacing w:after="0" w:line="201" w:lineRule="exact"/>
              <w:rPr>
                <w:sz w:val="20"/>
                <w:szCs w:val="20"/>
                <w:color w:val="auto"/>
              </w:rPr>
            </w:pPr>
            <w:r>
              <w:rPr>
                <w:rFonts w:ascii="Arial" w:cs="Arial" w:eastAsia="Arial" w:hAnsi="Arial"/>
                <w:sz w:val="18"/>
                <w:szCs w:val="18"/>
                <w:color w:val="auto"/>
              </w:rPr>
              <w:t>Audit Committee (Chair)</w:t>
            </w:r>
          </w:p>
        </w:tc>
        <w:tc>
          <w:tcPr>
            <w:tcW w:w="0" w:type="dxa"/>
            <w:vAlign w:val="bottom"/>
          </w:tcPr>
          <w:p>
            <w:pPr>
              <w:spacing w:after="0"/>
              <w:rPr>
                <w:sz w:val="1"/>
                <w:szCs w:val="1"/>
                <w:color w:val="auto"/>
              </w:rPr>
            </w:pPr>
          </w:p>
        </w:tc>
      </w:tr>
      <w:tr>
        <w:trPr>
          <w:trHeight w:val="122"/>
        </w:trPr>
        <w:tc>
          <w:tcPr>
            <w:tcW w:w="2160" w:type="dxa"/>
            <w:vAlign w:val="bottom"/>
            <w:tcBorders>
              <w:left w:val="single" w:sz="8" w:color="C3E6FF"/>
            </w:tcBorders>
            <w:vMerge w:val="continue"/>
            <w:shd w:val="clear" w:color="auto" w:fill="F3F9FF"/>
          </w:tcPr>
          <w:p>
            <w:pPr>
              <w:spacing w:after="0"/>
              <w:rPr>
                <w:sz w:val="10"/>
                <w:szCs w:val="10"/>
                <w:color w:val="auto"/>
              </w:rPr>
            </w:pPr>
          </w:p>
        </w:tc>
        <w:tc>
          <w:tcPr>
            <w:tcW w:w="800" w:type="dxa"/>
            <w:vAlign w:val="bottom"/>
            <w:vMerge w:val="continue"/>
            <w:shd w:val="clear" w:color="auto" w:fill="F3F9FF"/>
          </w:tcPr>
          <w:p>
            <w:pPr>
              <w:spacing w:after="0"/>
              <w:rPr>
                <w:sz w:val="10"/>
                <w:szCs w:val="10"/>
                <w:color w:val="auto"/>
              </w:rPr>
            </w:pPr>
          </w:p>
        </w:tc>
        <w:tc>
          <w:tcPr>
            <w:tcW w:w="1840" w:type="dxa"/>
            <w:vAlign w:val="bottom"/>
            <w:vMerge w:val="continue"/>
            <w:shd w:val="clear" w:color="auto" w:fill="F3F9FF"/>
          </w:tcPr>
          <w:p>
            <w:pPr>
              <w:spacing w:after="0"/>
              <w:rPr>
                <w:sz w:val="10"/>
                <w:szCs w:val="10"/>
                <w:color w:val="auto"/>
              </w:rPr>
            </w:pPr>
          </w:p>
        </w:tc>
        <w:tc>
          <w:tcPr>
            <w:tcW w:w="1700" w:type="dxa"/>
            <w:vAlign w:val="bottom"/>
            <w:vMerge w:val="continue"/>
            <w:shd w:val="clear" w:color="auto" w:fill="F3F9FF"/>
          </w:tcPr>
          <w:p>
            <w:pPr>
              <w:spacing w:after="0"/>
              <w:rPr>
                <w:sz w:val="10"/>
                <w:szCs w:val="10"/>
                <w:color w:val="auto"/>
              </w:rPr>
            </w:pPr>
          </w:p>
        </w:tc>
        <w:tc>
          <w:tcPr>
            <w:tcW w:w="4740" w:type="dxa"/>
            <w:vAlign w:val="bottom"/>
            <w:tcBorders>
              <w:right w:val="single" w:sz="8" w:color="C3E6FF"/>
            </w:tcBorders>
            <w:vMerge w:val="restart"/>
            <w:shd w:val="clear" w:color="auto" w:fill="F3F9FF"/>
          </w:tcPr>
          <w:p>
            <w:pPr>
              <w:ind w:left="26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94"/>
        </w:trPr>
        <w:tc>
          <w:tcPr>
            <w:tcW w:w="2160" w:type="dxa"/>
            <w:vAlign w:val="bottom"/>
            <w:tcBorders>
              <w:left w:val="single" w:sz="8" w:color="C3E6FF"/>
            </w:tcBorders>
            <w:shd w:val="clear" w:color="auto" w:fill="F3F9FF"/>
          </w:tcPr>
          <w:p>
            <w:pPr>
              <w:spacing w:after="0"/>
              <w:rPr>
                <w:sz w:val="8"/>
                <w:szCs w:val="8"/>
                <w:color w:val="auto"/>
              </w:rPr>
            </w:pPr>
          </w:p>
        </w:tc>
        <w:tc>
          <w:tcPr>
            <w:tcW w:w="800" w:type="dxa"/>
            <w:vAlign w:val="bottom"/>
            <w:shd w:val="clear" w:color="auto" w:fill="F3F9FF"/>
          </w:tcPr>
          <w:p>
            <w:pPr>
              <w:spacing w:after="0"/>
              <w:rPr>
                <w:sz w:val="8"/>
                <w:szCs w:val="8"/>
                <w:color w:val="auto"/>
              </w:rPr>
            </w:pPr>
          </w:p>
        </w:tc>
        <w:tc>
          <w:tcPr>
            <w:tcW w:w="1840" w:type="dxa"/>
            <w:vAlign w:val="bottom"/>
            <w:shd w:val="clear" w:color="auto" w:fill="F3F9FF"/>
          </w:tcPr>
          <w:p>
            <w:pPr>
              <w:spacing w:after="0"/>
              <w:rPr>
                <w:sz w:val="8"/>
                <w:szCs w:val="8"/>
                <w:color w:val="auto"/>
              </w:rPr>
            </w:pPr>
          </w:p>
        </w:tc>
        <w:tc>
          <w:tcPr>
            <w:tcW w:w="1700" w:type="dxa"/>
            <w:vAlign w:val="bottom"/>
            <w:shd w:val="clear" w:color="auto" w:fill="F3F9FF"/>
          </w:tcPr>
          <w:p>
            <w:pPr>
              <w:spacing w:after="0"/>
              <w:rPr>
                <w:sz w:val="8"/>
                <w:szCs w:val="8"/>
                <w:color w:val="auto"/>
              </w:rPr>
            </w:pPr>
          </w:p>
        </w:tc>
        <w:tc>
          <w:tcPr>
            <w:tcW w:w="4740" w:type="dxa"/>
            <w:vAlign w:val="bottom"/>
            <w:tcBorders>
              <w:right w:val="single" w:sz="8" w:color="C3E6FF"/>
            </w:tcBorders>
            <w:vMerge w:val="continue"/>
            <w:shd w:val="clear" w:color="auto" w:fill="F3F9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C3E6FF"/>
            </w:tcBorders>
            <w:shd w:val="clear" w:color="auto" w:fill="F3F9FF"/>
          </w:tcPr>
          <w:p>
            <w:pPr>
              <w:spacing w:after="0"/>
              <w:rPr>
                <w:sz w:val="17"/>
                <w:szCs w:val="17"/>
                <w:color w:val="auto"/>
              </w:rPr>
            </w:pPr>
          </w:p>
        </w:tc>
        <w:tc>
          <w:tcPr>
            <w:tcW w:w="800" w:type="dxa"/>
            <w:vAlign w:val="bottom"/>
            <w:shd w:val="clear" w:color="auto" w:fill="F3F9FF"/>
          </w:tcPr>
          <w:p>
            <w:pPr>
              <w:spacing w:after="0"/>
              <w:rPr>
                <w:sz w:val="17"/>
                <w:szCs w:val="17"/>
                <w:color w:val="auto"/>
              </w:rPr>
            </w:pPr>
          </w:p>
        </w:tc>
        <w:tc>
          <w:tcPr>
            <w:tcW w:w="1840" w:type="dxa"/>
            <w:vAlign w:val="bottom"/>
            <w:shd w:val="clear" w:color="auto" w:fill="F3F9FF"/>
          </w:tcPr>
          <w:p>
            <w:pPr>
              <w:spacing w:after="0"/>
              <w:rPr>
                <w:sz w:val="17"/>
                <w:szCs w:val="17"/>
                <w:color w:val="auto"/>
              </w:rPr>
            </w:pPr>
          </w:p>
        </w:tc>
        <w:tc>
          <w:tcPr>
            <w:tcW w:w="1700" w:type="dxa"/>
            <w:vAlign w:val="bottom"/>
            <w:shd w:val="clear" w:color="auto" w:fill="F3F9FF"/>
          </w:tcPr>
          <w:p>
            <w:pPr>
              <w:spacing w:after="0"/>
              <w:rPr>
                <w:sz w:val="17"/>
                <w:szCs w:val="17"/>
                <w:color w:val="auto"/>
              </w:rPr>
            </w:pPr>
          </w:p>
        </w:tc>
        <w:tc>
          <w:tcPr>
            <w:tcW w:w="4740" w:type="dxa"/>
            <w:vAlign w:val="bottom"/>
            <w:tcBorders>
              <w:right w:val="single" w:sz="8" w:color="C3E6FF"/>
            </w:tcBorders>
            <w:shd w:val="clear" w:color="auto" w:fill="F3F9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C3E6FF"/>
            </w:tcBorders>
            <w:vMerge w:val="restart"/>
          </w:tcPr>
          <w:p>
            <w:pPr>
              <w:ind w:left="120"/>
              <w:spacing w:after="0"/>
              <w:rPr>
                <w:sz w:val="20"/>
                <w:szCs w:val="20"/>
                <w:color w:val="auto"/>
              </w:rPr>
            </w:pPr>
            <w:r>
              <w:rPr>
                <w:rFonts w:ascii="Arial" w:cs="Arial" w:eastAsia="Arial" w:hAnsi="Arial"/>
                <w:sz w:val="18"/>
                <w:szCs w:val="18"/>
                <w:b w:val="1"/>
                <w:bCs w:val="1"/>
                <w:color w:val="auto"/>
              </w:rPr>
              <w:t>Jaynie Studenmund</w:t>
            </w:r>
          </w:p>
        </w:tc>
        <w:tc>
          <w:tcPr>
            <w:tcW w:w="800" w:type="dxa"/>
            <w:vAlign w:val="bottom"/>
            <w:vMerge w:val="restart"/>
          </w:tcPr>
          <w:p>
            <w:pPr>
              <w:ind w:left="340"/>
              <w:spacing w:after="0"/>
              <w:rPr>
                <w:sz w:val="20"/>
                <w:szCs w:val="20"/>
                <w:color w:val="auto"/>
              </w:rPr>
            </w:pPr>
            <w:r>
              <w:rPr>
                <w:rFonts w:ascii="Arial" w:cs="Arial" w:eastAsia="Arial" w:hAnsi="Arial"/>
                <w:sz w:val="18"/>
                <w:szCs w:val="18"/>
                <w:color w:val="auto"/>
              </w:rPr>
              <w:t>65</w:t>
            </w:r>
          </w:p>
        </w:tc>
        <w:tc>
          <w:tcPr>
            <w:tcW w:w="1840" w:type="dxa"/>
            <w:vAlign w:val="bottom"/>
            <w:vMerge w:val="restart"/>
          </w:tcPr>
          <w:p>
            <w:pPr>
              <w:ind w:left="120"/>
              <w:spacing w:after="0"/>
              <w:rPr>
                <w:sz w:val="20"/>
                <w:szCs w:val="20"/>
                <w:color w:val="auto"/>
              </w:rPr>
            </w:pPr>
            <w:r>
              <w:rPr>
                <w:rFonts w:ascii="Arial" w:cs="Arial" w:eastAsia="Arial" w:hAnsi="Arial"/>
                <w:sz w:val="18"/>
                <w:szCs w:val="18"/>
                <w:color w:val="auto"/>
              </w:rPr>
              <w:t>September 2018</w:t>
            </w:r>
          </w:p>
        </w:tc>
        <w:tc>
          <w:tcPr>
            <w:tcW w:w="1700" w:type="dxa"/>
            <w:vAlign w:val="bottom"/>
            <w:vMerge w:val="restart"/>
          </w:tcPr>
          <w:p>
            <w:pPr>
              <w:ind w:left="400"/>
              <w:spacing w:after="0"/>
              <w:rPr>
                <w:sz w:val="20"/>
                <w:szCs w:val="20"/>
                <w:color w:val="auto"/>
              </w:rPr>
            </w:pPr>
            <w:r>
              <w:rPr>
                <w:rFonts w:ascii="Arial" w:cs="Arial" w:eastAsia="Arial" w:hAnsi="Arial"/>
                <w:sz w:val="18"/>
                <w:szCs w:val="18"/>
                <w:color w:val="auto"/>
              </w:rPr>
              <w:t>Yes</w:t>
            </w:r>
          </w:p>
        </w:tc>
        <w:tc>
          <w:tcPr>
            <w:tcW w:w="4740" w:type="dxa"/>
            <w:vAlign w:val="bottom"/>
            <w:tcBorders>
              <w:right w:val="single" w:sz="8" w:color="C3E6FF"/>
            </w:tcBorders>
          </w:tcPr>
          <w:p>
            <w:pPr>
              <w:ind w:left="260"/>
              <w:spacing w:after="0" w:line="201" w:lineRule="exact"/>
              <w:rPr>
                <w:sz w:val="20"/>
                <w:szCs w:val="20"/>
                <w:color w:val="auto"/>
              </w:rPr>
            </w:pPr>
            <w:r>
              <w:rPr>
                <w:rFonts w:ascii="Arial" w:cs="Arial" w:eastAsia="Arial" w:hAnsi="Arial"/>
                <w:sz w:val="18"/>
                <w:szCs w:val="18"/>
                <w:color w:val="auto"/>
              </w:rPr>
              <w:t>Audit Committee</w:t>
            </w:r>
          </w:p>
        </w:tc>
        <w:tc>
          <w:tcPr>
            <w:tcW w:w="0" w:type="dxa"/>
            <w:vAlign w:val="bottom"/>
          </w:tcPr>
          <w:p>
            <w:pPr>
              <w:spacing w:after="0"/>
              <w:rPr>
                <w:sz w:val="1"/>
                <w:szCs w:val="1"/>
                <w:color w:val="auto"/>
              </w:rPr>
            </w:pPr>
          </w:p>
        </w:tc>
      </w:tr>
      <w:tr>
        <w:trPr>
          <w:trHeight w:val="122"/>
        </w:trPr>
        <w:tc>
          <w:tcPr>
            <w:tcW w:w="2160" w:type="dxa"/>
            <w:vAlign w:val="bottom"/>
            <w:tcBorders>
              <w:left w:val="single" w:sz="8" w:color="C3E6FF"/>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4740" w:type="dxa"/>
            <w:vAlign w:val="bottom"/>
            <w:tcBorders>
              <w:right w:val="single" w:sz="8" w:color="C3E6FF"/>
            </w:tcBorders>
            <w:vMerge w:val="restart"/>
          </w:tcPr>
          <w:p>
            <w:pPr>
              <w:ind w:left="26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95"/>
        </w:trPr>
        <w:tc>
          <w:tcPr>
            <w:tcW w:w="2160" w:type="dxa"/>
            <w:vAlign w:val="bottom"/>
            <w:tcBorders>
              <w:left w:val="single" w:sz="8" w:color="C3E6FF"/>
              <w:bottom w:val="single" w:sz="8" w:color="C3E6FF"/>
            </w:tcBorders>
          </w:tcPr>
          <w:p>
            <w:pPr>
              <w:spacing w:after="0"/>
              <w:rPr>
                <w:sz w:val="8"/>
                <w:szCs w:val="8"/>
                <w:color w:val="auto"/>
              </w:rPr>
            </w:pPr>
          </w:p>
        </w:tc>
        <w:tc>
          <w:tcPr>
            <w:tcW w:w="800" w:type="dxa"/>
            <w:vAlign w:val="bottom"/>
            <w:tcBorders>
              <w:bottom w:val="single" w:sz="8" w:color="C3E6FF"/>
            </w:tcBorders>
          </w:tcPr>
          <w:p>
            <w:pPr>
              <w:spacing w:after="0"/>
              <w:rPr>
                <w:sz w:val="8"/>
                <w:szCs w:val="8"/>
                <w:color w:val="auto"/>
              </w:rPr>
            </w:pPr>
          </w:p>
        </w:tc>
        <w:tc>
          <w:tcPr>
            <w:tcW w:w="1840" w:type="dxa"/>
            <w:vAlign w:val="bottom"/>
            <w:tcBorders>
              <w:bottom w:val="single" w:sz="8" w:color="C3E6FF"/>
            </w:tcBorders>
          </w:tcPr>
          <w:p>
            <w:pPr>
              <w:spacing w:after="0"/>
              <w:rPr>
                <w:sz w:val="8"/>
                <w:szCs w:val="8"/>
                <w:color w:val="auto"/>
              </w:rPr>
            </w:pPr>
          </w:p>
        </w:tc>
        <w:tc>
          <w:tcPr>
            <w:tcW w:w="1700" w:type="dxa"/>
            <w:vAlign w:val="bottom"/>
            <w:tcBorders>
              <w:bottom w:val="single" w:sz="8" w:color="C3E6FF"/>
            </w:tcBorders>
          </w:tcPr>
          <w:p>
            <w:pPr>
              <w:spacing w:after="0"/>
              <w:rPr>
                <w:sz w:val="8"/>
                <w:szCs w:val="8"/>
                <w:color w:val="auto"/>
              </w:rPr>
            </w:pPr>
          </w:p>
        </w:tc>
        <w:tc>
          <w:tcPr>
            <w:tcW w:w="4740" w:type="dxa"/>
            <w:vAlign w:val="bottom"/>
            <w:tcBorders>
              <w:bottom w:val="single" w:sz="8" w:color="C3E6FF"/>
              <w:right w:val="single" w:sz="8" w:color="C3E6FF"/>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Required Vote</w:t>
      </w:r>
    </w:p>
    <w:p>
      <w:pPr>
        <w:spacing w:after="0" w:line="22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affirmative vote of a majority of votes (meaning the number of shares voted “for” a nominee must exceed the number of shares voted “against” such nominee) cast in person or represented by proxy and entitled to vote at the Annual Meeting will elect the six nominees as directors for a term of one year. If any nominee for director receives a greater number of votes “against” his or her election than votes “for” such election, our by-laws provide that such person will tender to the board of directors his or her resignation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412230" cy="677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67754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Our board recommends that you vote: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80" w:type="dxa"/>
            <w:vAlign w:val="bottom"/>
            <w:vMerge w:val="restart"/>
          </w:tcPr>
          <w:p>
            <w:pPr>
              <w:spacing w:after="0"/>
              <w:rPr>
                <w:sz w:val="20"/>
                <w:szCs w:val="20"/>
                <w:color w:val="auto"/>
              </w:rPr>
            </w:pPr>
            <w:r>
              <w:rPr>
                <w:rFonts w:ascii="Arial" w:cs="Arial" w:eastAsia="Arial" w:hAnsi="Arial"/>
                <w:sz w:val="32"/>
                <w:szCs w:val="32"/>
                <w:b w:val="1"/>
                <w:bCs w:val="1"/>
                <w:color w:val="auto"/>
              </w:rPr>
              <w:t>FOR</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w w:val="99"/>
              </w:rPr>
              <w:t>the election of Mses. Minto and Studenmund and Messrs. Kapoor, Kelso, Mittal and Ostler as directors of</w:t>
            </w:r>
          </w:p>
        </w:tc>
        <w:tc>
          <w:tcPr>
            <w:tcW w:w="0" w:type="dxa"/>
            <w:vAlign w:val="bottom"/>
          </w:tcPr>
          <w:p>
            <w:pPr>
              <w:spacing w:after="0"/>
              <w:rPr>
                <w:sz w:val="1"/>
                <w:szCs w:val="1"/>
                <w:color w:val="auto"/>
              </w:rPr>
            </w:pPr>
          </w:p>
        </w:tc>
      </w:tr>
      <w:tr>
        <w:trPr>
          <w:trHeight w:val="239"/>
        </w:trPr>
        <w:tc>
          <w:tcPr>
            <w:tcW w:w="780" w:type="dxa"/>
            <w:vAlign w:val="bottom"/>
            <w:vMerge w:val="continue"/>
          </w:tcPr>
          <w:p>
            <w:pPr>
              <w:spacing w:after="0"/>
              <w:rPr>
                <w:sz w:val="20"/>
                <w:szCs w:val="20"/>
                <w:color w:val="auto"/>
              </w:rPr>
            </w:pP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95" w:name="page96"/>
    <w:bookmarkEnd w:id="95"/>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2040"/>
        <w:spacing w:after="0" w:line="286" w:lineRule="auto"/>
        <w:rPr>
          <w:sz w:val="20"/>
          <w:szCs w:val="20"/>
          <w:color w:val="auto"/>
        </w:rPr>
      </w:pPr>
      <w:r>
        <w:rPr>
          <w:rFonts w:ascii="Arial" w:cs="Arial" w:eastAsia="Arial" w:hAnsi="Arial"/>
          <w:sz w:val="32"/>
          <w:szCs w:val="32"/>
          <w:b w:val="1"/>
          <w:bCs w:val="1"/>
          <w:color w:val="0B5497"/>
        </w:rPr>
        <w:t>PROPOSAL 2 — RATIFICATION OF THE APPOINTMENT OF INDEPENDENT REGISTERED PUBLIC ACCOUNTING FIRM</w:t>
      </w:r>
    </w:p>
    <w:p>
      <w:pPr>
        <w:spacing w:after="0" w:line="11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262626"/>
        </w:rPr>
        <w:t>Our Audit Committee has appointed Deloitte &amp; Touche LLP (“Deloitte”) as the independent registered public accounting firm to audit the Company’s and its subsidiaries’ books, records and accounts for the fiscal year 2020. Our board of directors has endorsed this appointment. Ratification of the appointment of Deloitte by our stockholders is not required by law. However, as a matter of good corporate practice, such appointment is being submitted to our stockholders for ratification at the Annual Meeting. If our stockholders do not ratify the appointment, our board of directors and our Audit Committee will reconsider whether or not to retain Deloitte, but may nonetheless retain Deloitte. Even if the appointment is ratified, the Audit Committee in its discretion may change such appointment at any time during the year if it determines that such change would be in the best interests of the Company and our stockholders.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262626"/>
        </w:rPr>
        <w:t>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Change in Accountants</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Ernst &amp; Young LLP (“EY”) audited our consolidated financial statements for fiscal year 2017. On February 27, 2018, pursuant to the Audit Committee determination, the Company dismissed EY as the Company’s independent registered public accounting firm. EY’s reports on the Company’s consolidated financial statements as of and for the fiscal year ended December 31, 2017 did not contain an adverse opinion or disclaimer of opinion, nor were they qualified or modified as to uncertainty, audit scope, or accounting principles. During the fiscal year ended December 31, 2017, and the subsequent interim periods through February 27, 2018, there were: (i) no disagreements within the meaning of Item 304(a)(1)(iv) of Regulation S-K and the related instructions between the Company and EY on any matters of accounting principles or practices, financial statement disclosure, or auditing scope or procedure which, if not resolved to EY’s satisfaction, would have caused EY to make reference thereto in their reports; and (ii) no “reportable events” within the meaning of Item 304(a)(1)(v) of Regulation S-K.</w:t>
      </w:r>
    </w:p>
    <w:p>
      <w:pPr>
        <w:spacing w:after="0" w:line="19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62626"/>
        </w:rPr>
        <w:t>In connection with the filing of the Company’s Current Report on Form 8-K dated February 27, 2018 (the “Form 8-K”), the Company provided EY with a copy of the above disclosures, and requested that EY furnish a letter addressed to the SEC stating whether or not EY agrees with the statements in the immediately preceding paragraph. The Company subsequently received the requested letter, and a copy of EY’s letter, dated March 1, 2018, was filed as Exhibit 16.1 to the Form 8-K.</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262626"/>
        </w:rPr>
        <w:t>As of February 28, 2018, pursuant to the Audit Committee’s determination, the Company engaged Deloitte to serve as its independent registered public accounting firm for fiscal year 2018. During the fiscal year ended December 31, 2017 and the subsequent interim periods through February 28, 2018, neither the Company nor anyone on its behalf consulted with Deloitte regarding: (i) the application of accounting principles to a specific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w:t>
      </w:r>
    </w:p>
    <w:p>
      <w:pPr>
        <w:spacing w:after="0" w:line="328"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6" w:name="page97"/>
    <w:bookmarkEnd w:id="96"/>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620"/>
        <w:spacing w:after="0" w:line="246" w:lineRule="auto"/>
        <w:rPr>
          <w:sz w:val="20"/>
          <w:szCs w:val="20"/>
          <w:color w:val="auto"/>
        </w:rPr>
      </w:pPr>
      <w:r>
        <w:rPr>
          <w:rFonts w:ascii="Arial" w:cs="Arial" w:eastAsia="Arial" w:hAnsi="Arial"/>
          <w:sz w:val="18"/>
          <w:szCs w:val="18"/>
          <w:color w:val="262626"/>
        </w:rPr>
        <w:t>was the subject of a disagreement within the meaning of Item 304(a)(1)(iv) of Regulation S-K and the related instructions; or (iii) any reportable event within the meaning of Item 304(a)(1)(v) of Regulation S-K.</w:t>
      </w:r>
    </w:p>
    <w:p>
      <w:pPr>
        <w:spacing w:after="0" w:line="18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262626"/>
        </w:rPr>
        <w:t>The change in independent registered public accounting firm did not result from any dissatisfaction with the quality of professional services rendered by 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Audit and Non-Audit Fees</w:t>
      </w:r>
    </w:p>
    <w:p>
      <w:pPr>
        <w:spacing w:after="0" w:line="22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262626"/>
        </w:rPr>
        <w:t>The following is a summary of the fees billed or expected to be billed to us by the Company’s independent registered public accounting firm for professional services rendered in each of the last two fiscal years: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320" w:type="dxa"/>
            <w:vAlign w:val="bottom"/>
            <w:tcBorders>
              <w:left w:val="single" w:sz="8" w:color="C3E6FF"/>
            </w:tcBorders>
            <w:shd w:val="clear" w:color="auto" w:fill="0093FF"/>
          </w:tcPr>
          <w:p>
            <w:pPr>
              <w:spacing w:after="0"/>
              <w:rPr>
                <w:sz w:val="24"/>
                <w:szCs w:val="24"/>
                <w:color w:val="auto"/>
              </w:rPr>
            </w:pPr>
          </w:p>
        </w:tc>
        <w:tc>
          <w:tcPr>
            <w:tcW w:w="2020" w:type="dxa"/>
            <w:vAlign w:val="bottom"/>
            <w:shd w:val="clear" w:color="auto" w:fill="0093FF"/>
          </w:tcPr>
          <w:p>
            <w:pPr>
              <w:jc w:val="right"/>
              <w:ind w:right="470"/>
              <w:spacing w:after="0"/>
              <w:rPr>
                <w:sz w:val="20"/>
                <w:szCs w:val="20"/>
                <w:color w:val="auto"/>
              </w:rPr>
            </w:pPr>
            <w:r>
              <w:rPr>
                <w:rFonts w:ascii="Arial" w:cs="Arial" w:eastAsia="Arial" w:hAnsi="Arial"/>
                <w:sz w:val="18"/>
                <w:szCs w:val="18"/>
                <w:b w:val="1"/>
                <w:bCs w:val="1"/>
                <w:color w:val="FFFFFF"/>
              </w:rPr>
              <w:t>Fiscal</w:t>
            </w:r>
          </w:p>
        </w:tc>
        <w:tc>
          <w:tcPr>
            <w:tcW w:w="1420" w:type="dxa"/>
            <w:vAlign w:val="bottom"/>
            <w:tcBorders>
              <w:right w:val="single" w:sz="8" w:color="C3E6FF"/>
            </w:tcBorders>
            <w:shd w:val="clear" w:color="auto" w:fill="0093FF"/>
          </w:tcPr>
          <w:p>
            <w:pPr>
              <w:jc w:val="right"/>
              <w:ind w:right="230"/>
              <w:spacing w:after="0"/>
              <w:rPr>
                <w:sz w:val="20"/>
                <w:szCs w:val="20"/>
                <w:color w:val="auto"/>
              </w:rPr>
            </w:pPr>
            <w:r>
              <w:rPr>
                <w:rFonts w:ascii="Arial" w:cs="Arial" w:eastAsia="Arial" w:hAnsi="Arial"/>
                <w:sz w:val="18"/>
                <w:szCs w:val="18"/>
                <w:b w:val="1"/>
                <w:bCs w:val="1"/>
                <w:color w:val="FFFFFF"/>
              </w:rPr>
              <w:t>Fiscal</w:t>
            </w:r>
          </w:p>
        </w:tc>
      </w:tr>
      <w:tr>
        <w:trPr>
          <w:trHeight w:val="203"/>
        </w:trPr>
        <w:tc>
          <w:tcPr>
            <w:tcW w:w="3320" w:type="dxa"/>
            <w:vAlign w:val="bottom"/>
            <w:tcBorders>
              <w:left w:val="single" w:sz="8" w:color="C3E6FF"/>
            </w:tcBorders>
            <w:shd w:val="clear" w:color="auto" w:fill="0093FF"/>
          </w:tcPr>
          <w:p>
            <w:pPr>
              <w:ind w:left="260"/>
              <w:spacing w:after="0" w:line="202" w:lineRule="exact"/>
              <w:rPr>
                <w:sz w:val="20"/>
                <w:szCs w:val="20"/>
                <w:color w:val="auto"/>
              </w:rPr>
            </w:pPr>
            <w:r>
              <w:rPr>
                <w:rFonts w:ascii="Arial" w:cs="Arial" w:eastAsia="Arial" w:hAnsi="Arial"/>
                <w:sz w:val="18"/>
                <w:szCs w:val="18"/>
                <w:b w:val="1"/>
                <w:bCs w:val="1"/>
                <w:color w:val="FFFFFF"/>
              </w:rPr>
              <w:t>Fee Category</w:t>
            </w:r>
          </w:p>
        </w:tc>
        <w:tc>
          <w:tcPr>
            <w:tcW w:w="2020" w:type="dxa"/>
            <w:vAlign w:val="bottom"/>
            <w:shd w:val="clear" w:color="auto" w:fill="0093FF"/>
          </w:tcPr>
          <w:p>
            <w:pPr>
              <w:jc w:val="right"/>
              <w:ind w:right="470"/>
              <w:spacing w:after="0" w:line="202" w:lineRule="exact"/>
              <w:rPr>
                <w:sz w:val="20"/>
                <w:szCs w:val="20"/>
                <w:color w:val="auto"/>
              </w:rPr>
            </w:pPr>
            <w:r>
              <w:rPr>
                <w:rFonts w:ascii="Arial" w:cs="Arial" w:eastAsia="Arial" w:hAnsi="Arial"/>
                <w:sz w:val="18"/>
                <w:szCs w:val="18"/>
                <w:b w:val="1"/>
                <w:bCs w:val="1"/>
                <w:color w:val="FFFFFF"/>
              </w:rPr>
              <w:t>2019</w:t>
            </w:r>
          </w:p>
        </w:tc>
        <w:tc>
          <w:tcPr>
            <w:tcW w:w="1420" w:type="dxa"/>
            <w:vAlign w:val="bottom"/>
            <w:tcBorders>
              <w:right w:val="single" w:sz="8" w:color="C3E6FF"/>
            </w:tcBorders>
            <w:shd w:val="clear" w:color="auto" w:fill="0093FF"/>
          </w:tcPr>
          <w:p>
            <w:pPr>
              <w:jc w:val="right"/>
              <w:ind w:right="230"/>
              <w:spacing w:after="0" w:line="202" w:lineRule="exact"/>
              <w:rPr>
                <w:sz w:val="20"/>
                <w:szCs w:val="20"/>
                <w:color w:val="auto"/>
              </w:rPr>
            </w:pPr>
            <w:r>
              <w:rPr>
                <w:rFonts w:ascii="Arial" w:cs="Arial" w:eastAsia="Arial" w:hAnsi="Arial"/>
                <w:sz w:val="18"/>
                <w:szCs w:val="18"/>
                <w:b w:val="1"/>
                <w:bCs w:val="1"/>
                <w:color w:val="FFFFFF"/>
              </w:rPr>
              <w:t>2018</w:t>
            </w:r>
          </w:p>
        </w:tc>
      </w:tr>
      <w:tr>
        <w:trPr>
          <w:trHeight w:val="259"/>
        </w:trPr>
        <w:tc>
          <w:tcPr>
            <w:tcW w:w="3320" w:type="dxa"/>
            <w:vAlign w:val="bottom"/>
            <w:tcBorders>
              <w:left w:val="single" w:sz="8" w:color="C3E6FF"/>
              <w:bottom w:val="single" w:sz="8" w:color="0093FF"/>
            </w:tcBorders>
            <w:shd w:val="clear" w:color="auto" w:fill="0093FF"/>
          </w:tcPr>
          <w:p>
            <w:pPr>
              <w:spacing w:after="0"/>
              <w:rPr>
                <w:sz w:val="22"/>
                <w:szCs w:val="22"/>
                <w:color w:val="auto"/>
              </w:rPr>
            </w:pPr>
          </w:p>
        </w:tc>
        <w:tc>
          <w:tcPr>
            <w:tcW w:w="3440" w:type="dxa"/>
            <w:vAlign w:val="bottom"/>
            <w:tcBorders>
              <w:bottom w:val="single" w:sz="8" w:color="0093FF"/>
              <w:right w:val="single" w:sz="8" w:color="C3E6FF"/>
            </w:tcBorders>
            <w:gridSpan w:val="2"/>
            <w:shd w:val="clear" w:color="auto" w:fill="0093FF"/>
          </w:tcPr>
          <w:p>
            <w:pPr>
              <w:jc w:val="right"/>
              <w:ind w:right="770"/>
              <w:spacing w:after="0"/>
              <w:rPr>
                <w:sz w:val="20"/>
                <w:szCs w:val="20"/>
                <w:color w:val="auto"/>
              </w:rPr>
            </w:pPr>
            <w:r>
              <w:rPr>
                <w:rFonts w:ascii="Arial" w:cs="Arial" w:eastAsia="Arial" w:hAnsi="Arial"/>
                <w:sz w:val="18"/>
                <w:szCs w:val="18"/>
                <w:b w:val="1"/>
                <w:bCs w:val="1"/>
                <w:color w:val="FFFFFF"/>
              </w:rPr>
              <w:t>(in thousands)</w:t>
            </w:r>
          </w:p>
        </w:tc>
      </w:tr>
      <w:tr>
        <w:trPr>
          <w:trHeight w:val="324"/>
        </w:trPr>
        <w:tc>
          <w:tcPr>
            <w:tcW w:w="3320" w:type="dxa"/>
            <w:vAlign w:val="bottom"/>
            <w:tcBorders>
              <w:left w:val="single" w:sz="8" w:color="C3E6FF"/>
            </w:tcBorders>
            <w:shd w:val="clear" w:color="auto" w:fill="F3F9FF"/>
          </w:tcPr>
          <w:p>
            <w:pPr>
              <w:ind w:left="260"/>
              <w:spacing w:after="0"/>
              <w:rPr>
                <w:sz w:val="20"/>
                <w:szCs w:val="20"/>
                <w:color w:val="auto"/>
              </w:rPr>
            </w:pPr>
            <w:r>
              <w:rPr>
                <w:rFonts w:ascii="Arial" w:cs="Arial" w:eastAsia="Arial" w:hAnsi="Arial"/>
                <w:sz w:val="18"/>
                <w:szCs w:val="18"/>
                <w:color w:val="auto"/>
              </w:rPr>
              <w:t>Audit Fees</w:t>
            </w:r>
          </w:p>
        </w:tc>
        <w:tc>
          <w:tcPr>
            <w:tcW w:w="2020" w:type="dxa"/>
            <w:vAlign w:val="bottom"/>
            <w:shd w:val="clear" w:color="auto" w:fill="F3F9FF"/>
          </w:tcPr>
          <w:p>
            <w:pPr>
              <w:jc w:val="right"/>
              <w:ind w:right="470"/>
              <w:spacing w:after="0"/>
              <w:rPr>
                <w:sz w:val="20"/>
                <w:szCs w:val="20"/>
                <w:color w:val="auto"/>
              </w:rPr>
            </w:pPr>
            <w:r>
              <w:rPr>
                <w:rFonts w:ascii="Arial" w:cs="Arial" w:eastAsia="Arial" w:hAnsi="Arial"/>
                <w:sz w:val="18"/>
                <w:szCs w:val="18"/>
                <w:color w:val="auto"/>
              </w:rPr>
              <w:t>$1,391</w:t>
            </w:r>
          </w:p>
        </w:tc>
        <w:tc>
          <w:tcPr>
            <w:tcW w:w="1420" w:type="dxa"/>
            <w:vAlign w:val="bottom"/>
            <w:tcBorders>
              <w:right w:val="single" w:sz="8" w:color="C3E6FF"/>
            </w:tcBorders>
            <w:shd w:val="clear" w:color="auto" w:fill="F3F9FF"/>
          </w:tcPr>
          <w:p>
            <w:pPr>
              <w:jc w:val="right"/>
              <w:ind w:right="230"/>
              <w:spacing w:after="0"/>
              <w:rPr>
                <w:sz w:val="20"/>
                <w:szCs w:val="20"/>
                <w:color w:val="auto"/>
              </w:rPr>
            </w:pPr>
            <w:r>
              <w:rPr>
                <w:rFonts w:ascii="Arial" w:cs="Arial" w:eastAsia="Arial" w:hAnsi="Arial"/>
                <w:sz w:val="18"/>
                <w:szCs w:val="18"/>
                <w:color w:val="auto"/>
              </w:rPr>
              <w:t>$1,425</w:t>
            </w:r>
          </w:p>
        </w:tc>
      </w:tr>
      <w:tr>
        <w:trPr>
          <w:trHeight w:val="95"/>
        </w:trPr>
        <w:tc>
          <w:tcPr>
            <w:tcW w:w="3320" w:type="dxa"/>
            <w:vAlign w:val="bottom"/>
            <w:tcBorders>
              <w:left w:val="single" w:sz="8" w:color="C3E6FF"/>
            </w:tcBorders>
            <w:shd w:val="clear" w:color="auto" w:fill="F3F9FF"/>
          </w:tcPr>
          <w:p>
            <w:pPr>
              <w:spacing w:after="0"/>
              <w:rPr>
                <w:sz w:val="8"/>
                <w:szCs w:val="8"/>
                <w:color w:val="auto"/>
              </w:rPr>
            </w:pPr>
          </w:p>
        </w:tc>
        <w:tc>
          <w:tcPr>
            <w:tcW w:w="2020" w:type="dxa"/>
            <w:vAlign w:val="bottom"/>
            <w:shd w:val="clear" w:color="auto" w:fill="F3F9FF"/>
          </w:tcPr>
          <w:p>
            <w:pPr>
              <w:spacing w:after="0"/>
              <w:rPr>
                <w:sz w:val="8"/>
                <w:szCs w:val="8"/>
                <w:color w:val="auto"/>
              </w:rPr>
            </w:pPr>
          </w:p>
        </w:tc>
        <w:tc>
          <w:tcPr>
            <w:tcW w:w="1420" w:type="dxa"/>
            <w:vAlign w:val="bottom"/>
            <w:tcBorders>
              <w:right w:val="single" w:sz="8" w:color="C3E6FF"/>
            </w:tcBorders>
            <w:shd w:val="clear" w:color="auto" w:fill="F3F9FF"/>
          </w:tcPr>
          <w:p>
            <w:pPr>
              <w:spacing w:after="0"/>
              <w:rPr>
                <w:sz w:val="8"/>
                <w:szCs w:val="8"/>
                <w:color w:val="auto"/>
              </w:rPr>
            </w:pPr>
          </w:p>
        </w:tc>
      </w:tr>
      <w:tr>
        <w:trPr>
          <w:trHeight w:val="324"/>
        </w:trPr>
        <w:tc>
          <w:tcPr>
            <w:tcW w:w="3320" w:type="dxa"/>
            <w:vAlign w:val="bottom"/>
            <w:tcBorders>
              <w:left w:val="single" w:sz="8" w:color="C3E6FF"/>
            </w:tcBorders>
          </w:tcPr>
          <w:p>
            <w:pPr>
              <w:ind w:left="260"/>
              <w:spacing w:after="0"/>
              <w:rPr>
                <w:sz w:val="20"/>
                <w:szCs w:val="20"/>
                <w:color w:val="auto"/>
              </w:rPr>
            </w:pPr>
            <w:r>
              <w:rPr>
                <w:rFonts w:ascii="Arial" w:cs="Arial" w:eastAsia="Arial" w:hAnsi="Arial"/>
                <w:sz w:val="18"/>
                <w:szCs w:val="18"/>
                <w:color w:val="auto"/>
              </w:rPr>
              <w:t>Audit-Related Fees</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114</w:t>
            </w:r>
          </w:p>
        </w:tc>
        <w:tc>
          <w:tcPr>
            <w:tcW w:w="1420" w:type="dxa"/>
            <w:vAlign w:val="bottom"/>
            <w:tcBorders>
              <w:right w:val="single" w:sz="8" w:color="C3E6FF"/>
            </w:tcBorders>
          </w:tcPr>
          <w:p>
            <w:pPr>
              <w:jc w:val="right"/>
              <w:ind w:right="230"/>
              <w:spacing w:after="0"/>
              <w:rPr>
                <w:sz w:val="20"/>
                <w:szCs w:val="20"/>
                <w:color w:val="auto"/>
              </w:rPr>
            </w:pPr>
            <w:r>
              <w:rPr>
                <w:rFonts w:ascii="Arial" w:cs="Arial" w:eastAsia="Arial" w:hAnsi="Arial"/>
                <w:sz w:val="18"/>
                <w:szCs w:val="18"/>
                <w:color w:val="auto"/>
              </w:rPr>
              <w:t>—</w:t>
            </w:r>
          </w:p>
        </w:tc>
      </w:tr>
      <w:tr>
        <w:trPr>
          <w:trHeight w:val="94"/>
        </w:trPr>
        <w:tc>
          <w:tcPr>
            <w:tcW w:w="3320" w:type="dxa"/>
            <w:vAlign w:val="bottom"/>
            <w:tcBorders>
              <w:left w:val="single" w:sz="8" w:color="C3E6FF"/>
            </w:tcBorders>
          </w:tcPr>
          <w:p>
            <w:pPr>
              <w:spacing w:after="0"/>
              <w:rPr>
                <w:sz w:val="8"/>
                <w:szCs w:val="8"/>
                <w:color w:val="auto"/>
              </w:rPr>
            </w:pPr>
          </w:p>
        </w:tc>
        <w:tc>
          <w:tcPr>
            <w:tcW w:w="2020" w:type="dxa"/>
            <w:vAlign w:val="bottom"/>
          </w:tcPr>
          <w:p>
            <w:pPr>
              <w:spacing w:after="0"/>
              <w:rPr>
                <w:sz w:val="8"/>
                <w:szCs w:val="8"/>
                <w:color w:val="auto"/>
              </w:rPr>
            </w:pPr>
          </w:p>
        </w:tc>
        <w:tc>
          <w:tcPr>
            <w:tcW w:w="1420" w:type="dxa"/>
            <w:vAlign w:val="bottom"/>
            <w:tcBorders>
              <w:right w:val="single" w:sz="8" w:color="C3E6FF"/>
            </w:tcBorders>
          </w:tcPr>
          <w:p>
            <w:pPr>
              <w:spacing w:after="0"/>
              <w:rPr>
                <w:sz w:val="8"/>
                <w:szCs w:val="8"/>
                <w:color w:val="auto"/>
              </w:rPr>
            </w:pPr>
          </w:p>
        </w:tc>
      </w:tr>
      <w:tr>
        <w:trPr>
          <w:trHeight w:val="324"/>
        </w:trPr>
        <w:tc>
          <w:tcPr>
            <w:tcW w:w="3320" w:type="dxa"/>
            <w:vAlign w:val="bottom"/>
            <w:tcBorders>
              <w:left w:val="single" w:sz="8" w:color="C3E6FF"/>
            </w:tcBorders>
            <w:shd w:val="clear" w:color="auto" w:fill="F3F9FF"/>
          </w:tcPr>
          <w:p>
            <w:pPr>
              <w:ind w:left="260"/>
              <w:spacing w:after="0"/>
              <w:rPr>
                <w:sz w:val="20"/>
                <w:szCs w:val="20"/>
                <w:color w:val="auto"/>
              </w:rPr>
            </w:pPr>
            <w:r>
              <w:rPr>
                <w:rFonts w:ascii="Arial" w:cs="Arial" w:eastAsia="Arial" w:hAnsi="Arial"/>
                <w:sz w:val="18"/>
                <w:szCs w:val="18"/>
                <w:color w:val="auto"/>
              </w:rPr>
              <w:t>Tax Fees</w:t>
            </w:r>
          </w:p>
        </w:tc>
        <w:tc>
          <w:tcPr>
            <w:tcW w:w="2020" w:type="dxa"/>
            <w:vAlign w:val="bottom"/>
            <w:shd w:val="clear" w:color="auto" w:fill="F3F9FF"/>
          </w:tcPr>
          <w:p>
            <w:pPr>
              <w:jc w:val="right"/>
              <w:ind w:right="470"/>
              <w:spacing w:after="0"/>
              <w:rPr>
                <w:sz w:val="20"/>
                <w:szCs w:val="20"/>
                <w:color w:val="auto"/>
              </w:rPr>
            </w:pPr>
            <w:r>
              <w:rPr>
                <w:rFonts w:ascii="Arial" w:cs="Arial" w:eastAsia="Arial" w:hAnsi="Arial"/>
                <w:sz w:val="18"/>
                <w:szCs w:val="18"/>
                <w:color w:val="auto"/>
              </w:rPr>
              <w:t>696</w:t>
            </w:r>
          </w:p>
        </w:tc>
        <w:tc>
          <w:tcPr>
            <w:tcW w:w="1420" w:type="dxa"/>
            <w:vAlign w:val="bottom"/>
            <w:tcBorders>
              <w:right w:val="single" w:sz="8" w:color="C3E6FF"/>
            </w:tcBorders>
            <w:shd w:val="clear" w:color="auto" w:fill="F3F9FF"/>
          </w:tcPr>
          <w:p>
            <w:pPr>
              <w:jc w:val="right"/>
              <w:ind w:right="230"/>
              <w:spacing w:after="0"/>
              <w:rPr>
                <w:sz w:val="20"/>
                <w:szCs w:val="20"/>
                <w:color w:val="auto"/>
              </w:rPr>
            </w:pPr>
            <w:r>
              <w:rPr>
                <w:rFonts w:ascii="Arial" w:cs="Arial" w:eastAsia="Arial" w:hAnsi="Arial"/>
                <w:sz w:val="18"/>
                <w:szCs w:val="18"/>
                <w:color w:val="auto"/>
              </w:rPr>
              <w:t>523</w:t>
            </w:r>
          </w:p>
        </w:tc>
      </w:tr>
      <w:tr>
        <w:trPr>
          <w:trHeight w:val="94"/>
        </w:trPr>
        <w:tc>
          <w:tcPr>
            <w:tcW w:w="3320" w:type="dxa"/>
            <w:vAlign w:val="bottom"/>
            <w:tcBorders>
              <w:left w:val="single" w:sz="8" w:color="C3E6FF"/>
            </w:tcBorders>
            <w:shd w:val="clear" w:color="auto" w:fill="F3F9FF"/>
          </w:tcPr>
          <w:p>
            <w:pPr>
              <w:spacing w:after="0"/>
              <w:rPr>
                <w:sz w:val="8"/>
                <w:szCs w:val="8"/>
                <w:color w:val="auto"/>
              </w:rPr>
            </w:pPr>
          </w:p>
        </w:tc>
        <w:tc>
          <w:tcPr>
            <w:tcW w:w="2020" w:type="dxa"/>
            <w:vAlign w:val="bottom"/>
            <w:shd w:val="clear" w:color="auto" w:fill="F3F9FF"/>
          </w:tcPr>
          <w:p>
            <w:pPr>
              <w:spacing w:after="0"/>
              <w:rPr>
                <w:sz w:val="8"/>
                <w:szCs w:val="8"/>
                <w:color w:val="auto"/>
              </w:rPr>
            </w:pPr>
          </w:p>
        </w:tc>
        <w:tc>
          <w:tcPr>
            <w:tcW w:w="1420" w:type="dxa"/>
            <w:vAlign w:val="bottom"/>
            <w:tcBorders>
              <w:right w:val="single" w:sz="8" w:color="C3E6FF"/>
            </w:tcBorders>
            <w:shd w:val="clear" w:color="auto" w:fill="F3F9FF"/>
          </w:tcPr>
          <w:p>
            <w:pPr>
              <w:spacing w:after="0"/>
              <w:rPr>
                <w:sz w:val="8"/>
                <w:szCs w:val="8"/>
                <w:color w:val="auto"/>
              </w:rPr>
            </w:pPr>
          </w:p>
        </w:tc>
      </w:tr>
      <w:tr>
        <w:trPr>
          <w:trHeight w:val="324"/>
        </w:trPr>
        <w:tc>
          <w:tcPr>
            <w:tcW w:w="3320" w:type="dxa"/>
            <w:vAlign w:val="bottom"/>
            <w:tcBorders>
              <w:left w:val="single" w:sz="8" w:color="C3E6FF"/>
            </w:tcBorders>
          </w:tcPr>
          <w:p>
            <w:pPr>
              <w:ind w:left="260"/>
              <w:spacing w:after="0"/>
              <w:rPr>
                <w:sz w:val="20"/>
                <w:szCs w:val="20"/>
                <w:color w:val="auto"/>
              </w:rPr>
            </w:pPr>
            <w:r>
              <w:rPr>
                <w:rFonts w:ascii="Arial" w:cs="Arial" w:eastAsia="Arial" w:hAnsi="Arial"/>
                <w:sz w:val="18"/>
                <w:szCs w:val="18"/>
                <w:color w:val="auto"/>
              </w:rPr>
              <w:t>All Other Fees</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3E6FF"/>
            </w:tcBorders>
          </w:tcPr>
          <w:p>
            <w:pPr>
              <w:jc w:val="right"/>
              <w:ind w:right="230"/>
              <w:spacing w:after="0"/>
              <w:rPr>
                <w:sz w:val="20"/>
                <w:szCs w:val="20"/>
                <w:color w:val="auto"/>
              </w:rPr>
            </w:pPr>
            <w:r>
              <w:rPr>
                <w:rFonts w:ascii="Arial" w:cs="Arial" w:eastAsia="Arial" w:hAnsi="Arial"/>
                <w:sz w:val="18"/>
                <w:szCs w:val="18"/>
                <w:color w:val="auto"/>
              </w:rPr>
              <w:t>54</w:t>
            </w:r>
          </w:p>
        </w:tc>
      </w:tr>
      <w:tr>
        <w:trPr>
          <w:trHeight w:val="94"/>
        </w:trPr>
        <w:tc>
          <w:tcPr>
            <w:tcW w:w="3320" w:type="dxa"/>
            <w:vAlign w:val="bottom"/>
            <w:tcBorders>
              <w:left w:val="single" w:sz="8" w:color="C3E6FF"/>
            </w:tcBorders>
          </w:tcPr>
          <w:p>
            <w:pPr>
              <w:spacing w:after="0"/>
              <w:rPr>
                <w:sz w:val="8"/>
                <w:szCs w:val="8"/>
                <w:color w:val="auto"/>
              </w:rPr>
            </w:pPr>
          </w:p>
        </w:tc>
        <w:tc>
          <w:tcPr>
            <w:tcW w:w="2020" w:type="dxa"/>
            <w:vAlign w:val="bottom"/>
          </w:tcPr>
          <w:p>
            <w:pPr>
              <w:spacing w:after="0"/>
              <w:rPr>
                <w:sz w:val="8"/>
                <w:szCs w:val="8"/>
                <w:color w:val="auto"/>
              </w:rPr>
            </w:pPr>
          </w:p>
        </w:tc>
        <w:tc>
          <w:tcPr>
            <w:tcW w:w="1420" w:type="dxa"/>
            <w:vAlign w:val="bottom"/>
            <w:tcBorders>
              <w:right w:val="single" w:sz="8" w:color="C3E6FF"/>
            </w:tcBorders>
          </w:tcPr>
          <w:p>
            <w:pPr>
              <w:spacing w:after="0"/>
              <w:rPr>
                <w:sz w:val="8"/>
                <w:szCs w:val="8"/>
                <w:color w:val="auto"/>
              </w:rPr>
            </w:pPr>
          </w:p>
        </w:tc>
      </w:tr>
      <w:tr>
        <w:trPr>
          <w:trHeight w:val="324"/>
        </w:trPr>
        <w:tc>
          <w:tcPr>
            <w:tcW w:w="3320" w:type="dxa"/>
            <w:vAlign w:val="bottom"/>
            <w:tcBorders>
              <w:left w:val="single" w:sz="8" w:color="C3E6FF"/>
            </w:tcBorders>
            <w:shd w:val="clear" w:color="auto" w:fill="F3F9FF"/>
          </w:tcPr>
          <w:p>
            <w:pPr>
              <w:ind w:left="260"/>
              <w:spacing w:after="0"/>
              <w:rPr>
                <w:sz w:val="20"/>
                <w:szCs w:val="20"/>
                <w:color w:val="auto"/>
              </w:rPr>
            </w:pPr>
            <w:r>
              <w:rPr>
                <w:rFonts w:ascii="Arial" w:cs="Arial" w:eastAsia="Arial" w:hAnsi="Arial"/>
                <w:sz w:val="18"/>
                <w:szCs w:val="18"/>
                <w:b w:val="1"/>
                <w:bCs w:val="1"/>
                <w:color w:val="auto"/>
              </w:rPr>
              <w:t>Total Fees</w:t>
            </w:r>
          </w:p>
        </w:tc>
        <w:tc>
          <w:tcPr>
            <w:tcW w:w="2020" w:type="dxa"/>
            <w:vAlign w:val="bottom"/>
            <w:shd w:val="clear" w:color="auto" w:fill="F3F9FF"/>
          </w:tcPr>
          <w:p>
            <w:pPr>
              <w:jc w:val="right"/>
              <w:ind w:right="470"/>
              <w:spacing w:after="0"/>
              <w:rPr>
                <w:sz w:val="20"/>
                <w:szCs w:val="20"/>
                <w:color w:val="auto"/>
              </w:rPr>
            </w:pPr>
            <w:r>
              <w:rPr>
                <w:rFonts w:ascii="Arial" w:cs="Arial" w:eastAsia="Arial" w:hAnsi="Arial"/>
                <w:sz w:val="18"/>
                <w:szCs w:val="18"/>
                <w:b w:val="1"/>
                <w:bCs w:val="1"/>
                <w:color w:val="auto"/>
              </w:rPr>
              <w:t>$2,201</w:t>
            </w:r>
          </w:p>
        </w:tc>
        <w:tc>
          <w:tcPr>
            <w:tcW w:w="1420" w:type="dxa"/>
            <w:vAlign w:val="bottom"/>
            <w:tcBorders>
              <w:right w:val="single" w:sz="8" w:color="C3E6FF"/>
            </w:tcBorders>
            <w:shd w:val="clear" w:color="auto" w:fill="F3F9FF"/>
          </w:tcPr>
          <w:p>
            <w:pPr>
              <w:jc w:val="right"/>
              <w:ind w:right="230"/>
              <w:spacing w:after="0"/>
              <w:rPr>
                <w:sz w:val="20"/>
                <w:szCs w:val="20"/>
                <w:color w:val="auto"/>
              </w:rPr>
            </w:pPr>
            <w:r>
              <w:rPr>
                <w:rFonts w:ascii="Arial" w:cs="Arial" w:eastAsia="Arial" w:hAnsi="Arial"/>
                <w:sz w:val="18"/>
                <w:szCs w:val="18"/>
                <w:b w:val="1"/>
                <w:bCs w:val="1"/>
                <w:color w:val="auto"/>
              </w:rPr>
              <w:t>$2,002</w:t>
            </w:r>
          </w:p>
        </w:tc>
      </w:tr>
      <w:tr>
        <w:trPr>
          <w:trHeight w:val="95"/>
        </w:trPr>
        <w:tc>
          <w:tcPr>
            <w:tcW w:w="3320" w:type="dxa"/>
            <w:vAlign w:val="bottom"/>
            <w:tcBorders>
              <w:left w:val="single" w:sz="8" w:color="C3E6FF"/>
              <w:bottom w:val="single" w:sz="8" w:color="C3E6FF"/>
            </w:tcBorders>
            <w:shd w:val="clear" w:color="auto" w:fill="F3F9FF"/>
          </w:tcPr>
          <w:p>
            <w:pPr>
              <w:spacing w:after="0"/>
              <w:rPr>
                <w:sz w:val="8"/>
                <w:szCs w:val="8"/>
                <w:color w:val="auto"/>
              </w:rPr>
            </w:pPr>
          </w:p>
        </w:tc>
        <w:tc>
          <w:tcPr>
            <w:tcW w:w="2020" w:type="dxa"/>
            <w:vAlign w:val="bottom"/>
            <w:tcBorders>
              <w:bottom w:val="single" w:sz="8" w:color="C3E6FF"/>
            </w:tcBorders>
            <w:shd w:val="clear" w:color="auto" w:fill="F3F9FF"/>
          </w:tcPr>
          <w:p>
            <w:pPr>
              <w:spacing w:after="0"/>
              <w:rPr>
                <w:sz w:val="8"/>
                <w:szCs w:val="8"/>
                <w:color w:val="auto"/>
              </w:rPr>
            </w:pPr>
          </w:p>
        </w:tc>
        <w:tc>
          <w:tcPr>
            <w:tcW w:w="1420" w:type="dxa"/>
            <w:vAlign w:val="bottom"/>
            <w:tcBorders>
              <w:bottom w:val="single" w:sz="8" w:color="C3E6FF"/>
              <w:right w:val="single" w:sz="8" w:color="C3E6FF"/>
            </w:tcBorders>
            <w:shd w:val="clear" w:color="auto" w:fill="F3F9FF"/>
          </w:tcPr>
          <w:p>
            <w:pPr>
              <w:spacing w:after="0"/>
              <w:rPr>
                <w:sz w:val="8"/>
                <w:szCs w:val="8"/>
                <w:color w:val="auto"/>
              </w:rPr>
            </w:pPr>
          </w:p>
        </w:tc>
      </w:tr>
    </w:tbl>
    <w:p>
      <w:pPr>
        <w:spacing w:after="0" w:line="1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262626"/>
        </w:rPr>
        <w:t xml:space="preserve">Audit Fees: </w:t>
      </w:r>
      <w:r>
        <w:rPr>
          <w:rFonts w:ascii="Arial" w:cs="Arial" w:eastAsia="Arial" w:hAnsi="Arial"/>
          <w:sz w:val="18"/>
          <w:szCs w:val="18"/>
          <w:color w:val="262626"/>
        </w:rPr>
        <w:t>Consist of fees billed or expected to be billed for professional services rendered for the audit of our consolidated financial</w:t>
      </w:r>
      <w:r>
        <w:rPr>
          <w:rFonts w:ascii="Arial" w:cs="Arial" w:eastAsia="Arial" w:hAnsi="Arial"/>
          <w:sz w:val="18"/>
          <w:szCs w:val="18"/>
          <w:b w:val="1"/>
          <w:bCs w:val="1"/>
          <w:color w:val="262626"/>
        </w:rPr>
        <w:t xml:space="preserve"> </w:t>
      </w:r>
      <w:r>
        <w:rPr>
          <w:rFonts w:ascii="Arial" w:cs="Arial" w:eastAsia="Arial" w:hAnsi="Arial"/>
          <w:sz w:val="18"/>
          <w:szCs w:val="18"/>
          <w:color w:val="262626"/>
        </w:rPr>
        <w:t>statements, including (i) the audit of effectiveness of internal control over financial reporting, (ii) review of our consolidated financial statements included in our quarterly reports, and (iii) services that are normally provided by our registered independent public accountants including services in connection with statutory or regulatory filings or engagements for those fiscal years.</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262626"/>
        </w:rPr>
        <w:t xml:space="preserve">Audit-Related Fees: </w:t>
      </w:r>
      <w:r>
        <w:rPr>
          <w:rFonts w:ascii="Arial" w:cs="Arial" w:eastAsia="Arial" w:hAnsi="Arial"/>
          <w:sz w:val="18"/>
          <w:szCs w:val="18"/>
          <w:color w:val="262626"/>
        </w:rPr>
        <w:t>Consist of fees billed for assurance and related services that are reasonably related to the performance of the audit or</w:t>
      </w:r>
      <w:r>
        <w:rPr>
          <w:rFonts w:ascii="Arial" w:cs="Arial" w:eastAsia="Arial" w:hAnsi="Arial"/>
          <w:sz w:val="18"/>
          <w:szCs w:val="18"/>
          <w:b w:val="1"/>
          <w:bCs w:val="1"/>
          <w:color w:val="262626"/>
        </w:rPr>
        <w:t xml:space="preserve"> </w:t>
      </w:r>
      <w:r>
        <w:rPr>
          <w:rFonts w:ascii="Arial" w:cs="Arial" w:eastAsia="Arial" w:hAnsi="Arial"/>
          <w:sz w:val="18"/>
          <w:szCs w:val="18"/>
          <w:color w:val="262626"/>
        </w:rPr>
        <w:t>review of our consolidated financial statements and are not reported under “Audit Fees.” These services include SSAE 18 service organization audits and due diligence in connection with acquisition activity.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 xml:space="preserve">Tax Fees: </w:t>
      </w:r>
      <w:r>
        <w:rPr>
          <w:rFonts w:ascii="Arial" w:cs="Arial" w:eastAsia="Arial" w:hAnsi="Arial"/>
          <w:sz w:val="18"/>
          <w:szCs w:val="18"/>
          <w:color w:val="262626"/>
        </w:rPr>
        <w:t>Consist primarily of fees billed or expected to be billed for other tax filing and advisory projects.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262626"/>
        </w:rPr>
        <w:t xml:space="preserve">All Other Fees: </w:t>
      </w:r>
      <w:r>
        <w:rPr>
          <w:rFonts w:ascii="Arial" w:cs="Arial" w:eastAsia="Arial" w:hAnsi="Arial"/>
          <w:sz w:val="18"/>
          <w:szCs w:val="18"/>
          <w:color w:val="262626"/>
        </w:rPr>
        <w:t>Consist of fees billed or expected to be billed for other permissible work performed by the Company’s independent public</w:t>
      </w:r>
      <w:r>
        <w:rPr>
          <w:rFonts w:ascii="Arial" w:cs="Arial" w:eastAsia="Arial" w:hAnsi="Arial"/>
          <w:sz w:val="18"/>
          <w:szCs w:val="18"/>
          <w:b w:val="1"/>
          <w:bCs w:val="1"/>
          <w:color w:val="262626"/>
        </w:rPr>
        <w:t xml:space="preserve"> </w:t>
      </w:r>
      <w:r>
        <w:rPr>
          <w:rFonts w:ascii="Arial" w:cs="Arial" w:eastAsia="Arial" w:hAnsi="Arial"/>
          <w:sz w:val="18"/>
          <w:szCs w:val="18"/>
          <w:color w:val="262626"/>
        </w:rPr>
        <w:t>registered accounting firm that does not meet the above category descriptions.</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62626"/>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62626"/>
        </w:rPr>
        <w:t>All of the fees paid to Deloitte in fiscal year 2019 were pre-approved by the Audit Committee.</w:t>
      </w:r>
    </w:p>
    <w:p>
      <w:pPr>
        <w:spacing w:after="0" w:line="33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7" w:name="page98"/>
    <w:bookmarkEnd w:id="97"/>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Required Vote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412230" cy="659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2230" cy="659765"/>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Our board recommends that you vote:</w:t>
      </w:r>
    </w:p>
    <w:p>
      <w:pPr>
        <w:ind w:left="120"/>
        <w:spacing w:after="0"/>
        <w:tabs>
          <w:tab w:leader="none" w:pos="980" w:val="left"/>
        </w:tabs>
        <w:rPr>
          <w:sz w:val="20"/>
          <w:szCs w:val="20"/>
          <w:color w:val="auto"/>
        </w:rPr>
      </w:pPr>
      <w:r>
        <w:rPr>
          <w:rFonts w:ascii="Arial" w:cs="Arial" w:eastAsia="Arial" w:hAnsi="Arial"/>
          <w:sz w:val="64"/>
          <w:szCs w:val="64"/>
          <w:b w:val="1"/>
          <w:bCs w:val="1"/>
          <w:color w:val="auto"/>
          <w:vertAlign w:val="subscript"/>
        </w:rPr>
        <w:t>FOR</w:t>
      </w:r>
      <w:r>
        <w:rPr>
          <w:sz w:val="20"/>
          <w:szCs w:val="20"/>
          <w:color w:val="auto"/>
        </w:rPr>
        <w:tab/>
      </w:r>
      <w:r>
        <w:rPr>
          <w:rFonts w:ascii="Arial" w:cs="Arial" w:eastAsia="Arial" w:hAnsi="Arial"/>
          <w:sz w:val="17"/>
          <w:szCs w:val="17"/>
          <w:b w:val="1"/>
          <w:bCs w:val="1"/>
          <w:color w:val="auto"/>
        </w:rPr>
        <w:t>the ratification of the appointment of Deloitte as our independent registered public accounting firm.</w:t>
      </w:r>
    </w:p>
    <w:p>
      <w:pPr>
        <w:spacing w:after="0" w:line="200" w:lineRule="exact"/>
        <w:rPr>
          <w:sz w:val="20"/>
          <w:szCs w:val="20"/>
          <w:color w:val="auto"/>
        </w:rPr>
      </w:pPr>
    </w:p>
    <w:p>
      <w:pPr>
        <w:spacing w:after="0" w:line="247"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8" w:name="page99"/>
    <w:bookmarkEnd w:id="98"/>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880"/>
        <w:spacing w:after="0" w:line="286" w:lineRule="auto"/>
        <w:rPr>
          <w:sz w:val="20"/>
          <w:szCs w:val="20"/>
          <w:color w:val="auto"/>
        </w:rPr>
      </w:pPr>
      <w:r>
        <w:rPr>
          <w:rFonts w:ascii="Arial" w:cs="Arial" w:eastAsia="Arial" w:hAnsi="Arial"/>
          <w:sz w:val="32"/>
          <w:szCs w:val="32"/>
          <w:b w:val="1"/>
          <w:bCs w:val="1"/>
          <w:color w:val="0B5497"/>
        </w:rPr>
        <w:t>PROPOSAL 3 — ADVISORY (NON-BINDING) VOTE ON EXECUTIVE COMPENSATION</w:t>
      </w:r>
    </w:p>
    <w:p>
      <w:pPr>
        <w:spacing w:after="0" w:line="117" w:lineRule="exact"/>
        <w:rPr>
          <w:sz w:val="20"/>
          <w:szCs w:val="20"/>
          <w:color w:val="auto"/>
        </w:rPr>
      </w:pPr>
    </w:p>
    <w:p>
      <w:pPr>
        <w:ind w:right="280"/>
        <w:spacing w:after="0"/>
        <w:rPr>
          <w:sz w:val="20"/>
          <w:szCs w:val="20"/>
          <w:color w:val="auto"/>
        </w:rPr>
      </w:pPr>
      <w:r>
        <w:rPr>
          <w:rFonts w:ascii="Arial" w:cs="Arial" w:eastAsia="Arial" w:hAnsi="Arial"/>
          <w:sz w:val="18"/>
          <w:szCs w:val="18"/>
          <w:color w:val="262626"/>
        </w:rPr>
        <w:t>Proposal 3 is a vote, on a non-binding advisory basis, to approve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vote as the “say-on-pay” vote.</w:t>
      </w:r>
    </w:p>
    <w:p>
      <w:pPr>
        <w:spacing w:after="0" w:line="1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262626"/>
        </w:rPr>
        <w:t>At the 2018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be held at the Annual Meeting to be held in 2023.</w:t>
      </w:r>
    </w:p>
    <w:p>
      <w:pPr>
        <w:spacing w:after="0" w:line="189" w:lineRule="exact"/>
        <w:rPr>
          <w:sz w:val="20"/>
          <w:szCs w:val="20"/>
          <w:color w:val="auto"/>
        </w:rPr>
      </w:pPr>
    </w:p>
    <w:p>
      <w:pPr>
        <w:ind w:left="660" w:hanging="328"/>
        <w:spacing w:after="0" w:line="246" w:lineRule="auto"/>
        <w:tabs>
          <w:tab w:leader="none" w:pos="660" w:val="left"/>
        </w:tabs>
        <w:numPr>
          <w:ilvl w:val="0"/>
          <w:numId w:val="116"/>
        </w:numPr>
        <w:rPr>
          <w:rFonts w:ascii="Arial" w:cs="Arial" w:eastAsia="Arial" w:hAnsi="Arial"/>
          <w:sz w:val="18"/>
          <w:szCs w:val="18"/>
          <w:color w:val="FF6503"/>
        </w:rPr>
      </w:pPr>
      <w:r>
        <w:rPr>
          <w:rFonts w:ascii="Arial" w:cs="Arial" w:eastAsia="Arial" w:hAnsi="Arial"/>
          <w:sz w:val="18"/>
          <w:szCs w:val="18"/>
          <w:color w:val="262626"/>
        </w:rPr>
        <w:t>Our board of directors is committed to corporate governance best practices and recognizes the significant interest of stockholders in executive compensation matters.</w:t>
      </w:r>
    </w:p>
    <w:p>
      <w:pPr>
        <w:spacing w:after="0" w:line="183" w:lineRule="exact"/>
        <w:rPr>
          <w:rFonts w:ascii="Arial" w:cs="Arial" w:eastAsia="Arial" w:hAnsi="Arial"/>
          <w:sz w:val="18"/>
          <w:szCs w:val="18"/>
          <w:color w:val="FF6503"/>
        </w:rPr>
      </w:pPr>
    </w:p>
    <w:p>
      <w:pPr>
        <w:ind w:left="660" w:right="80" w:hanging="328"/>
        <w:spacing w:after="0" w:line="237" w:lineRule="auto"/>
        <w:tabs>
          <w:tab w:leader="none" w:pos="660" w:val="left"/>
        </w:tabs>
        <w:numPr>
          <w:ilvl w:val="0"/>
          <w:numId w:val="116"/>
        </w:numPr>
        <w:rPr>
          <w:rFonts w:ascii="Arial" w:cs="Arial" w:eastAsia="Arial" w:hAnsi="Arial"/>
          <w:sz w:val="18"/>
          <w:szCs w:val="18"/>
          <w:color w:val="FF6503"/>
        </w:rPr>
      </w:pPr>
      <w:r>
        <w:rPr>
          <w:rFonts w:ascii="Arial" w:cs="Arial" w:eastAsia="Arial" w:hAnsi="Arial"/>
          <w:sz w:val="18"/>
          <w:szCs w:val="18"/>
          <w:color w:val="262626"/>
        </w:rPr>
        <w:t>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262626"/>
        </w:rPr>
        <w:t>In addition, our philosophy places more emphasis on variable elements of compensation (such as incentive bonuses and equity-based compensation) than fixed remuneration.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262626"/>
        </w:rPr>
        <w:t>Our stockholders have the opportunity to vote for, against or abstain from voting on the following resolution:</w:t>
      </w:r>
    </w:p>
    <w:p>
      <w:pPr>
        <w:spacing w:after="0" w:line="176" w:lineRule="exact"/>
        <w:rPr>
          <w:sz w:val="20"/>
          <w:szCs w:val="20"/>
          <w:color w:val="auto"/>
        </w:rPr>
      </w:pPr>
    </w:p>
    <w:p>
      <w:pPr>
        <w:jc w:val="both"/>
        <w:ind w:left="660" w:right="1660"/>
        <w:spacing w:after="0" w:line="247" w:lineRule="auto"/>
        <w:rPr>
          <w:sz w:val="20"/>
          <w:szCs w:val="20"/>
          <w:color w:val="auto"/>
        </w:rPr>
      </w:pPr>
      <w:r>
        <w:rPr>
          <w:rFonts w:ascii="Arial" w:cs="Arial" w:eastAsia="Arial" w:hAnsi="Arial"/>
          <w:sz w:val="18"/>
          <w:szCs w:val="18"/>
          <w:b w:val="1"/>
          <w:bCs w:val="1"/>
          <w:color w:val="262626"/>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8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262626"/>
        </w:rPr>
        <w:t>The above-referenced disclosures related to the compensation of our named executive officers appear beginning at page 42 of this proxy statement.</w:t>
      </w:r>
    </w:p>
    <w:p>
      <w:pPr>
        <w:spacing w:after="0" w:line="321"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9" w:name="page100"/>
    <w:bookmarkEnd w:id="99"/>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93FF"/>
        </w:rPr>
        <w:t>Required Vote</w:t>
      </w:r>
    </w:p>
    <w:p>
      <w:pPr>
        <w:spacing w:after="0" w:line="224"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412230" cy="9340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12230" cy="934085"/>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Our board recommends that you vote: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vMerge w:val="restart"/>
          </w:tcPr>
          <w:p>
            <w:pPr>
              <w:ind w:left="120"/>
              <w:spacing w:after="0"/>
              <w:rPr>
                <w:sz w:val="20"/>
                <w:szCs w:val="20"/>
                <w:color w:val="auto"/>
              </w:rPr>
            </w:pPr>
            <w:r>
              <w:rPr>
                <w:rFonts w:ascii="Arial" w:cs="Arial" w:eastAsia="Arial" w:hAnsi="Arial"/>
                <w:sz w:val="32"/>
                <w:szCs w:val="32"/>
                <w:b w:val="1"/>
                <w:bCs w:val="1"/>
                <w:color w:val="auto"/>
              </w:rPr>
              <w:t>FOR</w:t>
            </w:r>
          </w:p>
        </w:tc>
        <w:tc>
          <w:tcPr>
            <w:tcW w:w="10340" w:type="dxa"/>
            <w:vAlign w:val="bottom"/>
            <w:gridSpan w:val="2"/>
          </w:tcPr>
          <w:p>
            <w:pPr>
              <w:ind w:left="100"/>
              <w:spacing w:after="0"/>
              <w:rPr>
                <w:sz w:val="20"/>
                <w:szCs w:val="20"/>
                <w:color w:val="auto"/>
              </w:rPr>
            </w:pPr>
            <w:r>
              <w:rPr>
                <w:rFonts w:ascii="Arial" w:cs="Arial" w:eastAsia="Arial" w:hAnsi="Arial"/>
                <w:sz w:val="18"/>
                <w:szCs w:val="18"/>
                <w:b w:val="1"/>
                <w:bCs w:val="1"/>
                <w:color w:val="auto"/>
              </w:rPr>
              <w:t>the approval, on an advisory (non-binding) basis, of the compensation of our named executive officers</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1034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as disclosed pursuant to the compensation disclosure rules of the SEC (including the Compensation</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34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Discussion and Analysis, the compensation tables and any related material disclosed in this proxy</w:t>
            </w:r>
          </w:p>
        </w:tc>
        <w:tc>
          <w:tcPr>
            <w:tcW w:w="0" w:type="dxa"/>
            <w:vAlign w:val="bottom"/>
          </w:tcPr>
          <w:p>
            <w:pPr>
              <w:spacing w:after="0"/>
              <w:rPr>
                <w:sz w:val="1"/>
                <w:szCs w:val="1"/>
                <w:color w:val="auto"/>
              </w:rPr>
            </w:pPr>
          </w:p>
        </w:tc>
      </w:tr>
      <w:tr>
        <w:trPr>
          <w:trHeight w:val="239"/>
        </w:trPr>
        <w:tc>
          <w:tcPr>
            <w:tcW w:w="900" w:type="dxa"/>
            <w:vAlign w:val="bottom"/>
          </w:tcPr>
          <w:p>
            <w:pPr>
              <w:spacing w:after="0"/>
              <w:rPr>
                <w:sz w:val="20"/>
                <w:szCs w:val="20"/>
                <w:color w:val="auto"/>
              </w:rPr>
            </w:pPr>
          </w:p>
        </w:tc>
        <w:tc>
          <w:tcPr>
            <w:tcW w:w="10340" w:type="dxa"/>
            <w:vAlign w:val="bottom"/>
            <w:gridSpan w:val="2"/>
          </w:tcPr>
          <w:p>
            <w:pPr>
              <w:ind w:left="100"/>
              <w:spacing w:after="0"/>
              <w:rPr>
                <w:sz w:val="20"/>
                <w:szCs w:val="20"/>
                <w:color w:val="auto"/>
              </w:rPr>
            </w:pPr>
            <w:r>
              <w:rPr>
                <w:rFonts w:ascii="Arial" w:cs="Arial" w:eastAsia="Arial" w:hAnsi="Arial"/>
                <w:sz w:val="18"/>
                <w:szCs w:val="18"/>
                <w:b w:val="1"/>
                <w:bCs w:val="1"/>
                <w:color w:val="auto"/>
              </w:rPr>
              <w:t>statement)</w:t>
            </w:r>
          </w:p>
        </w:tc>
        <w:tc>
          <w:tcPr>
            <w:tcW w:w="0" w:type="dxa"/>
            <w:vAlign w:val="bottom"/>
          </w:tcPr>
          <w:p>
            <w:pPr>
              <w:spacing w:after="0"/>
              <w:rPr>
                <w:sz w:val="1"/>
                <w:szCs w:val="1"/>
                <w:color w:val="auto"/>
              </w:rPr>
            </w:pPr>
          </w:p>
        </w:tc>
      </w:tr>
      <w:tr>
        <w:trPr>
          <w:trHeight w:val="94"/>
        </w:trPr>
        <w:tc>
          <w:tcPr>
            <w:tcW w:w="900" w:type="dxa"/>
            <w:vAlign w:val="bottom"/>
            <w:tcBorders>
              <w:bottom w:val="single" w:sz="8" w:color="FF6503"/>
            </w:tcBorders>
          </w:tcPr>
          <w:p>
            <w:pPr>
              <w:spacing w:after="0"/>
              <w:rPr>
                <w:sz w:val="8"/>
                <w:szCs w:val="8"/>
                <w:color w:val="auto"/>
              </w:rPr>
            </w:pPr>
          </w:p>
        </w:tc>
        <w:tc>
          <w:tcPr>
            <w:tcW w:w="9200" w:type="dxa"/>
            <w:vAlign w:val="bottom"/>
            <w:tcBorders>
              <w:bottom w:val="single" w:sz="8" w:color="FF6503"/>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7"/>
        </w:trPr>
        <w:tc>
          <w:tcPr>
            <w:tcW w:w="900" w:type="dxa"/>
            <w:vAlign w:val="bottom"/>
          </w:tcPr>
          <w:p>
            <w:pPr>
              <w:spacing w:after="0"/>
              <w:rPr>
                <w:sz w:val="24"/>
                <w:szCs w:val="24"/>
                <w:color w:val="auto"/>
              </w:rPr>
            </w:pPr>
          </w:p>
        </w:tc>
        <w:tc>
          <w:tcPr>
            <w:tcW w:w="10340" w:type="dxa"/>
            <w:vAlign w:val="bottom"/>
            <w:gridSpan w:val="2"/>
          </w:tcPr>
          <w:p>
            <w:pPr>
              <w:ind w:left="8460"/>
              <w:spacing w:after="0"/>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 xml:space="preserve"> 93</w:t>
            </w:r>
          </w:p>
        </w:tc>
        <w:tc>
          <w:tcPr>
            <w:tcW w:w="0" w:type="dxa"/>
            <w:vAlign w:val="bottom"/>
          </w:tcPr>
          <w:p>
            <w:pPr>
              <w:spacing w:after="0"/>
              <w:rPr>
                <w:sz w:val="1"/>
                <w:szCs w:val="1"/>
                <w:color w:val="auto"/>
              </w:rPr>
            </w:pPr>
          </w:p>
        </w:tc>
      </w:tr>
      <w:tr>
        <w:trPr>
          <w:trHeight w:val="680"/>
        </w:trPr>
        <w:tc>
          <w:tcPr>
            <w:tcW w:w="9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0" w:name="page101"/>
    <w:bookmarkEnd w:id="100"/>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ind w:right="60"/>
        <w:spacing w:after="0" w:line="286" w:lineRule="auto"/>
        <w:rPr>
          <w:sz w:val="20"/>
          <w:szCs w:val="20"/>
          <w:color w:val="auto"/>
        </w:rPr>
      </w:pPr>
      <w:r>
        <w:rPr>
          <w:rFonts w:ascii="Arial" w:cs="Arial" w:eastAsia="Arial" w:hAnsi="Arial"/>
          <w:sz w:val="32"/>
          <w:szCs w:val="32"/>
          <w:b w:val="1"/>
          <w:bCs w:val="1"/>
          <w:color w:val="0B5497"/>
        </w:rPr>
        <w:t>STOCKHOLDER PROPOSALS AND DIRECTOR NOMINATIONS FOR THE 2021 ANNUAL MEETING</w:t>
      </w:r>
    </w:p>
    <w:p>
      <w:pPr>
        <w:spacing w:after="0" w:line="11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262626"/>
        </w:rPr>
        <w:t>Stockholder proposals intended to be included in our proxy materials for the 2021 Annual Meeting of Stockholders (“2021 Annual Meeting”) must be received by the deadline calculated in accordance with SEC Rule 14a-8, which is 120 days before the anniversary of the date of this year’s proxy statement. This year’s deadline is Friday, December 25, 2020. Such proposals must include the information required by SEC rules, and should be sent in writing by courier or certified mail to the Corporate Secretary of the Company at 320 Park Avenue, 29th Floor, New York, New York 10022. Stockholder proposals that are sent to any other person or location or by any other means may not be received in a timely manner and thus may be ineligible for inclusion.</w:t>
      </w:r>
    </w:p>
    <w:p>
      <w:pPr>
        <w:spacing w:after="0" w:line="1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262626"/>
        </w:rPr>
        <w:t>Stockholders who intend to submit proposals at the 2021 Annual Meeting but whose proposals are not included in the proxy materials for the meeting, and stockholders who intend to submit nominations for directors at the 2021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2021 Annual Meeting must be delivered between February 15, 2021 and March 17, 2021. Special notice provisions apply under the by-laws if the date of the 2021 Annual Meeting is more than 30 days before or 70 days after the anniversary date of this year’s Annual Meeting of Stockholders.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7"/>
          <w:szCs w:val="17"/>
          <w:color w:val="262626"/>
        </w:rPr>
        <w:t xml:space="preserve">Any notice of proposed business or nomination, whether or not included in our proxy statement, must include the information required under our by-laws, including Section 2.11.4, in order for the matter to be eligible for consideration at the 2021 Annual Meeting. The presiding officer of the 2021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t>
      </w:r>
      <w:r>
        <w:rPr>
          <w:rFonts w:ascii="Arial" w:cs="Arial" w:eastAsia="Arial" w:hAnsi="Arial"/>
          <w:sz w:val="17"/>
          <w:szCs w:val="17"/>
          <w:u w:val="single" w:color="auto"/>
          <w:color w:val="0563C1"/>
        </w:rPr>
        <w:t>www.sec.gov</w:t>
      </w:r>
      <w:r>
        <w:rPr>
          <w:rFonts w:ascii="Arial" w:cs="Arial" w:eastAsia="Arial" w:hAnsi="Arial"/>
          <w:sz w:val="17"/>
          <w:szCs w:val="17"/>
          <w:color w:val="262626"/>
        </w:rPr>
        <w:t>.</w:t>
      </w:r>
    </w:p>
    <w:p>
      <w:pPr>
        <w:spacing w:after="0" w:line="314"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1" w:name="page102"/>
    <w:bookmarkEnd w:id="101"/>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MISCELLANEOUS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Delivery of Documents to Stockholders Sharing an Address</w:t>
      </w:r>
    </w:p>
    <w:p>
      <w:pPr>
        <w:spacing w:after="0" w:line="224"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262626"/>
        </w:rPr>
        <w:t>If you are the beneficial owner, but not the record holder, of shares of our common stock, your broker, bank, trust or other nominee may only deliver one copy of this proxy statement and the 2019 Form 10-K, which serves as our Annual Report to Stockholders under Regulation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262626"/>
        </w:rPr>
        <w:t>14A (the “2019 Annual Report”), to multiple stockholders who share an address unless that nominee has received contrary instructions from one or more of the stockholders. We will deliver promptly, upon written or oral request, a separate copy of this proxy statement and the 2019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the Investor Relations page of our website at https://ir.exlservice.com/.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93FF"/>
        </w:rPr>
        <w:t>Electronic Access to Proxy Statement and Annual Report</w:t>
      </w:r>
    </w:p>
    <w:p>
      <w:pPr>
        <w:spacing w:after="0" w:line="22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262626"/>
        </w:rPr>
        <w:t>This proxy statement and our 2019 Annual Report may be viewed on our website at www.exlservice.com and at www.proxyvote.com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328"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2" w:name="page103"/>
    <w:bookmarkEnd w:id="10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457200</wp:posOffset>
            </wp:positionV>
            <wp:extent cx="600075" cy="411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0B5497"/>
        </w:rPr>
        <w:t>OTHER MATTERS</w:t>
      </w:r>
    </w:p>
    <w:p>
      <w:pPr>
        <w:spacing w:after="0" w:line="248" w:lineRule="exact"/>
        <w:rPr>
          <w:sz w:val="20"/>
          <w:szCs w:val="20"/>
          <w:color w:val="auto"/>
        </w:rPr>
      </w:pPr>
    </w:p>
    <w:p>
      <w:pPr>
        <w:ind w:right="180"/>
        <w:spacing w:after="0"/>
        <w:rPr>
          <w:sz w:val="20"/>
          <w:szCs w:val="20"/>
          <w:color w:val="auto"/>
        </w:rPr>
      </w:pPr>
      <w:r>
        <w:rPr>
          <w:rFonts w:ascii="Arial" w:cs="Arial" w:eastAsia="Arial" w:hAnsi="Arial"/>
          <w:sz w:val="18"/>
          <w:szCs w:val="18"/>
          <w:color w:val="262626"/>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62626"/>
        </w:rPr>
        <w:t>Whether or not you intend to be present at the Annual Meeting, we urge you to submit your signed proxy promptly.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262626"/>
        </w:rPr>
        <w:t>By Order of the Board of Directors,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262626"/>
        </w:rPr>
        <w:t>Ajay Ayyappan</w:t>
      </w:r>
    </w:p>
    <w:p>
      <w:pPr>
        <w:jc w:val="right"/>
        <w:spacing w:after="0"/>
        <w:rPr>
          <w:sz w:val="20"/>
          <w:szCs w:val="20"/>
          <w:color w:val="auto"/>
        </w:rPr>
      </w:pPr>
      <w:r>
        <w:rPr>
          <w:rFonts w:ascii="Arial" w:cs="Arial" w:eastAsia="Arial" w:hAnsi="Arial"/>
          <w:sz w:val="18"/>
          <w:szCs w:val="18"/>
          <w:color w:val="262626"/>
        </w:rPr>
        <w:t>Senior Vice President, General Counsel and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62626"/>
        </w:rPr>
        <w:t>New York, New York</w:t>
      </w:r>
    </w:p>
    <w:p>
      <w:pPr>
        <w:spacing w:after="0"/>
        <w:rPr>
          <w:sz w:val="20"/>
          <w:szCs w:val="20"/>
          <w:color w:val="auto"/>
        </w:rPr>
      </w:pPr>
      <w:r>
        <w:rPr>
          <w:rFonts w:ascii="Arial" w:cs="Arial" w:eastAsia="Arial" w:hAnsi="Arial"/>
          <w:sz w:val="18"/>
          <w:szCs w:val="18"/>
          <w:color w:val="262626"/>
        </w:rPr>
        <w:t>April 24, 2020</w:t>
      </w:r>
    </w:p>
    <w:p>
      <w:pPr>
        <w:spacing w:after="0" w:line="17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color w:val="262626"/>
        </w:rPr>
        <w:t>We will furnish without charge to each person whose proxy is being solicited, upon the written request of any such person, a copy of the 2019 Form 10-K, as filed with the SEC, as well as copies of exhibits to the 2019 Form 10-K, but for copies of exhibits will charge a reasonable fee per page to any requesting stockholder. Stockholders may make such request in writing to ExlService Holdings, Inc., 320 Park Avenue, 29th Floor, New York, New York 10022, Attention: Investor Relations. The request must include a representation by the stockholder that as of April 17, 2020, the stockholder was entitled to vote at the Annual Meeting</w:t>
      </w:r>
      <w:r>
        <w:rPr>
          <w:rFonts w:ascii="Arial" w:cs="Arial" w:eastAsia="Arial" w:hAnsi="Arial"/>
          <w:sz w:val="18"/>
          <w:szCs w:val="18"/>
          <w:color w:val="262626"/>
        </w:rPr>
        <w:t>.</w:t>
      </w:r>
    </w:p>
    <w:p>
      <w:pPr>
        <w:spacing w:after="0" w:line="325" w:lineRule="exact"/>
        <w:rPr>
          <w:sz w:val="20"/>
          <w:szCs w:val="20"/>
          <w:color w:val="auto"/>
        </w:rPr>
      </w:pPr>
    </w:p>
    <w:p>
      <w:pPr>
        <w:ind w:left="9360"/>
        <w:spacing w:after="0"/>
        <w:tabs>
          <w:tab w:leader="none" w:pos="10860" w:val="left"/>
        </w:tabs>
        <w:rPr>
          <w:sz w:val="20"/>
          <w:szCs w:val="20"/>
          <w:color w:val="auto"/>
        </w:rPr>
      </w:pPr>
      <w:r>
        <w:rPr>
          <w:rFonts w:ascii="Arial" w:cs="Arial" w:eastAsia="Arial" w:hAnsi="Arial"/>
          <w:sz w:val="14"/>
          <w:szCs w:val="14"/>
          <w:color w:val="0094FF"/>
        </w:rPr>
        <w:t xml:space="preserve">EXLSERVICE.COM </w:t>
      </w:r>
      <w:r>
        <w:rPr>
          <w:rFonts w:ascii="Arial" w:cs="Arial" w:eastAsia="Arial" w:hAnsi="Arial"/>
          <w:sz w:val="25"/>
          <w:szCs w:val="25"/>
          <w:color w:val="0094FF"/>
        </w:rPr>
        <w:t>⁄</w:t>
      </w:r>
      <w:r>
        <w:rPr>
          <w:rFonts w:ascii="Arial" w:cs="Arial" w:eastAsia="Arial" w:hAnsi="Arial"/>
          <w:sz w:val="14"/>
          <w:szCs w:val="14"/>
          <w:color w:val="0094FF"/>
        </w:rPr>
        <w:tab/>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457200</wp:posOffset>
            </wp:positionV>
            <wp:extent cx="7132320" cy="76898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768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18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901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8557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55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
    <w:nsid w:val="D34B6A8"/>
    <w:multiLevelType w:val="hybridMultilevel"/>
    <w:lvl w:ilvl="0">
      <w:lvlJc w:val="left"/>
      <w:lvlText w:val="o"/>
      <w:numFmt w:val="bullet"/>
      <w:start w:val="1"/>
    </w:lvl>
    <w:lvl w:ilvl="1">
      <w:lvlJc w:val="left"/>
      <w:lvlText w:val="(%2)"/>
      <w:numFmt w:val="decimal"/>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decimal"/>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decimal"/>
      <w:start w:val="1"/>
    </w:lvl>
  </w:abstractNum>
  <w:abstractNum w:abstractNumId="12">
    <w:nsid w:val="5FF87E05"/>
    <w:multiLevelType w:val="hybridMultilevel"/>
    <w:lvl w:ilvl="0">
      <w:lvlJc w:val="left"/>
      <w:lvlText w:val="●"/>
      <w:numFmt w:val="bullet"/>
      <w:start w:val="1"/>
    </w:lvl>
    <w:lvl w:ilvl="1">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lvl w:ilvl="1">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
      <w:numFmt w:val="bullet"/>
      <w:start w:val="1"/>
    </w:lvl>
  </w:abstractNum>
  <w:abstractNum w:abstractNumId="66">
    <w:nsid w:val="4A2AC315"/>
    <w:multiLevelType w:val="hybridMultilevel"/>
    <w:lvl w:ilvl="0">
      <w:lvlJc w:val="left"/>
      <w:lvlText w:val="•"/>
      <w:numFmt w:val="bullet"/>
      <w:start w:val="1"/>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
      <w:numFmt w:val="bullet"/>
      <w:start w:val="1"/>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1)"/>
      <w:numFmt w:val="decimal"/>
      <w:start w:val="1"/>
    </w:lvl>
  </w:abstractNum>
  <w:abstractNum w:abstractNumId="72">
    <w:nsid w:val="26F324BA"/>
    <w:multiLevelType w:val="hybridMultilevel"/>
    <w:lvl w:ilvl="0">
      <w:lvlJc w:val="left"/>
      <w:lvlText w:val="●"/>
      <w:numFmt w:val="bullet"/>
      <w:start w:val="1"/>
    </w:lvl>
  </w:abstractNum>
  <w:abstractNum w:abstractNumId="73">
    <w:nsid w:val="7F01579B"/>
    <w:multiLevelType w:val="hybridMultilevel"/>
    <w:lvl w:ilvl="0">
      <w:lvlJc w:val="left"/>
      <w:lvlText w:val="●"/>
      <w:numFmt w:val="bullet"/>
      <w:start w:val="1"/>
    </w:lvl>
  </w:abstractNum>
  <w:abstractNum w:abstractNumId="74">
    <w:nsid w:val="49DA307D"/>
    <w:multiLevelType w:val="hybridMultilevel"/>
    <w:lvl w:ilvl="0">
      <w:lvlJc w:val="left"/>
      <w:lvlText w:val="●"/>
      <w:numFmt w:val="bullet"/>
      <w:start w:val="1"/>
    </w:lvl>
  </w:abstractNum>
  <w:abstractNum w:abstractNumId="75">
    <w:nsid w:val="7055A5F5"/>
    <w:multiLevelType w:val="hybridMultilevel"/>
    <w:lvl w:ilvl="0">
      <w:lvlJc w:val="left"/>
      <w:lvlText w:val="●"/>
      <w:numFmt w:val="bullet"/>
      <w:start w:val="1"/>
    </w:lvl>
    <w:lvl w:ilvl="1">
      <w:lvlJc w:val="left"/>
      <w:lvlText w:val="―"/>
      <w:numFmt w:val="bullet"/>
      <w:start w:val="1"/>
    </w:lvl>
  </w:abstractNum>
  <w:abstractNum w:abstractNumId="76">
    <w:nsid w:val="5FB8370B"/>
    <w:multiLevelType w:val="hybridMultilevel"/>
    <w:lvl w:ilvl="0">
      <w:lvlJc w:val="left"/>
      <w:lvlText w:val="(%1)"/>
      <w:numFmt w:val="decimal"/>
      <w:start w:val="1"/>
    </w:lvl>
  </w:abstractNum>
  <w:abstractNum w:abstractNumId="77">
    <w:nsid w:val="50801EE1"/>
    <w:multiLevelType w:val="hybridMultilevel"/>
    <w:lvl w:ilvl="0">
      <w:lvlJc w:val="left"/>
      <w:lvlText w:val="●"/>
      <w:numFmt w:val="bullet"/>
      <w:start w:val="1"/>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1)"/>
      <w:numFmt w:val="decimal"/>
      <w:start w:val="1"/>
    </w:lvl>
  </w:abstractNum>
  <w:abstractNum w:abstractNumId="82">
    <w:nsid w:val="6FC75AF8"/>
    <w:multiLevelType w:val="hybridMultilevel"/>
    <w:lvl w:ilvl="0">
      <w:lvlJc w:val="left"/>
      <w:lvlText w:val="●"/>
      <w:numFmt w:val="bullet"/>
      <w:start w:val="1"/>
    </w:lvl>
  </w:abstractNum>
  <w:abstractNum w:abstractNumId="83">
    <w:nsid w:val="6A5F7029"/>
    <w:multiLevelType w:val="hybridMultilevel"/>
    <w:lvl w:ilvl="0">
      <w:lvlJc w:val="left"/>
      <w:lvlText w:val="●"/>
      <w:numFmt w:val="bullet"/>
      <w:start w:val="1"/>
    </w:lvl>
  </w:abstractNum>
  <w:abstractNum w:abstractNumId="84">
    <w:nsid w:val="7D5E18F8"/>
    <w:multiLevelType w:val="hybridMultilevel"/>
    <w:lvl w:ilvl="0">
      <w:lvlJc w:val="left"/>
      <w:lvlText w:val="(%1)"/>
      <w:numFmt w:val="decimal"/>
      <w:start w:val="1"/>
    </w:lvl>
  </w:abstractNum>
  <w:abstractNum w:abstractNumId="85">
    <w:nsid w:val="5F3534A4"/>
    <w:multiLevelType w:val="hybridMultilevel"/>
    <w:lvl w:ilvl="0">
      <w:lvlJc w:val="left"/>
      <w:lvlText w:val="●"/>
      <w:numFmt w:val="bullet"/>
      <w:start w:val="1"/>
    </w:lvl>
    <w:lvl w:ilvl="1">
      <w:lvlJc w:val="left"/>
      <w:lvlText w:val="―"/>
      <w:numFmt w:val="bullet"/>
      <w:start w:val="1"/>
    </w:lvl>
  </w:abstractNum>
  <w:abstractNum w:abstractNumId="86">
    <w:nsid w:val="73A1821B"/>
    <w:multiLevelType w:val="hybridMultilevel"/>
    <w:lvl w:ilvl="0">
      <w:lvlJc w:val="left"/>
      <w:lvlText w:val="―"/>
      <w:numFmt w:val="bullet"/>
      <w:start w:val="1"/>
    </w:lvl>
  </w:abstractNum>
  <w:abstractNum w:abstractNumId="87">
    <w:nsid w:val="7DE67713"/>
    <w:multiLevelType w:val="hybridMultilevel"/>
    <w:lvl w:ilvl="0">
      <w:lvlJc w:val="left"/>
      <w:lvlText w:val="●"/>
      <w:numFmt w:val="bullet"/>
      <w:start w:val="1"/>
    </w:lvl>
  </w:abstractNum>
  <w:abstractNum w:abstractNumId="88">
    <w:nsid w:val="555C55B5"/>
    <w:multiLevelType w:val="hybridMultilevel"/>
    <w:lvl w:ilvl="0">
      <w:lvlJc w:val="left"/>
      <w:lvlText w:val="●"/>
      <w:numFmt w:val="bullet"/>
      <w:start w:val="1"/>
    </w:lvl>
  </w:abstractNum>
  <w:abstractNum w:abstractNumId="89">
    <w:nsid w:val="3FA62ACA"/>
    <w:multiLevelType w:val="hybridMultilevel"/>
    <w:lvl w:ilvl="0">
      <w:lvlJc w:val="left"/>
      <w:lvlText w:val="(%1)"/>
      <w:numFmt w:val="decimal"/>
      <w:start w:val="1"/>
    </w:lvl>
  </w:abstractNum>
  <w:abstractNum w:abstractNumId="90">
    <w:nsid w:val="14FCE74E"/>
    <w:multiLevelType w:val="hybridMultilevel"/>
    <w:lvl w:ilvl="0">
      <w:lvlJc w:val="left"/>
      <w:lvlText w:val="(%1)"/>
      <w:numFmt w:val="decimal"/>
      <w:start w:val="5"/>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6"/>
    </w:lvl>
  </w:abstractNum>
  <w:abstractNum w:abstractNumId="93">
    <w:nsid w:val="9DAF632"/>
    <w:multiLevelType w:val="hybridMultilevel"/>
    <w:lvl w:ilvl="0">
      <w:lvlJc w:val="left"/>
      <w:lvlText w:val="●"/>
      <w:numFmt w:val="bullet"/>
      <w:start w:val="1"/>
    </w:lvl>
  </w:abstractNum>
  <w:abstractNum w:abstractNumId="94">
    <w:nsid w:val="53299938"/>
    <w:multiLevelType w:val="hybridMultilevel"/>
    <w:lvl w:ilvl="0">
      <w:lvlJc w:val="left"/>
      <w:lvlText w:val="●"/>
      <w:numFmt w:val="bullet"/>
      <w:start w:val="1"/>
    </w:lvl>
  </w:abstractNum>
  <w:abstractNum w:abstractNumId="95">
    <w:nsid w:val="1FBFE8E0"/>
    <w:multiLevelType w:val="hybridMultilevel"/>
    <w:lvl w:ilvl="0">
      <w:lvlJc w:val="left"/>
      <w:lvlText w:val="●"/>
      <w:numFmt w:val="bullet"/>
      <w:start w:val="1"/>
    </w:lvl>
  </w:abstractNum>
  <w:abstractNum w:abstractNumId="96">
    <w:nsid w:val="5092CA79"/>
    <w:multiLevelType w:val="hybridMultilevel"/>
    <w:lvl w:ilvl="0">
      <w:lvlJc w:val="left"/>
      <w:lvlText w:val="●"/>
      <w:numFmt w:val="bullet"/>
      <w:start w:val="1"/>
    </w:lvl>
  </w:abstractNum>
  <w:abstractNum w:abstractNumId="97">
    <w:nsid w:val="1D545C4D"/>
    <w:multiLevelType w:val="hybridMultilevel"/>
    <w:lvl w:ilvl="0">
      <w:lvlJc w:val="left"/>
      <w:lvlText w:val="●"/>
      <w:numFmt w:val="bullet"/>
      <w:start w:val="1"/>
    </w:lvl>
  </w:abstractNum>
  <w:abstractNum w:abstractNumId="98">
    <w:nsid w:val="59ADEA3D"/>
    <w:multiLevelType w:val="hybridMultilevel"/>
    <w:lvl w:ilvl="0">
      <w:lvlJc w:val="left"/>
      <w:lvlText w:val="(%1)"/>
      <w:numFmt w:val="decimal"/>
      <w:start w:val="1"/>
    </w:lvl>
  </w:abstractNum>
  <w:abstractNum w:abstractNumId="99">
    <w:nsid w:val="288F1A34"/>
    <w:multiLevelType w:val="hybridMultilevel"/>
    <w:lvl w:ilvl="0">
      <w:lvlJc w:val="left"/>
      <w:lvlText w:val="(%1)"/>
      <w:numFmt w:val="decimal"/>
      <w:start w:val="2"/>
    </w:lvl>
    <w:lvl w:ilvl="1">
      <w:lvlJc w:val="left"/>
      <w:lvlText w:val="(%2)"/>
      <w:numFmt w:val="lowerLetter"/>
      <w:start w:val="1"/>
    </w:lvl>
  </w:abstractNum>
  <w:abstractNum w:abstractNumId="100">
    <w:nsid w:val="2A155DBC"/>
    <w:multiLevelType w:val="hybridMultilevel"/>
    <w:lvl w:ilvl="0">
      <w:lvlJc w:val="left"/>
      <w:lvlText w:val="(%1)"/>
      <w:numFmt w:val="decimal"/>
      <w:start w:val="1"/>
    </w:lvl>
  </w:abstractNum>
  <w:abstractNum w:abstractNumId="101">
    <w:nsid w:val="1D9F6E5F"/>
    <w:multiLevelType w:val="hybridMultilevel"/>
    <w:lvl w:ilvl="0">
      <w:lvlJc w:val="left"/>
      <w:lvlText w:val="●"/>
      <w:numFmt w:val="bullet"/>
      <w:start w:val="1"/>
    </w:lvl>
  </w:abstractNum>
  <w:abstractNum w:abstractNumId="102">
    <w:nsid w:val="97E1B4E"/>
    <w:multiLevelType w:val="hybridMultilevel"/>
    <w:lvl w:ilvl="0">
      <w:lvlJc w:val="left"/>
      <w:lvlText w:val="●"/>
      <w:numFmt w:val="bullet"/>
      <w:start w:val="1"/>
    </w:lvl>
  </w:abstractNum>
  <w:abstractNum w:abstractNumId="103">
    <w:nsid w:val="51088277"/>
    <w:multiLevelType w:val="hybridMultilevel"/>
    <w:lvl w:ilvl="0">
      <w:lvlJc w:val="left"/>
      <w:lvlText w:val="(%1)"/>
      <w:numFmt w:val="decimal"/>
      <w:start w:val="1"/>
    </w:lvl>
  </w:abstractNum>
  <w:abstractNum w:abstractNumId="104">
    <w:nsid w:val="1CA0C5FA"/>
    <w:multiLevelType w:val="hybridMultilevel"/>
    <w:lvl w:ilvl="0">
      <w:lvlJc w:val="left"/>
      <w:lvlText w:val="●"/>
      <w:numFmt w:val="bullet"/>
      <w:start w:val="1"/>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decimal"/>
      <w:start w:val="1"/>
    </w:lvl>
  </w:abstractNum>
  <w:abstractNum w:abstractNumId="108">
    <w:nsid w:val="23D86AAC"/>
    <w:multiLevelType w:val="hybridMultilevel"/>
    <w:lvl w:ilvl="0">
      <w:lvlJc w:val="left"/>
      <w:lvlText w:val="%1)"/>
      <w:numFmt w:val="decimal"/>
      <w:start w:val="4"/>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1"/>
    </w:lvl>
  </w:abstractNum>
  <w:abstractNum w:abstractNumId="113">
    <w:nsid w:val="4BD8591A"/>
    <w:multiLevelType w:val="hybridMultilevel"/>
    <w:lvl w:ilvl="0">
      <w:lvlJc w:val="left"/>
      <w:lvlText w:val="•"/>
      <w:numFmt w:val="bullet"/>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2020-04-24T16:19:12Z</dcterms:created>
  <dcterms:modified xsi:type="dcterms:W3CDTF">2020-04-24T16:19:12Z</dcterms:modified>
</cp:coreProperties>
</file>