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9"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Orogen Echo LLC</w:t>
              </w:r>
            </w:hyperlink>
          </w:p>
        </w:tc>
        <w:tc>
          <w:tcPr>
            <w:tcW w:w="13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10/04/2018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(First)</w:t>
            </w:r>
          </w:p>
        </w:tc>
        <w:tc>
          <w:tcPr>
            <w:tcW w:w="1320" w:type="dxa"/>
            <w:vAlign w:val="bottom"/>
          </w:tcPr>
          <w:p>
            <w:pPr>
              <w:ind w:left="2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C/O THE OROGEN GROUP LLC</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right="1800"/>
        <w:spacing w:after="0" w:line="268" w:lineRule="auto"/>
        <w:rPr>
          <w:sz w:val="20"/>
          <w:szCs w:val="20"/>
          <w:color w:val="auto"/>
        </w:rPr>
      </w:pPr>
      <w:r>
        <w:rPr>
          <w:rFonts w:ascii="Arial" w:cs="Arial" w:eastAsia="Arial" w:hAnsi="Arial"/>
          <w:sz w:val="18"/>
          <w:szCs w:val="18"/>
          <w:color w:val="0000FF"/>
        </w:rPr>
        <w:t>ONE ROCKEFELLER PLAZA SUITE 2416</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10020</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ExlService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EXLS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84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480" w:type="dxa"/>
            <w:vAlign w:val="bottom"/>
          </w:tcPr>
          <w:p>
            <w:pPr>
              <w:ind w:left="32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9"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9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2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7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ind w:left="84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200" w:type="dxa"/>
            <w:vAlign w:val="bottom"/>
            <w:vMerge w:val="continue"/>
          </w:tcPr>
          <w:p>
            <w:pPr>
              <w:spacing w:after="0"/>
              <w:rPr>
                <w:sz w:val="15"/>
                <w:szCs w:val="15"/>
                <w:color w:val="auto"/>
              </w:rPr>
            </w:pPr>
          </w:p>
        </w:tc>
        <w:tc>
          <w:tcPr>
            <w:tcW w:w="1760" w:type="dxa"/>
            <w:vAlign w:val="bottom"/>
          </w:tcPr>
          <w:p>
            <w:pPr>
              <w:ind w:left="8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7"/>
          </w:tcPr>
          <w:p>
            <w:pPr>
              <w:ind w:left="60"/>
              <w:spacing w:after="0"/>
              <w:rPr>
                <w:sz w:val="20"/>
                <w:szCs w:val="20"/>
                <w:color w:val="auto"/>
              </w:rPr>
            </w:pPr>
            <w:r>
              <w:rPr>
                <w:rFonts w:ascii="Arial" w:cs="Arial" w:eastAsia="Arial" w:hAnsi="Arial"/>
                <w:sz w:val="18"/>
                <w:szCs w:val="18"/>
                <w:color w:val="0000FF"/>
                <w:w w:val="99"/>
              </w:rPr>
              <w:t>3.50% Convertible Senior Notes due 2024</w:t>
            </w:r>
            <w:r>
              <w:rPr>
                <w:rFonts w:ascii="Arial" w:cs="Arial" w:eastAsia="Arial" w:hAnsi="Arial"/>
                <w:sz w:val="22"/>
                <w:szCs w:val="22"/>
                <w:color w:val="008000"/>
                <w:w w:val="99"/>
                <w:vertAlign w:val="superscript"/>
              </w:rPr>
              <w:t>(1)</w:t>
            </w:r>
          </w:p>
        </w:tc>
        <w:tc>
          <w:tcPr>
            <w:tcW w:w="820" w:type="dxa"/>
            <w:vAlign w:val="bottom"/>
          </w:tcPr>
          <w:p>
            <w:pPr>
              <w:jc w:val="right"/>
              <w:ind w:right="504"/>
              <w:spacing w:after="0"/>
              <w:rPr>
                <w:sz w:val="20"/>
                <w:szCs w:val="20"/>
                <w:color w:val="auto"/>
              </w:rPr>
            </w:pPr>
            <w:r>
              <w:rPr>
                <w:rFonts w:ascii="Arial" w:cs="Arial" w:eastAsia="Arial" w:hAnsi="Arial"/>
                <w:sz w:val="11"/>
                <w:szCs w:val="11"/>
                <w:color w:val="008000"/>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ind w:right="324"/>
              <w:spacing w:after="0"/>
              <w:rPr>
                <w:sz w:val="20"/>
                <w:szCs w:val="20"/>
                <w:color w:val="auto"/>
              </w:rPr>
            </w:pPr>
            <w:r>
              <w:rPr>
                <w:rFonts w:ascii="Arial" w:cs="Arial" w:eastAsia="Arial" w:hAnsi="Arial"/>
                <w:sz w:val="11"/>
                <w:szCs w:val="11"/>
                <w:color w:val="008000"/>
              </w:rPr>
              <w:t>(3)</w:t>
            </w:r>
          </w:p>
        </w:tc>
        <w:tc>
          <w:tcPr>
            <w:tcW w:w="1760" w:type="dxa"/>
            <w:vAlign w:val="bottom"/>
          </w:tcPr>
          <w:p>
            <w:pPr>
              <w:ind w:left="400"/>
              <w:spacing w:after="0"/>
              <w:rPr>
                <w:sz w:val="20"/>
                <w:szCs w:val="20"/>
                <w:color w:val="auto"/>
              </w:rPr>
            </w:pPr>
            <w:r>
              <w:rPr>
                <w:rFonts w:ascii="Arial" w:cs="Arial" w:eastAsia="Arial" w:hAnsi="Arial"/>
                <w:sz w:val="18"/>
                <w:szCs w:val="18"/>
                <w:color w:val="0000FF"/>
              </w:rPr>
              <w:t>Common Stock</w:t>
            </w:r>
          </w:p>
        </w:tc>
        <w:tc>
          <w:tcPr>
            <w:tcW w:w="1300" w:type="dxa"/>
            <w:vAlign w:val="bottom"/>
          </w:tcPr>
          <w:p>
            <w:pPr>
              <w:jc w:val="right"/>
              <w:ind w:right="132"/>
              <w:spacing w:after="0"/>
              <w:rPr>
                <w:sz w:val="20"/>
                <w:szCs w:val="20"/>
                <w:color w:val="auto"/>
              </w:rPr>
            </w:pPr>
            <w:r>
              <w:rPr>
                <w:rFonts w:ascii="Arial" w:cs="Arial" w:eastAsia="Arial" w:hAnsi="Arial"/>
                <w:sz w:val="18"/>
                <w:szCs w:val="18"/>
                <w:color w:val="0000FF"/>
              </w:rPr>
              <w:t>2,000,000</w:t>
            </w:r>
            <w:r>
              <w:rPr>
                <w:rFonts w:ascii="Arial" w:cs="Arial" w:eastAsia="Arial" w:hAnsi="Arial"/>
                <w:sz w:val="22"/>
                <w:szCs w:val="22"/>
                <w:color w:val="008000"/>
                <w:vertAlign w:val="superscript"/>
              </w:rPr>
              <w:t>(4)</w:t>
            </w:r>
          </w:p>
        </w:tc>
        <w:tc>
          <w:tcPr>
            <w:tcW w:w="780" w:type="dxa"/>
            <w:vAlign w:val="bottom"/>
          </w:tcPr>
          <w:p>
            <w:pPr>
              <w:jc w:val="right"/>
              <w:ind w:right="312"/>
              <w:spacing w:after="0"/>
              <w:rPr>
                <w:sz w:val="20"/>
                <w:szCs w:val="20"/>
                <w:color w:val="auto"/>
              </w:rPr>
            </w:pPr>
            <w:r>
              <w:rPr>
                <w:rFonts w:ascii="Arial" w:cs="Arial" w:eastAsia="Arial" w:hAnsi="Arial"/>
                <w:sz w:val="18"/>
                <w:szCs w:val="18"/>
                <w:color w:val="0000FF"/>
              </w:rPr>
              <w:t>75</w:t>
            </w:r>
          </w:p>
        </w:tc>
        <w:tc>
          <w:tcPr>
            <w:tcW w:w="680" w:type="dxa"/>
            <w:vAlign w:val="bottom"/>
          </w:tcPr>
          <w:p>
            <w:pPr>
              <w:ind w:left="380"/>
              <w:spacing w:after="0"/>
              <w:rPr>
                <w:sz w:val="20"/>
                <w:szCs w:val="20"/>
                <w:color w:val="auto"/>
              </w:rPr>
            </w:pPr>
            <w:r>
              <w:rPr>
                <w:rFonts w:ascii="Arial" w:cs="Arial" w:eastAsia="Arial" w:hAnsi="Arial"/>
                <w:sz w:val="18"/>
                <w:szCs w:val="18"/>
                <w:color w:val="0000FF"/>
              </w:rPr>
              <w:t>I</w:t>
            </w:r>
          </w:p>
        </w:tc>
        <w:tc>
          <w:tcPr>
            <w:tcW w:w="1780" w:type="dxa"/>
            <w:vAlign w:val="bottom"/>
          </w:tcPr>
          <w:p>
            <w:pPr>
              <w:ind w:left="240"/>
              <w:spacing w:after="0"/>
              <w:rPr>
                <w:sz w:val="20"/>
                <w:szCs w:val="20"/>
                <w:color w:val="auto"/>
              </w:rPr>
            </w:pPr>
            <w:r>
              <w:rPr>
                <w:rFonts w:ascii="Arial" w:cs="Arial" w:eastAsia="Arial" w:hAnsi="Arial"/>
                <w:sz w:val="18"/>
                <w:szCs w:val="18"/>
                <w:color w:val="0000FF"/>
                <w:w w:val="99"/>
              </w:rPr>
              <w:t>See Footnotes</w:t>
            </w:r>
            <w:r>
              <w:rPr>
                <w:rFonts w:ascii="Arial" w:cs="Arial" w:eastAsia="Arial" w:hAnsi="Arial"/>
                <w:sz w:val="22"/>
                <w:szCs w:val="22"/>
                <w:color w:val="008000"/>
                <w:w w:val="99"/>
                <w:vertAlign w:val="superscript"/>
              </w:rPr>
              <w:t>(1)(2)</w:t>
            </w:r>
          </w:p>
        </w:tc>
      </w:tr>
      <w:tr>
        <w:trPr>
          <w:trHeight w:val="142"/>
        </w:trPr>
        <w:tc>
          <w:tcPr>
            <w:tcW w:w="1320" w:type="dxa"/>
            <w:vAlign w:val="bottom"/>
            <w:gridSpan w:val="3"/>
          </w:tcPr>
          <w:p>
            <w:pPr>
              <w:ind w:left="80"/>
              <w:spacing w:after="0"/>
              <w:rPr>
                <w:sz w:val="20"/>
                <w:szCs w:val="20"/>
                <w:color w:val="auto"/>
              </w:rPr>
            </w:pPr>
            <w:r>
              <w:rPr>
                <w:rFonts w:ascii="Arial" w:cs="Arial" w:eastAsia="Arial" w:hAnsi="Arial"/>
                <w:sz w:val="11"/>
                <w:szCs w:val="11"/>
                <w:color w:val="008000"/>
              </w:rPr>
              <w:t>(2)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Orogen Echo LLC</w:t>
              </w:r>
            </w:hyperlink>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780" w:type="dxa"/>
            <w:vAlign w:val="bottom"/>
          </w:tcPr>
          <w:p>
            <w:pPr>
              <w:ind w:left="180"/>
              <w:spacing w:after="0"/>
              <w:rPr>
                <w:sz w:val="20"/>
                <w:szCs w:val="20"/>
                <w:color w:val="auto"/>
              </w:rPr>
            </w:pPr>
            <w:r>
              <w:rPr>
                <w:rFonts w:ascii="Arial" w:cs="Arial" w:eastAsia="Arial" w:hAnsi="Arial"/>
                <w:sz w:val="14"/>
                <w:szCs w:val="14"/>
                <w:color w:val="auto"/>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C/O THE OROGEN GROUP LLC</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20" w:type="dxa"/>
            <w:vAlign w:val="bottom"/>
            <w:gridSpan w:val="6"/>
          </w:tcPr>
          <w:p>
            <w:pPr>
              <w:spacing w:after="0"/>
              <w:rPr>
                <w:sz w:val="20"/>
                <w:szCs w:val="20"/>
                <w:color w:val="auto"/>
              </w:rPr>
            </w:pPr>
            <w:r>
              <w:rPr>
                <w:rFonts w:ascii="Arial" w:cs="Arial" w:eastAsia="Arial" w:hAnsi="Arial"/>
                <w:sz w:val="18"/>
                <w:szCs w:val="18"/>
                <w:color w:val="0000FF"/>
              </w:rPr>
              <w:t>ONE ROCKEFELLER PLAZA SUITE 2416</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780" w:type="dxa"/>
            <w:vAlign w:val="bottom"/>
          </w:tcPr>
          <w:p>
            <w:pPr>
              <w:ind w:left="180"/>
              <w:spacing w:after="0"/>
              <w:rPr>
                <w:sz w:val="20"/>
                <w:szCs w:val="20"/>
                <w:color w:val="auto"/>
              </w:rPr>
            </w:pPr>
            <w:r>
              <w:rPr>
                <w:rFonts w:ascii="Arial" w:cs="Arial" w:eastAsia="Arial" w:hAnsi="Arial"/>
                <w:sz w:val="18"/>
                <w:szCs w:val="18"/>
                <w:color w:val="0000FF"/>
              </w:rPr>
              <w:t>10020</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780" w:type="dxa"/>
            <w:vAlign w:val="bottom"/>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Orogen Group LLC</w:t>
              </w:r>
            </w:hyperlink>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780" w:type="dxa"/>
            <w:vAlign w:val="bottom"/>
          </w:tcPr>
          <w:p>
            <w:pPr>
              <w:ind w:left="180"/>
              <w:spacing w:after="0"/>
              <w:rPr>
                <w:sz w:val="20"/>
                <w:szCs w:val="20"/>
                <w:color w:val="auto"/>
              </w:rPr>
            </w:pPr>
            <w:r>
              <w:rPr>
                <w:rFonts w:ascii="Arial" w:cs="Arial" w:eastAsia="Arial" w:hAnsi="Arial"/>
                <w:sz w:val="14"/>
                <w:szCs w:val="14"/>
                <w:color w:val="auto"/>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C/O THE OROGEN GROUP LLC</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520" w:type="dxa"/>
            <w:vAlign w:val="bottom"/>
            <w:gridSpan w:val="6"/>
          </w:tcPr>
          <w:p>
            <w:pPr>
              <w:spacing w:after="0"/>
              <w:rPr>
                <w:sz w:val="20"/>
                <w:szCs w:val="20"/>
                <w:color w:val="auto"/>
              </w:rPr>
            </w:pPr>
            <w:r>
              <w:rPr>
                <w:rFonts w:ascii="Arial" w:cs="Arial" w:eastAsia="Arial" w:hAnsi="Arial"/>
                <w:sz w:val="18"/>
                <w:szCs w:val="18"/>
                <w:color w:val="0000FF"/>
              </w:rPr>
              <w:t>ONE ROCKEFELLER PLAZA SUITE 2416</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4"/>
          </w:tcPr>
          <w:p>
            <w:pPr>
              <w:ind w:left="260"/>
              <w:spacing w:after="0"/>
              <w:rPr>
                <w:sz w:val="20"/>
                <w:szCs w:val="20"/>
                <w:color w:val="auto"/>
              </w:rPr>
            </w:pPr>
            <w:r>
              <w:rPr>
                <w:rFonts w:ascii="Arial" w:cs="Arial" w:eastAsia="Arial" w:hAnsi="Arial"/>
                <w:sz w:val="18"/>
                <w:szCs w:val="18"/>
                <w:color w:val="0000FF"/>
              </w:rPr>
              <w:t>NY</w:t>
            </w:r>
          </w:p>
        </w:tc>
        <w:tc>
          <w:tcPr>
            <w:tcW w:w="780" w:type="dxa"/>
            <w:vAlign w:val="bottom"/>
          </w:tcPr>
          <w:p>
            <w:pPr>
              <w:ind w:left="180"/>
              <w:spacing w:after="0"/>
              <w:rPr>
                <w:sz w:val="20"/>
                <w:szCs w:val="20"/>
                <w:color w:val="auto"/>
              </w:rPr>
            </w:pPr>
            <w:r>
              <w:rPr>
                <w:rFonts w:ascii="Arial" w:cs="Arial" w:eastAsia="Arial" w:hAnsi="Arial"/>
                <w:sz w:val="18"/>
                <w:szCs w:val="18"/>
                <w:color w:val="0000FF"/>
              </w:rPr>
              <w:t>10020</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rPr>
              <w:t>(State)</w:t>
            </w:r>
          </w:p>
        </w:tc>
        <w:tc>
          <w:tcPr>
            <w:tcW w:w="780" w:type="dxa"/>
            <w:vAlign w:val="bottom"/>
          </w:tcPr>
          <w:p>
            <w:pPr>
              <w:ind w:left="180"/>
              <w:spacing w:after="0"/>
              <w:rPr>
                <w:sz w:val="20"/>
                <w:szCs w:val="20"/>
                <w:color w:val="auto"/>
              </w:rPr>
            </w:pPr>
            <w:r>
              <w:rPr>
                <w:rFonts w:ascii="Arial" w:cs="Arial" w:eastAsia="Arial" w:hAnsi="Arial"/>
                <w:sz w:val="14"/>
                <w:szCs w:val="14"/>
                <w:color w:val="auto"/>
              </w:rPr>
              <w:t>(Zip)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78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Orogen Holdings LLC</w:t>
              </w:r>
            </w:hyperlink>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4"/>
          </w:tcPr>
          <w:p>
            <w:pPr>
              <w:ind w:left="260"/>
              <w:spacing w:after="0"/>
              <w:rPr>
                <w:sz w:val="20"/>
                <w:szCs w:val="20"/>
                <w:color w:val="auto"/>
              </w:rPr>
            </w:pPr>
            <w:r>
              <w:rPr>
                <w:rFonts w:ascii="Arial" w:cs="Arial" w:eastAsia="Arial" w:hAnsi="Arial"/>
                <w:sz w:val="14"/>
                <w:szCs w:val="14"/>
                <w:color w:val="auto"/>
              </w:rPr>
              <w:t>(First)</w:t>
            </w:r>
          </w:p>
        </w:tc>
        <w:tc>
          <w:tcPr>
            <w:tcW w:w="780" w:type="dxa"/>
            <w:vAlign w:val="bottom"/>
          </w:tcPr>
          <w:p>
            <w:pPr>
              <w:ind w:left="180"/>
              <w:spacing w:after="0"/>
              <w:rPr>
                <w:sz w:val="20"/>
                <w:szCs w:val="20"/>
                <w:color w:val="auto"/>
              </w:rPr>
            </w:pPr>
            <w:r>
              <w:rPr>
                <w:rFonts w:ascii="Arial" w:cs="Arial" w:eastAsia="Arial" w:hAnsi="Arial"/>
                <w:sz w:val="14"/>
                <w:szCs w:val="14"/>
                <w:color w:val="auto"/>
              </w:rPr>
              <w:t>(Middle)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THE OROGEN GROUP LLC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ROCKEFELLER PLAZA SUITE 2416</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9"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NEW YORK</w:t>
      </w:r>
      <w:r>
        <w:rPr>
          <w:sz w:val="20"/>
          <w:szCs w:val="20"/>
          <w:color w:val="auto"/>
        </w:rPr>
        <w:tab/>
      </w:r>
      <w:r>
        <w:rPr>
          <w:rFonts w:ascii="Arial" w:cs="Arial" w:eastAsia="Arial" w:hAnsi="Arial"/>
          <w:sz w:val="18"/>
          <w:szCs w:val="18"/>
          <w:color w:val="0000FF"/>
        </w:rPr>
        <w:t>NY</w:t>
      </w:r>
      <w:r>
        <w:rPr>
          <w:sz w:val="20"/>
          <w:szCs w:val="20"/>
          <w:color w:val="auto"/>
        </w:rPr>
        <w:tab/>
      </w:r>
      <w:r>
        <w:rPr>
          <w:rFonts w:ascii="Arial" w:cs="Arial" w:eastAsia="Arial" w:hAnsi="Arial"/>
          <w:sz w:val="15"/>
          <w:szCs w:val="15"/>
          <w:color w:val="0000FF"/>
        </w:rPr>
        <w:t>10020</w:t>
      </w:r>
    </w:p>
    <w:p>
      <w:pPr>
        <w:sectPr>
          <w:pgSz w:w="11900" w:h="16839"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PANDIT VIKRAM S</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9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2"/>
          </w:tcPr>
          <w:p>
            <w:pPr>
              <w:ind w:left="5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THE OROGEN GROUP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ONE ROCKEFELLER PLAZA SUITE 2416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NEW YORK</w:t>
            </w:r>
          </w:p>
        </w:tc>
        <w:tc>
          <w:tcPr>
            <w:tcW w:w="1380" w:type="dxa"/>
            <w:vAlign w:val="bottom"/>
            <w:gridSpan w:val="6"/>
          </w:tcPr>
          <w:p>
            <w:pPr>
              <w:spacing w:after="0"/>
              <w:rPr>
                <w:sz w:val="20"/>
                <w:szCs w:val="20"/>
                <w:color w:val="auto"/>
              </w:rPr>
            </w:pPr>
            <w:r>
              <w:rPr>
                <w:rFonts w:ascii="Arial" w:cs="Arial" w:eastAsia="Arial" w:hAnsi="Arial"/>
                <w:sz w:val="18"/>
                <w:szCs w:val="18"/>
                <w:color w:val="0000FF"/>
              </w:rPr>
              <w:t>NY</w:t>
            </w:r>
          </w:p>
        </w:tc>
        <w:tc>
          <w:tcPr>
            <w:tcW w:w="1500" w:type="dxa"/>
            <w:vAlign w:val="bottom"/>
          </w:tcPr>
          <w:p>
            <w:pPr>
              <w:ind w:left="8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6"/>
          </w:tcPr>
          <w:p>
            <w:pPr>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7"/>
          </w:tcPr>
          <w:p>
            <w:pPr>
              <w:spacing w:after="0" w:line="224" w:lineRule="exact"/>
              <w:rPr>
                <w:rFonts w:ascii="Arial" w:cs="Arial" w:eastAsia="Arial" w:hAnsi="Arial"/>
                <w:sz w:val="22"/>
                <w:szCs w:val="22"/>
                <w:color w:val="0000EE"/>
                <w:w w:val="96"/>
              </w:rPr>
            </w:pPr>
            <w:hyperlink r:id="rId20">
              <w:r>
                <w:rPr>
                  <w:rFonts w:ascii="Arial" w:cs="Arial" w:eastAsia="Arial" w:hAnsi="Arial"/>
                  <w:sz w:val="22"/>
                  <w:szCs w:val="22"/>
                  <w:color w:val="0000EE"/>
                  <w:w w:val="96"/>
                </w:rPr>
                <w:t>Atairos-Orogen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6"/>
          </w:tcPr>
          <w:p>
            <w:pPr>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Arial" w:cs="Arial" w:eastAsia="Arial" w:hAnsi="Arial"/>
                <w:sz w:val="18"/>
                <w:szCs w:val="18"/>
                <w:color w:val="0000FF"/>
                <w:w w:val="96"/>
              </w:rPr>
              <w:t>C/O ATAIROS MANAGEMENT,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3"/>
              </w:rPr>
              <w:t>40 MORRIS ROAD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BRYN MAWR</w:t>
            </w:r>
          </w:p>
        </w:tc>
        <w:tc>
          <w:tcPr>
            <w:tcW w:w="1380" w:type="dxa"/>
            <w:vAlign w:val="bottom"/>
            <w:gridSpan w:val="6"/>
          </w:tcPr>
          <w:p>
            <w:pPr>
              <w:spacing w:after="0"/>
              <w:rPr>
                <w:sz w:val="20"/>
                <w:szCs w:val="20"/>
                <w:color w:val="auto"/>
              </w:rPr>
            </w:pPr>
            <w:r>
              <w:rPr>
                <w:rFonts w:ascii="Arial" w:cs="Arial" w:eastAsia="Arial" w:hAnsi="Arial"/>
                <w:sz w:val="18"/>
                <w:szCs w:val="18"/>
                <w:color w:val="0000FF"/>
              </w:rPr>
              <w:t>PA</w:t>
            </w:r>
          </w:p>
        </w:tc>
        <w:tc>
          <w:tcPr>
            <w:tcW w:w="1500" w:type="dxa"/>
            <w:vAlign w:val="bottom"/>
          </w:tcPr>
          <w:p>
            <w:pPr>
              <w:ind w:left="80"/>
              <w:spacing w:after="0"/>
              <w:rPr>
                <w:sz w:val="20"/>
                <w:szCs w:val="20"/>
                <w:color w:val="auto"/>
              </w:rPr>
            </w:pPr>
            <w:r>
              <w:rPr>
                <w:rFonts w:ascii="Arial" w:cs="Arial" w:eastAsia="Arial" w:hAnsi="Arial"/>
                <w:sz w:val="18"/>
                <w:szCs w:val="18"/>
                <w:color w:val="0000FF"/>
              </w:rPr>
              <w:t>19010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6"/>
          </w:tcPr>
          <w:p>
            <w:pPr>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Atairos Group,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6"/>
          </w:tcPr>
          <w:p>
            <w:pPr>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Arial" w:cs="Arial" w:eastAsia="Arial" w:hAnsi="Arial"/>
                <w:sz w:val="18"/>
                <w:szCs w:val="18"/>
                <w:color w:val="0000FF"/>
                <w:w w:val="96"/>
              </w:rPr>
              <w:t>C/O ATAIROS MANAGEMENT,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3"/>
              </w:rPr>
              <w:t>40 MORRIS ROAD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BRYN MAWR</w:t>
            </w:r>
          </w:p>
        </w:tc>
        <w:tc>
          <w:tcPr>
            <w:tcW w:w="1380" w:type="dxa"/>
            <w:vAlign w:val="bottom"/>
            <w:gridSpan w:val="6"/>
          </w:tcPr>
          <w:p>
            <w:pPr>
              <w:spacing w:after="0"/>
              <w:rPr>
                <w:sz w:val="20"/>
                <w:szCs w:val="20"/>
                <w:color w:val="auto"/>
              </w:rPr>
            </w:pPr>
            <w:r>
              <w:rPr>
                <w:rFonts w:ascii="Arial" w:cs="Arial" w:eastAsia="Arial" w:hAnsi="Arial"/>
                <w:sz w:val="18"/>
                <w:szCs w:val="18"/>
                <w:color w:val="0000FF"/>
              </w:rPr>
              <w:t>PA</w:t>
            </w:r>
          </w:p>
        </w:tc>
        <w:tc>
          <w:tcPr>
            <w:tcW w:w="1500" w:type="dxa"/>
            <w:vAlign w:val="bottom"/>
          </w:tcPr>
          <w:p>
            <w:pPr>
              <w:ind w:left="80"/>
              <w:spacing w:after="0"/>
              <w:rPr>
                <w:sz w:val="20"/>
                <w:szCs w:val="20"/>
                <w:color w:val="auto"/>
              </w:rPr>
            </w:pPr>
            <w:r>
              <w:rPr>
                <w:rFonts w:ascii="Arial" w:cs="Arial" w:eastAsia="Arial" w:hAnsi="Arial"/>
                <w:sz w:val="18"/>
                <w:szCs w:val="18"/>
                <w:color w:val="0000FF"/>
              </w:rPr>
              <w:t>19010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6"/>
          </w:tcPr>
          <w:p>
            <w:pPr>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7"/>
          </w:tcPr>
          <w:p>
            <w:pPr>
              <w:spacing w:after="0" w:line="224" w:lineRule="exact"/>
              <w:rPr>
                <w:rFonts w:ascii="Arial" w:cs="Arial" w:eastAsia="Arial" w:hAnsi="Arial"/>
                <w:sz w:val="22"/>
                <w:szCs w:val="22"/>
                <w:color w:val="0000EE"/>
              </w:rPr>
            </w:pPr>
            <w:hyperlink r:id="rId22">
              <w:r>
                <w:rPr>
                  <w:rFonts w:ascii="Arial" w:cs="Arial" w:eastAsia="Arial" w:hAnsi="Arial"/>
                  <w:sz w:val="22"/>
                  <w:szCs w:val="22"/>
                  <w:color w:val="0000EE"/>
                </w:rPr>
                <w:t>Atairos Partners,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6"/>
          </w:tcPr>
          <w:p>
            <w:pPr>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Arial" w:cs="Arial" w:eastAsia="Arial" w:hAnsi="Arial"/>
                <w:sz w:val="18"/>
                <w:szCs w:val="18"/>
                <w:color w:val="0000FF"/>
                <w:w w:val="96"/>
              </w:rPr>
              <w:t>C/O ATAIROS MANAGEMENT,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3"/>
              </w:rPr>
              <w:t>40 MORRIS ROAD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BRYN MAWR</w:t>
            </w:r>
          </w:p>
        </w:tc>
        <w:tc>
          <w:tcPr>
            <w:tcW w:w="1380" w:type="dxa"/>
            <w:vAlign w:val="bottom"/>
            <w:gridSpan w:val="6"/>
          </w:tcPr>
          <w:p>
            <w:pPr>
              <w:spacing w:after="0"/>
              <w:rPr>
                <w:sz w:val="20"/>
                <w:szCs w:val="20"/>
                <w:color w:val="auto"/>
              </w:rPr>
            </w:pPr>
            <w:r>
              <w:rPr>
                <w:rFonts w:ascii="Arial" w:cs="Arial" w:eastAsia="Arial" w:hAnsi="Arial"/>
                <w:sz w:val="18"/>
                <w:szCs w:val="18"/>
                <w:color w:val="0000FF"/>
              </w:rPr>
              <w:t>PA</w:t>
            </w:r>
          </w:p>
        </w:tc>
        <w:tc>
          <w:tcPr>
            <w:tcW w:w="1500" w:type="dxa"/>
            <w:vAlign w:val="bottom"/>
          </w:tcPr>
          <w:p>
            <w:pPr>
              <w:ind w:left="80"/>
              <w:spacing w:after="0"/>
              <w:rPr>
                <w:sz w:val="20"/>
                <w:szCs w:val="20"/>
                <w:color w:val="auto"/>
              </w:rPr>
            </w:pPr>
            <w:r>
              <w:rPr>
                <w:rFonts w:ascii="Arial" w:cs="Arial" w:eastAsia="Arial" w:hAnsi="Arial"/>
                <w:sz w:val="18"/>
                <w:szCs w:val="18"/>
                <w:color w:val="0000FF"/>
              </w:rPr>
              <w:t>19010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6"/>
          </w:tcPr>
          <w:p>
            <w:pPr>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7"/>
          </w:tcPr>
          <w:p>
            <w:pPr>
              <w:spacing w:after="0" w:line="224" w:lineRule="exact"/>
              <w:rPr>
                <w:rFonts w:ascii="Arial" w:cs="Arial" w:eastAsia="Arial" w:hAnsi="Arial"/>
                <w:sz w:val="22"/>
                <w:szCs w:val="22"/>
                <w:color w:val="0000EE"/>
              </w:rPr>
            </w:pPr>
            <w:hyperlink r:id="rId23">
              <w:r>
                <w:rPr>
                  <w:rFonts w:ascii="Arial" w:cs="Arial" w:eastAsia="Arial" w:hAnsi="Arial"/>
                  <w:sz w:val="22"/>
                  <w:szCs w:val="22"/>
                  <w:color w:val="0000EE"/>
                </w:rPr>
                <w:t>Atairos Partners GP,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6"/>
          </w:tcPr>
          <w:p>
            <w:pPr>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7"/>
          </w:tcPr>
          <w:p>
            <w:pPr>
              <w:spacing w:after="0"/>
              <w:rPr>
                <w:sz w:val="20"/>
                <w:szCs w:val="20"/>
                <w:color w:val="auto"/>
              </w:rPr>
            </w:pPr>
            <w:r>
              <w:rPr>
                <w:rFonts w:ascii="Arial" w:cs="Arial" w:eastAsia="Arial" w:hAnsi="Arial"/>
                <w:sz w:val="18"/>
                <w:szCs w:val="18"/>
                <w:color w:val="0000FF"/>
                <w:w w:val="96"/>
              </w:rPr>
              <w:t>C/O ATAIROS MANAGEMENT, L.P.</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60" w:type="dxa"/>
            <w:vAlign w:val="bottom"/>
          </w:tcPr>
          <w:p>
            <w:pPr>
              <w:spacing w:after="0"/>
              <w:rPr>
                <w:sz w:val="20"/>
                <w:szCs w:val="20"/>
                <w:color w:val="auto"/>
              </w:rPr>
            </w:pPr>
            <w:r>
              <w:rPr>
                <w:rFonts w:ascii="Arial" w:cs="Arial" w:eastAsia="Arial" w:hAnsi="Arial"/>
                <w:sz w:val="18"/>
                <w:szCs w:val="18"/>
                <w:color w:val="0000FF"/>
                <w:w w:val="93"/>
              </w:rPr>
              <w:t>40 MORRIS ROAD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0000FF"/>
              </w:rPr>
              <w:t>BRYN MAWR</w:t>
            </w:r>
          </w:p>
        </w:tc>
        <w:tc>
          <w:tcPr>
            <w:tcW w:w="1380" w:type="dxa"/>
            <w:vAlign w:val="bottom"/>
            <w:gridSpan w:val="6"/>
          </w:tcPr>
          <w:p>
            <w:pPr>
              <w:spacing w:after="0"/>
              <w:rPr>
                <w:sz w:val="20"/>
                <w:szCs w:val="20"/>
                <w:color w:val="auto"/>
              </w:rPr>
            </w:pPr>
            <w:r>
              <w:rPr>
                <w:rFonts w:ascii="Arial" w:cs="Arial" w:eastAsia="Arial" w:hAnsi="Arial"/>
                <w:sz w:val="18"/>
                <w:szCs w:val="18"/>
                <w:color w:val="0000FF"/>
              </w:rPr>
              <w:t>PA</w:t>
            </w:r>
          </w:p>
        </w:tc>
        <w:tc>
          <w:tcPr>
            <w:tcW w:w="1500" w:type="dxa"/>
            <w:vAlign w:val="bottom"/>
          </w:tcPr>
          <w:p>
            <w:pPr>
              <w:ind w:left="80"/>
              <w:spacing w:after="0"/>
              <w:rPr>
                <w:sz w:val="20"/>
                <w:szCs w:val="20"/>
                <w:color w:val="auto"/>
              </w:rPr>
            </w:pPr>
            <w:r>
              <w:rPr>
                <w:rFonts w:ascii="Arial" w:cs="Arial" w:eastAsia="Arial" w:hAnsi="Arial"/>
                <w:sz w:val="18"/>
                <w:szCs w:val="18"/>
                <w:color w:val="0000FF"/>
              </w:rPr>
              <w:t>19010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gridSpan w:val="6"/>
          </w:tcPr>
          <w:p>
            <w:pPr>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7"/>
          </w:tcPr>
          <w:p>
            <w:pPr>
              <w:spacing w:after="0" w:line="224" w:lineRule="exact"/>
              <w:rPr>
                <w:rFonts w:ascii="Arial" w:cs="Arial" w:eastAsia="Arial" w:hAnsi="Arial"/>
                <w:sz w:val="22"/>
                <w:szCs w:val="22"/>
                <w:color w:val="0000EE"/>
              </w:rPr>
            </w:pPr>
            <w:hyperlink r:id="rId24">
              <w:r>
                <w:rPr>
                  <w:rFonts w:ascii="Arial" w:cs="Arial" w:eastAsia="Arial" w:hAnsi="Arial"/>
                  <w:sz w:val="22"/>
                  <w:szCs w:val="22"/>
                  <w:color w:val="0000EE"/>
                </w:rPr>
                <w:t>Angelakis Michael J</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gridSpan w:val="6"/>
          </w:tcPr>
          <w:p>
            <w:pPr>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-8175625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-8175625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-7464425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-7464425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-6804025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-6804025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-6366510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-6366510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-5654675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-5654675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ATAIROS MANAGEMENT,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40 MORRIS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314" w:right="1440"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62"/>
        </w:trPr>
        <w:tc>
          <w:tcPr>
            <w:tcW w:w="13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80" w:type="dxa"/>
            <w:vAlign w:val="bottom"/>
          </w:tcPr>
          <w:p>
            <w:pPr>
              <w:spacing w:after="0"/>
              <w:rPr>
                <w:sz w:val="20"/>
                <w:szCs w:val="20"/>
                <w:color w:val="auto"/>
              </w:rPr>
            </w:pPr>
            <w:r>
              <w:rPr>
                <w:rFonts w:ascii="Arial" w:cs="Arial" w:eastAsia="Arial" w:hAnsi="Arial"/>
                <w:sz w:val="18"/>
                <w:szCs w:val="18"/>
                <w:color w:val="0000FF"/>
              </w:rPr>
              <w:t>BRYN MAWR</w:t>
            </w:r>
          </w:p>
        </w:tc>
        <w:tc>
          <w:tcPr>
            <w:tcW w:w="1120" w:type="dxa"/>
            <w:vAlign w:val="bottom"/>
          </w:tcPr>
          <w:p>
            <w:pPr>
              <w:ind w:left="180"/>
              <w:spacing w:after="0"/>
              <w:rPr>
                <w:sz w:val="20"/>
                <w:szCs w:val="20"/>
                <w:color w:val="auto"/>
              </w:rPr>
            </w:pPr>
            <w:r>
              <w:rPr>
                <w:rFonts w:ascii="Arial" w:cs="Arial" w:eastAsia="Arial" w:hAnsi="Arial"/>
                <w:sz w:val="18"/>
                <w:szCs w:val="18"/>
                <w:color w:val="0000FF"/>
              </w:rPr>
              <w:t>PA</w:t>
            </w:r>
          </w:p>
        </w:tc>
        <w:tc>
          <w:tcPr>
            <w:tcW w:w="1940" w:type="dxa"/>
            <w:vAlign w:val="bottom"/>
          </w:tcPr>
          <w:p>
            <w:pPr>
              <w:ind w:left="520"/>
              <w:spacing w:after="0"/>
              <w:rPr>
                <w:sz w:val="20"/>
                <w:szCs w:val="20"/>
                <w:color w:val="auto"/>
              </w:rPr>
            </w:pPr>
            <w:r>
              <w:rPr>
                <w:rFonts w:ascii="Arial" w:cs="Arial" w:eastAsia="Arial" w:hAnsi="Arial"/>
                <w:sz w:val="18"/>
                <w:szCs w:val="18"/>
                <w:color w:val="0000FF"/>
              </w:rPr>
              <w:t>19010</w:t>
            </w:r>
          </w:p>
        </w:tc>
      </w:tr>
      <w:tr>
        <w:trPr>
          <w:trHeight w:val="158"/>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18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47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924175" cy="6470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Orogen Echo LLC ("OE") directly owns the reported securities. The Orogen Group LLC ("Orogen") is the sole member of OE and Vikram S. Pandit ("Mr. Pandit") is the Chairman and Chief Executive Officer of Orogen and serves on the board of directors of ExlService Holdings, Inc. (the "Issuer"). Orogen Holdings LLC and Atairos-Orogen Holdings, LLC are the sole members with joint investment control of Orogen. Mr. Pandit has majority voting control of Orogen Holdings LLC. Atairos Group, Inc. ("Atairos") is the sole voting shareholder of Atairos-Orogen Holdings, LLC. Michael Angelakis is the Chairman and Chief Executive Officer of Atairos and controls a majority of the voting power of Atairos Partners GP, Inc., which is the general partner of Atairos Partners L.P., the sole voting shareholder of Atairos.</w:t>
      </w:r>
    </w:p>
    <w:p>
      <w:pPr>
        <w:spacing w:after="0" w:line="8" w:lineRule="exact"/>
        <w:rPr>
          <w:rFonts w:ascii="Arial" w:cs="Arial" w:eastAsia="Arial" w:hAnsi="Arial"/>
          <w:sz w:val="12"/>
          <w:szCs w:val="12"/>
          <w:color w:val="008000"/>
        </w:rPr>
      </w:pPr>
    </w:p>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other than Mr. Pandit, is acting as a director by deputization of the Issuer with respect to Mr. Pandit's membership on the board of directors of the Issuer. Each of the Reporting Persons may be deemed to have direct or indirect beneficial ownership of the reported securities, as applicable, but disclaims such beneficial ownership except to the extent of its pecuniary interest therein.</w:t>
      </w:r>
    </w:p>
    <w:p>
      <w:pPr>
        <w:ind w:right="26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aggregate principal amount of the reported securities is $150,000,000, and such reported securities are convertible at any time prior to the close of business on the scheduled trading day immediately preceding October 1, 2024, subject to earlier conversion or redemption in accordance with their terms.</w:t>
      </w:r>
    </w:p>
    <w:p>
      <w:pPr>
        <w:spacing w:after="0" w:line="30" w:lineRule="exact"/>
        <w:rPr>
          <w:rFonts w:ascii="Arial" w:cs="Arial" w:eastAsia="Arial" w:hAnsi="Arial"/>
          <w:sz w:val="14"/>
          <w:szCs w:val="14"/>
          <w:color w:val="008000"/>
        </w:rPr>
      </w:pPr>
    </w:p>
    <w:p>
      <w:pPr>
        <w:ind w:right="60"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conversion of the reported securities, the Issuer will deliver, at the Issuer's election, cash, shares of common stock of the Issuer, par value $0.001 per share ("Common Stock") or a combination of cash and shares of Common Stock. This number represents the number of shares of Common Stock issuable upon conversion of the reported securities if the Issuer elects to settle its conversion obligation solely through shares of Common Stock by delivering a number of shares of Common Stock at the initial conversion rate of 13.3333 shares of Common Stock per $1,000 principal amount of the reported securities. The initial conversion rate is subject to adjustment from time to time in accordance with the terms of an indenture, dated as of October 4, 2018, by and between the Issuer and Citibank, N.A., as trustee.</w:t>
      </w:r>
    </w:p>
    <w:p>
      <w:pPr>
        <w:sectPr>
          <w:pgSz w:w="11900" w:h="16838" w:orient="portrait"/>
          <w:cols w:equalWidth="0" w:num="1">
            <w:col w:w="11320"/>
          </w:cols>
          <w:pgMar w:left="280" w:top="140" w:right="299" w:bottom="1440" w:gutter="0" w:footer="0" w:header="0"/>
        </w:sectPr>
      </w:pPr>
    </w:p>
    <w:p>
      <w:pPr>
        <w:spacing w:after="0" w:line="3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Orogen Echo LLC,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00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Orogen Group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54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member, by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8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481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Chairman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73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 /s/ 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45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452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The Orogen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Vikram S. Pandit,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8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9890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and Chief Executive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90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9065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45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Orogen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52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Vikram S. Pandit, Manager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9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45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Vikram S. Pandit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864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Vikram S. Pandit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45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6454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Atairos-Orogen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531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35318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LLC, 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405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0525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Atairos Group,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230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99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9994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5"/>
          <w:szCs w:val="15"/>
          <w:color w:val="0000FF"/>
        </w:rPr>
        <w:t>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773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73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8731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Atairos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068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Atairos Partners GP,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6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2661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general partner, by David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85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Caplan, Vice President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1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512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39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Atairos Partners GP,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220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David L. Caplan,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385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11385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President /s/ David L. Caplan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157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10/04/2018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0" w:lineRule="exact"/>
        <w:rPr>
          <w:sz w:val="20"/>
          <w:szCs w:val="20"/>
          <w:color w:val="auto"/>
        </w:rPr>
      </w:pPr>
    </w:p>
    <w:p>
      <w:pPr>
        <w:sectPr>
          <w:pgSz w:w="11900" w:h="16838" w:orient="portrait"/>
          <w:cols w:equalWidth="0" w:num="2">
            <w:col w:w="9040" w:space="80"/>
            <w:col w:w="2200"/>
          </w:cols>
          <w:pgMar w:left="280" w:top="140" w:right="299" w:bottom="1440" w:gutter="0" w:footer="0" w:header="0"/>
          <w:type w:val="continuous"/>
        </w:sectPr>
      </w:pPr>
    </w:p>
    <w:tbl>
      <w:tblPr>
        <w:tblLayout w:type="fixed"/>
        <w:tblInd w:w="682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Michael J. Angelakis /s/</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10/04/2018</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Michael J. Angelakis</w:t>
            </w:r>
          </w:p>
        </w:tc>
        <w:tc>
          <w:tcPr>
            <w:tcW w:w="5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40"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11" Type="http://schemas.openxmlformats.org/officeDocument/2006/relationships/hyperlink" Target="http://www.sec.gov/cgi-bin/browse-edgar?action=getcompany&amp;CIK=0001754751" TargetMode="External"/><Relationship Id="rId12" Type="http://schemas.openxmlformats.org/officeDocument/2006/relationships/hyperlink" Target="http://www.sec.gov/cgi-bin/browse-edgar?action=getcompany&amp;CIK=0001297989" TargetMode="External"/><Relationship Id="rId13" Type="http://schemas.openxmlformats.org/officeDocument/2006/relationships/hyperlink" Target="http://www.sec.gov/cgi-bin/browse-edgar?action=getcompany&amp;CIK=0001705509" TargetMode="External"/><Relationship Id="rId14" Type="http://schemas.openxmlformats.org/officeDocument/2006/relationships/hyperlink" Target="http://www.sec.gov/cgi-bin/browse-edgar?action=getcompany&amp;CIK=0001705500" TargetMode="External"/><Relationship Id="rId15" Type="http://schemas.openxmlformats.org/officeDocument/2006/relationships/hyperlink" Target="http://www.sec.gov/cgi-bin/browse-edgar?action=getcompany&amp;CIK=0001183417" TargetMode="External"/><Relationship Id="rId20" Type="http://schemas.openxmlformats.org/officeDocument/2006/relationships/hyperlink" Target="http://www.sec.gov/cgi-bin/browse-edgar?action=getcompany&amp;CIK=0001705610" TargetMode="External"/><Relationship Id="rId21" Type="http://schemas.openxmlformats.org/officeDocument/2006/relationships/hyperlink" Target="http://www.sec.gov/cgi-bin/browse-edgar?action=getcompany&amp;CIK=0001671122" TargetMode="External"/><Relationship Id="rId22" Type="http://schemas.openxmlformats.org/officeDocument/2006/relationships/hyperlink" Target="http://www.sec.gov/cgi-bin/browse-edgar?action=getcompany&amp;CIK=0001671185" TargetMode="External"/><Relationship Id="rId23" Type="http://schemas.openxmlformats.org/officeDocument/2006/relationships/hyperlink" Target="http://www.sec.gov/cgi-bin/browse-edgar?action=getcompany&amp;CIK=0001671176" TargetMode="External"/><Relationship Id="rId24" Type="http://schemas.openxmlformats.org/officeDocument/2006/relationships/hyperlink" Target="http://www.sec.gov/cgi-bin/browse-edgar?action=getcompany&amp;CIK=00013930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2019-12-23T16:31:10Z</dcterms:created>
  <dcterms:modified xsi:type="dcterms:W3CDTF">2019-12-23T16:31:10Z</dcterms:modified>
</cp:coreProperties>
</file>