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234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2344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85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BAGAI PAVAN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02/13/2015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COO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85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85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02/13/2015</w:t>
            </w:r>
          </w:p>
        </w:tc>
        <w:tc>
          <w:tcPr>
            <w:tcW w:w="1140" w:type="dxa"/>
            <w:vAlign w:val="bottom"/>
          </w:tcPr>
          <w:p>
            <w:pPr>
              <w:spacing w:after="0"/>
              <w:rPr>
                <w:sz w:val="23"/>
                <w:szCs w:val="23"/>
                <w:color w:val="auto"/>
              </w:rPr>
            </w:pPr>
          </w:p>
        </w:tc>
        <w:tc>
          <w:tcPr>
            <w:tcW w:w="800" w:type="dxa"/>
            <w:vAlign w:val="bottom"/>
          </w:tcPr>
          <w:p>
            <w:pPr>
              <w:jc w:val="center"/>
              <w:ind w:right="297"/>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6"/>
              <w:spacing w:after="0"/>
              <w:rPr>
                <w:sz w:val="20"/>
                <w:szCs w:val="20"/>
                <w:color w:val="auto"/>
              </w:rPr>
            </w:pPr>
            <w:r>
              <w:rPr>
                <w:rFonts w:ascii="Arial" w:cs="Arial" w:eastAsia="Arial" w:hAnsi="Arial"/>
                <w:sz w:val="18"/>
                <w:szCs w:val="18"/>
                <w:color w:val="0000FF"/>
                <w:w w:val="88"/>
              </w:rPr>
              <w:t>1,150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360"/>
              <w:spacing w:after="0"/>
              <w:rPr>
                <w:sz w:val="20"/>
                <w:szCs w:val="20"/>
                <w:color w:val="auto"/>
              </w:rPr>
            </w:pPr>
            <w:r>
              <w:rPr>
                <w:rFonts w:ascii="Arial" w:cs="Arial" w:eastAsia="Arial" w:hAnsi="Arial"/>
                <w:sz w:val="18"/>
                <w:szCs w:val="18"/>
                <w:color w:val="0000FF"/>
              </w:rPr>
              <w:t>91,276</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02/13/2015</w:t>
            </w:r>
          </w:p>
        </w:tc>
        <w:tc>
          <w:tcPr>
            <w:tcW w:w="1140" w:type="dxa"/>
            <w:vAlign w:val="bottom"/>
          </w:tcPr>
          <w:p>
            <w:pPr>
              <w:spacing w:after="0"/>
              <w:rPr>
                <w:sz w:val="23"/>
                <w:szCs w:val="23"/>
                <w:color w:val="auto"/>
              </w:rPr>
            </w:pPr>
          </w:p>
        </w:tc>
        <w:tc>
          <w:tcPr>
            <w:tcW w:w="800" w:type="dxa"/>
            <w:vAlign w:val="bottom"/>
          </w:tcPr>
          <w:p>
            <w:pPr>
              <w:jc w:val="center"/>
              <w:ind w:right="297"/>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6"/>
              <w:spacing w:after="0"/>
              <w:rPr>
                <w:sz w:val="20"/>
                <w:szCs w:val="20"/>
                <w:color w:val="auto"/>
              </w:rPr>
            </w:pPr>
            <w:r>
              <w:rPr>
                <w:rFonts w:ascii="Arial" w:cs="Arial" w:eastAsia="Arial" w:hAnsi="Arial"/>
                <w:sz w:val="18"/>
                <w:szCs w:val="18"/>
                <w:color w:val="0000FF"/>
                <w:w w:val="93"/>
              </w:rPr>
              <w:t>601</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360"/>
              <w:spacing w:after="0"/>
              <w:rPr>
                <w:sz w:val="20"/>
                <w:szCs w:val="20"/>
                <w:color w:val="auto"/>
              </w:rPr>
            </w:pPr>
            <w:r>
              <w:rPr>
                <w:rFonts w:ascii="Arial" w:cs="Arial" w:eastAsia="Arial" w:hAnsi="Arial"/>
                <w:sz w:val="18"/>
                <w:szCs w:val="18"/>
                <w:color w:val="0000FF"/>
              </w:rPr>
              <w:t>91,877</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02/13/2015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7"/>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6"/>
              <w:spacing w:after="0"/>
              <w:rPr>
                <w:sz w:val="20"/>
                <w:szCs w:val="20"/>
                <w:color w:val="auto"/>
              </w:rPr>
            </w:pPr>
            <w:r>
              <w:rPr>
                <w:rFonts w:ascii="Arial" w:cs="Arial" w:eastAsia="Arial" w:hAnsi="Arial"/>
                <w:sz w:val="18"/>
                <w:szCs w:val="18"/>
                <w:color w:val="0000FF"/>
                <w:w w:val="93"/>
              </w:rPr>
              <w:t>596</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31.37</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91,281</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32"/>
              <w:spacing w:after="0"/>
              <w:rPr>
                <w:sz w:val="20"/>
                <w:szCs w:val="20"/>
                <w:color w:val="auto"/>
              </w:rPr>
            </w:pPr>
            <w:r>
              <w:rPr>
                <w:rFonts w:ascii="Arial" w:cs="Arial" w:eastAsia="Arial" w:hAnsi="Arial"/>
                <w:sz w:val="18"/>
                <w:szCs w:val="18"/>
                <w:color w:val="0000FF"/>
                <w:w w:val="93"/>
              </w:rPr>
              <w:t>1,150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02/13/2015</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jc w:val="right"/>
              <w:ind w:right="18"/>
              <w:spacing w:after="0" w:line="149" w:lineRule="exact"/>
              <w:rPr>
                <w:sz w:val="20"/>
                <w:szCs w:val="20"/>
                <w:color w:val="auto"/>
              </w:rPr>
            </w:pPr>
            <w:r>
              <w:rPr>
                <w:rFonts w:ascii="Arial" w:cs="Arial" w:eastAsia="Arial" w:hAnsi="Arial"/>
                <w:sz w:val="14"/>
                <w:szCs w:val="14"/>
                <w:color w:val="0000FF"/>
              </w:rPr>
              <w:t>1,150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80" w:type="dxa"/>
            <w:vAlign w:val="bottom"/>
          </w:tcPr>
          <w:p>
            <w:pPr>
              <w:jc w:val="right"/>
              <w:ind w:right="238"/>
              <w:spacing w:after="0" w:line="149" w:lineRule="exact"/>
              <w:rPr>
                <w:sz w:val="20"/>
                <w:szCs w:val="20"/>
                <w:color w:val="auto"/>
              </w:rPr>
            </w:pPr>
            <w:r>
              <w:rPr>
                <w:rFonts w:ascii="Arial" w:cs="Arial" w:eastAsia="Arial" w:hAnsi="Arial"/>
                <w:sz w:val="14"/>
                <w:szCs w:val="14"/>
                <w:color w:val="0000FF"/>
              </w:rPr>
              <w:t>10,350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112"/>
              <w:spacing w:after="0"/>
              <w:rPr>
                <w:sz w:val="20"/>
                <w:szCs w:val="20"/>
                <w:color w:val="auto"/>
              </w:rPr>
            </w:pPr>
            <w:r>
              <w:rPr>
                <w:rFonts w:ascii="Arial" w:cs="Arial" w:eastAsia="Arial" w:hAnsi="Arial"/>
                <w:sz w:val="18"/>
                <w:szCs w:val="18"/>
                <w:color w:val="0000FF"/>
              </w:rPr>
              <w:t>601</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02/13/2015</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jc w:val="right"/>
              <w:ind w:right="58"/>
              <w:spacing w:after="0" w:line="149" w:lineRule="exact"/>
              <w:rPr>
                <w:sz w:val="20"/>
                <w:szCs w:val="20"/>
                <w:color w:val="auto"/>
              </w:rPr>
            </w:pPr>
            <w:r>
              <w:rPr>
                <w:rFonts w:ascii="Arial" w:cs="Arial" w:eastAsia="Arial" w:hAnsi="Arial"/>
                <w:sz w:val="14"/>
                <w:szCs w:val="14"/>
                <w:color w:val="0000FF"/>
              </w:rPr>
              <w:t>601</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80" w:type="dxa"/>
            <w:vAlign w:val="bottom"/>
          </w:tcPr>
          <w:p>
            <w:pPr>
              <w:jc w:val="right"/>
              <w:ind w:right="278"/>
              <w:spacing w:after="0" w:line="149" w:lineRule="exact"/>
              <w:rPr>
                <w:sz w:val="20"/>
                <w:szCs w:val="20"/>
                <w:color w:val="auto"/>
              </w:rPr>
            </w:pPr>
            <w:r>
              <w:rPr>
                <w:rFonts w:ascii="Arial" w:cs="Arial" w:eastAsia="Arial" w:hAnsi="Arial"/>
                <w:sz w:val="14"/>
                <w:szCs w:val="14"/>
                <w:color w:val="0000FF"/>
              </w:rPr>
              <w:t>1,203</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4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13, 2015. Pursuant to the Company's 2006 Omnibus Award Plan, pursuant to which such restricted stock units were granted, the average of the high and low sale prices of the Common Stock on the Nasdaq Global Select Market on the preceding day is used for purposes of computing tax reporting and withholding.</w:t>
      </w: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1,150 shares of restricted stock units became vested on February 13, 2015; an additional 2,300 shares of the restricted stock units will vest on February 13, 2016, an additional 3,450 shares of the restricted stock units will vest on February 13, 2017; and the remaining balance i/n/o 4,600 shares of the restricted stock units will vest on February 13, 2018.</w:t>
      </w:r>
    </w:p>
    <w:p>
      <w:pPr>
        <w:spacing w:after="0" w:line="30"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601 shares of restricted stock units became vested on February 13, 2015, an additional 601 shares of the restricted stock units will vest on February 13, 2016; and the remaining balance i/n/o 602 shares of restricted stock units will vest on February 13, 2016.</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02/18/2015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85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2019-12-08T11:28:03Z</dcterms:created>
  <dcterms:modified xsi:type="dcterms:W3CDTF">2019-12-08T11:28:03Z</dcterms:modified>
</cp:coreProperties>
</file>