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31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311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STAGLIN GAREN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340" w:type="dxa"/>
            <w:vAlign w:val="bottom"/>
            <w:gridSpan w:val="2"/>
          </w:tcPr>
          <w:p>
            <w:pPr>
              <w:jc w:val="center"/>
              <w:ind w:left="28"/>
              <w:spacing w:after="0"/>
              <w:rPr>
                <w:sz w:val="20"/>
                <w:szCs w:val="20"/>
                <w:color w:val="auto"/>
              </w:rPr>
            </w:pPr>
            <w:r>
              <w:rPr>
                <w:rFonts w:ascii="Arial" w:cs="Arial" w:eastAsia="Arial" w:hAnsi="Arial"/>
                <w:sz w:val="18"/>
                <w:szCs w:val="18"/>
                <w:color w:val="0000FF"/>
                <w:w w:val="88"/>
              </w:rPr>
              <w:t>06/17/2017</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0000FF"/>
                <w:w w:val="84"/>
              </w:rPr>
              <w:t>1,946</w:t>
            </w:r>
          </w:p>
        </w:tc>
        <w:tc>
          <w:tcPr>
            <w:tcW w:w="64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360" w:type="dxa"/>
            <w:vAlign w:val="bottom"/>
            <w:gridSpan w:val="3"/>
          </w:tcPr>
          <w:p>
            <w:pPr>
              <w:ind w:left="480"/>
              <w:spacing w:after="0"/>
              <w:rPr>
                <w:sz w:val="20"/>
                <w:szCs w:val="20"/>
                <w:color w:val="auto"/>
              </w:rPr>
            </w:pPr>
            <w:r>
              <w:rPr>
                <w:rFonts w:ascii="Arial" w:cs="Arial" w:eastAsia="Arial" w:hAnsi="Arial"/>
                <w:sz w:val="18"/>
                <w:szCs w:val="18"/>
                <w:color w:val="0000FF"/>
              </w:rPr>
              <w:t>24,992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12"/>
                <w:szCs w:val="12"/>
                <w:color w:val="auto"/>
              </w:rPr>
            </w:pPr>
          </w:p>
        </w:tc>
        <w:tc>
          <w:tcPr>
            <w:tcW w:w="640" w:type="dxa"/>
            <w:vAlign w:val="bottom"/>
          </w:tcPr>
          <w:p>
            <w:pPr>
              <w:ind w:left="8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6"/>
              <w:spacing w:after="0"/>
              <w:rPr>
                <w:sz w:val="20"/>
                <w:szCs w:val="20"/>
                <w:color w:val="auto"/>
              </w:rPr>
            </w:pPr>
            <w:r>
              <w:rPr>
                <w:rFonts w:ascii="Arial" w:cs="Arial" w:eastAsia="Arial" w:hAnsi="Arial"/>
                <w:sz w:val="18"/>
                <w:szCs w:val="18"/>
                <w:color w:val="0000FF"/>
                <w:w w:val="93"/>
              </w:rPr>
              <w:t>1,946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ind w:left="260"/>
              <w:spacing w:after="0" w:line="149" w:lineRule="exact"/>
              <w:rPr>
                <w:sz w:val="20"/>
                <w:szCs w:val="20"/>
                <w:color w:val="auto"/>
              </w:rPr>
            </w:pPr>
            <w:r>
              <w:rPr>
                <w:rFonts w:ascii="Arial" w:cs="Arial" w:eastAsia="Arial" w:hAnsi="Arial"/>
                <w:sz w:val="14"/>
                <w:szCs w:val="14"/>
                <w:color w:val="0000FF"/>
              </w:rPr>
              <w:t>06/17/2017</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920" w:type="dxa"/>
            <w:vAlign w:val="bottom"/>
          </w:tcPr>
          <w:p>
            <w:pPr>
              <w:ind w:left="480"/>
              <w:spacing w:after="0" w:line="149" w:lineRule="exact"/>
              <w:rPr>
                <w:sz w:val="20"/>
                <w:szCs w:val="20"/>
                <w:color w:val="auto"/>
              </w:rPr>
            </w:pPr>
            <w:r>
              <w:rPr>
                <w:rFonts w:ascii="Arial" w:cs="Arial" w:eastAsia="Arial" w:hAnsi="Arial"/>
                <w:sz w:val="14"/>
                <w:szCs w:val="14"/>
                <w:color w:val="0000FF"/>
              </w:rPr>
              <w:t>1,946</w:t>
            </w:r>
          </w:p>
        </w:tc>
        <w:tc>
          <w:tcPr>
            <w:tcW w:w="6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20"/>
              <w:spacing w:after="0" w:line="149" w:lineRule="exact"/>
              <w:rPr>
                <w:sz w:val="20"/>
                <w:szCs w:val="20"/>
                <w:color w:val="auto"/>
              </w:rPr>
            </w:pPr>
            <w:r>
              <w:rPr>
                <w:rFonts w:ascii="Arial" w:cs="Arial" w:eastAsia="Arial" w:hAnsi="Arial"/>
                <w:sz w:val="14"/>
                <w:szCs w:val="14"/>
                <w:color w:val="0000FF"/>
                <w:w w:val="88"/>
              </w:rPr>
              <w:t>47,693</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ind w:left="6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June 17, 2016, the reporting person was granted 1,946 restricted stock units, that vest upon the earlier of (i) the first anniversary of the date of grant, (ii) the end of the reporting person's term on the Board if such person is not subsequently elected to a new term on the Board, and (iii) the occurrence of a "Change of Control", as defined in the Plan, and such awards settle upon the earlier of (i) the reporting person's death, (ii) the occurrence of a "Change of Control", as defined in the Plan or (iii) the vesting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06/20/2017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2019-12-04T01:03:21Z</dcterms:created>
  <dcterms:modified xsi:type="dcterms:W3CDTF">2019-12-04T01:03:21Z</dcterms:modified>
</cp:coreProperties>
</file>