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610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1022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Talwar Vikram</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0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148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3"/>
        <w:spacing w:after="0"/>
        <w:rPr>
          <w:sz w:val="20"/>
          <w:szCs w:val="20"/>
          <w:color w:val="auto"/>
        </w:rPr>
      </w:pPr>
      <w:r>
        <w:rPr>
          <w:rFonts w:ascii="Arial" w:cs="Arial" w:eastAsia="Arial" w:hAnsi="Arial"/>
          <w:sz w:val="17"/>
          <w:szCs w:val="17"/>
          <w:color w:val="0000FF"/>
        </w:rPr>
        <w:t>Chairman</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40" w:type="dxa"/>
            <w:vAlign w:val="bottom"/>
            <w:gridSpan w:val="7"/>
            <w:vMerge w:val="restart"/>
          </w:tcPr>
          <w:p>
            <w:pPr>
              <w:jc w:val="center"/>
              <w:ind w:left="13"/>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78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0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180" w:type="dxa"/>
            <w:vAlign w:val="bottom"/>
            <w:gridSpan w:val="2"/>
          </w:tcPr>
          <w:p>
            <w:pPr>
              <w:ind w:left="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40" w:type="dxa"/>
            <w:vAlign w:val="bottom"/>
            <w:gridSpan w:val="8"/>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0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94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5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4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ind w:left="4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jc w:val="right"/>
              <w:ind w:right="520"/>
              <w:spacing w:after="0"/>
              <w:rPr>
                <w:sz w:val="20"/>
                <w:szCs w:val="20"/>
                <w:color w:val="auto"/>
              </w:rPr>
            </w:pPr>
            <w:r>
              <w:rPr>
                <w:rFonts w:ascii="Arial" w:cs="Arial" w:eastAsia="Arial" w:hAnsi="Arial"/>
                <w:sz w:val="12"/>
                <w:szCs w:val="12"/>
                <w:b w:val="1"/>
                <w:bCs w:val="1"/>
                <w:color w:val="auto"/>
                <w:w w:val="95"/>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6"/>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20" w:type="dxa"/>
            <w:vAlign w:val="bottom"/>
            <w:gridSpan w:val="3"/>
            <w:vMerge w:val="restart"/>
          </w:tcPr>
          <w:p>
            <w:pPr>
              <w:ind w:left="560"/>
              <w:spacing w:after="0"/>
              <w:rPr>
                <w:sz w:val="20"/>
                <w:szCs w:val="20"/>
                <w:color w:val="auto"/>
              </w:rPr>
            </w:pPr>
            <w:r>
              <w:rPr>
                <w:rFonts w:ascii="Arial" w:cs="Arial" w:eastAsia="Arial" w:hAnsi="Arial"/>
                <w:sz w:val="17"/>
                <w:szCs w:val="17"/>
                <w:color w:val="0000FF"/>
              </w:rPr>
              <w:t>02/01/2013</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12,133</w:t>
            </w:r>
          </w:p>
        </w:tc>
        <w:tc>
          <w:tcPr>
            <w:tcW w:w="5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right"/>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30.0703</w:t>
            </w:r>
            <w:r>
              <w:rPr>
                <w:rFonts w:ascii="Arial" w:cs="Arial" w:eastAsia="Arial" w:hAnsi="Arial"/>
                <w:sz w:val="22"/>
                <w:szCs w:val="22"/>
                <w:color w:val="008000"/>
                <w:w w:val="90"/>
                <w:vertAlign w:val="superscript"/>
              </w:rPr>
              <w:t>(2)</w:t>
            </w:r>
          </w:p>
        </w:tc>
        <w:tc>
          <w:tcPr>
            <w:tcW w:w="1300" w:type="dxa"/>
            <w:vAlign w:val="bottom"/>
            <w:gridSpan w:val="3"/>
            <w:vMerge w:val="restart"/>
          </w:tcPr>
          <w:p>
            <w:pPr>
              <w:ind w:left="420"/>
              <w:spacing w:after="0"/>
              <w:rPr>
                <w:sz w:val="20"/>
                <w:szCs w:val="20"/>
                <w:color w:val="auto"/>
              </w:rPr>
            </w:pPr>
            <w:r>
              <w:rPr>
                <w:rFonts w:ascii="Arial" w:cs="Arial" w:eastAsia="Arial" w:hAnsi="Arial"/>
                <w:sz w:val="17"/>
                <w:szCs w:val="17"/>
                <w:color w:val="0000FF"/>
              </w:rPr>
              <w:t>87,867</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tcBorders>
              <w:top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20" w:type="dxa"/>
            <w:vAlign w:val="bottom"/>
            <w:tcBorders>
              <w:top w:val="single" w:sz="8" w:color="2C2C2C"/>
            </w:tcBorders>
            <w:gridSpan w:val="3"/>
            <w:vMerge w:val="restart"/>
          </w:tcPr>
          <w:p>
            <w:pPr>
              <w:ind w:left="560"/>
              <w:spacing w:after="0"/>
              <w:rPr>
                <w:sz w:val="20"/>
                <w:szCs w:val="20"/>
                <w:color w:val="auto"/>
              </w:rPr>
            </w:pPr>
            <w:r>
              <w:rPr>
                <w:rFonts w:ascii="Arial" w:cs="Arial" w:eastAsia="Arial" w:hAnsi="Arial"/>
                <w:sz w:val="17"/>
                <w:szCs w:val="17"/>
                <w:color w:val="0000FF"/>
              </w:rPr>
              <w:t>02/04/2013</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18,750</w:t>
            </w:r>
          </w:p>
        </w:tc>
        <w:tc>
          <w:tcPr>
            <w:tcW w:w="5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A</w:t>
            </w: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1"/>
                <w:szCs w:val="11"/>
                <w:color w:val="008000"/>
              </w:rPr>
              <w:t>(4)</w:t>
            </w:r>
          </w:p>
        </w:tc>
        <w:tc>
          <w:tcPr>
            <w:tcW w:w="6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gridSpan w:val="3"/>
            <w:vMerge w:val="restart"/>
          </w:tcPr>
          <w:p>
            <w:pPr>
              <w:ind w:left="420"/>
              <w:spacing w:after="0"/>
              <w:rPr>
                <w:sz w:val="20"/>
                <w:szCs w:val="20"/>
                <w:color w:val="auto"/>
              </w:rPr>
            </w:pPr>
            <w:r>
              <w:rPr>
                <w:rFonts w:ascii="Arial" w:cs="Arial" w:eastAsia="Arial" w:hAnsi="Arial"/>
                <w:sz w:val="17"/>
                <w:szCs w:val="17"/>
                <w:color w:val="0000FF"/>
              </w:rPr>
              <w:t>56,250</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vMerge w:val="restart"/>
          </w:tcPr>
          <w:p>
            <w:pPr>
              <w:ind w:left="2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w:t>
            </w: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12"/>
          </w:tcPr>
          <w:p>
            <w:pPr>
              <w:jc w:val="center"/>
              <w:ind w:left="3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540" w:type="dxa"/>
            <w:vAlign w:val="bottom"/>
          </w:tcPr>
          <w:p>
            <w:pPr>
              <w:ind w:left="180"/>
              <w:spacing w:after="0" w:line="148" w:lineRule="exact"/>
              <w:rPr>
                <w:sz w:val="20"/>
                <w:szCs w:val="20"/>
                <w:color w:val="auto"/>
              </w:rPr>
            </w:pPr>
            <w:r>
              <w:rPr>
                <w:rFonts w:ascii="Arial" w:cs="Arial" w:eastAsia="Arial" w:hAnsi="Arial"/>
                <w:sz w:val="13"/>
                <w:szCs w:val="13"/>
                <w:color w:val="0000FF"/>
                <w:w w:val="93"/>
              </w:rPr>
              <w:t>Stock,</w:t>
            </w:r>
          </w:p>
        </w:tc>
        <w:tc>
          <w:tcPr>
            <w:tcW w:w="200" w:type="dxa"/>
            <w:vAlign w:val="bottom"/>
          </w:tcPr>
          <w:p>
            <w:pPr>
              <w:spacing w:after="0"/>
              <w:rPr>
                <w:sz w:val="12"/>
                <w:szCs w:val="12"/>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18,750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02/04/2013</w:t>
            </w: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40" w:type="dxa"/>
            <w:vAlign w:val="bottom"/>
            <w:gridSpan w:val="2"/>
            <w:vMerge w:val="restart"/>
          </w:tcPr>
          <w:p>
            <w:pPr>
              <w:ind w:left="360"/>
              <w:spacing w:after="0" w:line="148" w:lineRule="exact"/>
              <w:rPr>
                <w:sz w:val="20"/>
                <w:szCs w:val="20"/>
                <w:color w:val="auto"/>
              </w:rPr>
            </w:pPr>
            <w:r>
              <w:rPr>
                <w:rFonts w:ascii="Arial" w:cs="Arial" w:eastAsia="Arial" w:hAnsi="Arial"/>
                <w:sz w:val="13"/>
                <w:szCs w:val="13"/>
                <w:color w:val="0000FF"/>
                <w:w w:val="90"/>
              </w:rPr>
              <w:t>18,750</w:t>
            </w: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ind w:left="240"/>
              <w:spacing w:after="0" w:line="148" w:lineRule="exact"/>
              <w:rPr>
                <w:sz w:val="20"/>
                <w:szCs w:val="20"/>
                <w:color w:val="auto"/>
              </w:rPr>
            </w:pPr>
            <w:r>
              <w:rPr>
                <w:rFonts w:ascii="Arial" w:cs="Arial" w:eastAsia="Arial" w:hAnsi="Arial"/>
                <w:sz w:val="13"/>
                <w:szCs w:val="13"/>
                <w:color w:val="0000FF"/>
              </w:rPr>
              <w:t>18,750</w:t>
            </w:r>
          </w:p>
        </w:tc>
        <w:tc>
          <w:tcPr>
            <w:tcW w:w="68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w w:val="90"/>
              </w:rPr>
              <w:t>$0.001</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$30.00 to $30.20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Talwar 1994 Trust.</w:t>
      </w:r>
    </w:p>
    <w:p>
      <w:pPr>
        <w:spacing w:after="0" w:line="51" w:lineRule="exact"/>
        <w:rPr>
          <w:rFonts w:ascii="Arial" w:cs="Arial" w:eastAsia="Arial" w:hAnsi="Arial"/>
          <w:sz w:val="13"/>
          <w:szCs w:val="13"/>
          <w:color w:val="008000"/>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February 4, 2013, ExlService Holdings, Inc. (the "Company") issued 18,750 shares of common stock, par value $0.001 per share ("Common Stock"), to the reporting person upon the vesting of shares of restricted stock previously granted to the reporting person.</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Vikram Talwar.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18,750 shares of restricted stock vested on February 4, 2013; and the remaining 18,750 shares of restricted stock will vest on February 4, 2014.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2019-12-16T15:16:42Z</dcterms:created>
  <dcterms:modified xsi:type="dcterms:W3CDTF">2019-12-16T15:16:42Z</dcterms:modified>
</cp:coreProperties>
</file>