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0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Mahon Anita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05"/>
        <w:spacing w:after="0"/>
        <w:rPr>
          <w:sz w:val="20"/>
          <w:szCs w:val="20"/>
          <w:color w:val="auto"/>
        </w:rPr>
      </w:pPr>
      <w:r>
        <w:rPr>
          <w:rFonts w:ascii="Times New Roman" w:cs="Times New Roman" w:eastAsia="Times New Roman" w:hAnsi="Times New Roman"/>
          <w:sz w:val="17"/>
          <w:szCs w:val="17"/>
          <w:color w:val="0000FF"/>
        </w:rPr>
        <w:t>EVP &amp; Business Head Healthcare</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606"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50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6"/>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15,840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0000FF"/>
              </w:rPr>
              <w:t>97,923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5,282</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49.14</w:t>
            </w:r>
            <w:r>
              <w:rPr>
                <w:rFonts w:ascii="Times New Roman" w:cs="Times New Roman" w:eastAsia="Times New Roman" w:hAnsi="Times New Roman"/>
                <w:sz w:val="22"/>
                <w:szCs w:val="22"/>
                <w:color w:val="008000"/>
                <w:w w:val="95"/>
                <w:vertAlign w:val="superscript"/>
              </w:rPr>
              <w:t>(2)</w:t>
            </w:r>
          </w:p>
        </w:tc>
        <w:tc>
          <w:tcPr>
            <w:tcW w:w="280" w:type="dxa"/>
            <w:vAlign w:val="bottom"/>
          </w:tcPr>
          <w:p>
            <w:pPr>
              <w:spacing w:after="0"/>
              <w:rPr>
                <w:sz w:val="21"/>
                <w:szCs w:val="21"/>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0000FF"/>
              </w:rPr>
              <w:t>92,641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23,760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0000FF"/>
              </w:rPr>
              <w:t>116,401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11,400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49.14</w:t>
            </w:r>
            <w:r>
              <w:rPr>
                <w:rFonts w:ascii="Times New Roman" w:cs="Times New Roman" w:eastAsia="Times New Roman" w:hAnsi="Times New Roman"/>
                <w:sz w:val="22"/>
                <w:szCs w:val="22"/>
                <w:color w:val="008000"/>
                <w:w w:val="95"/>
                <w:vertAlign w:val="superscript"/>
              </w:rPr>
              <w:t>(2)</w:t>
            </w:r>
          </w:p>
        </w:tc>
        <w:tc>
          <w:tcPr>
            <w:tcW w:w="280" w:type="dxa"/>
            <w:vAlign w:val="bottom"/>
          </w:tcPr>
          <w:p>
            <w:pPr>
              <w:spacing w:after="0"/>
              <w:rPr>
                <w:sz w:val="21"/>
                <w:szCs w:val="21"/>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0000FF"/>
              </w:rPr>
              <w:t>105,001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16, 2022. Such shares of Common Stock were deemed earned on January 27, 2025 based on the Compensation Committee of the Board of Directors administering the award certifying the achievement of performance targets applicable to the PRSUs for the performance period ending on December 31, 2024.</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01/29/2025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528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2025-01-29T16:20:35Z</dcterms:created>
  <dcterms:modified xsi:type="dcterms:W3CDTF">2025-01-29T16:20:35Z</dcterms:modified>
</cp:coreProperties>
</file>