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EVP &amp; Chief HR Officer</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02/26/2016</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3"/>
              <w:spacing w:after="0"/>
              <w:rPr>
                <w:sz w:val="20"/>
                <w:szCs w:val="20"/>
                <w:color w:val="auto"/>
              </w:rPr>
            </w:pPr>
            <w:r>
              <w:rPr>
                <w:rFonts w:ascii="Arial" w:cs="Arial" w:eastAsia="Arial" w:hAnsi="Arial"/>
                <w:sz w:val="18"/>
                <w:szCs w:val="18"/>
                <w:color w:val="0000FF"/>
              </w:rPr>
              <w:t>600</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0"/>
                <w:szCs w:val="20"/>
                <w:color w:val="auto"/>
              </w:rPr>
            </w:pPr>
            <w:r>
              <w:rPr>
                <w:rFonts w:ascii="Arial" w:cs="Arial" w:eastAsia="Arial" w:hAnsi="Arial"/>
                <w:sz w:val="18"/>
                <w:szCs w:val="18"/>
                <w:color w:val="0000FF"/>
              </w:rPr>
              <w:t>600</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02/26/2016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3"/>
              <w:spacing w:after="0"/>
              <w:rPr>
                <w:sz w:val="20"/>
                <w:szCs w:val="20"/>
                <w:color w:val="auto"/>
              </w:rPr>
            </w:pPr>
            <w:r>
              <w:rPr>
                <w:rFonts w:ascii="Arial" w:cs="Arial" w:eastAsia="Arial" w:hAnsi="Arial"/>
                <w:sz w:val="18"/>
                <w:szCs w:val="18"/>
                <w:color w:val="0000FF"/>
              </w:rPr>
              <w:t>280</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47.92</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320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jc w:val="center"/>
              <w:ind w:left="9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3"/>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3"/>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4"/>
              <w:spacing w:after="0"/>
              <w:rPr>
                <w:sz w:val="20"/>
                <w:szCs w:val="20"/>
                <w:color w:val="auto"/>
              </w:rPr>
            </w:pPr>
            <w:r>
              <w:rPr>
                <w:rFonts w:ascii="Arial" w:cs="Arial" w:eastAsia="Arial" w:hAnsi="Arial"/>
                <w:sz w:val="18"/>
                <w:szCs w:val="18"/>
                <w:color w:val="0000FF"/>
              </w:rPr>
              <w:t>600</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02/26/2016</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600</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tcPr>
          <w:p>
            <w:pPr>
              <w:ind w:left="380"/>
              <w:spacing w:after="0" w:line="149" w:lineRule="exact"/>
              <w:rPr>
                <w:sz w:val="20"/>
                <w:szCs w:val="20"/>
                <w:color w:val="auto"/>
              </w:rPr>
            </w:pPr>
            <w:r>
              <w:rPr>
                <w:rFonts w:ascii="Arial" w:cs="Arial" w:eastAsia="Arial" w:hAnsi="Arial"/>
                <w:sz w:val="14"/>
                <w:szCs w:val="14"/>
                <w:color w:val="0000FF"/>
              </w:rPr>
              <w:t>5,400</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6,000 restricted stock units, 10 percent of the restricted stock units became vested on February 26, 2016, an additional 20 percent of the restricted stock units will vest on February 26, 2017, an additional 30 percent of the restricted stock units will vest on February 26, 2018, and the remaining balance i/n/o 2,400 shares of the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03/01/2016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2019-12-08T02:22:08Z</dcterms:created>
  <dcterms:modified xsi:type="dcterms:W3CDTF">2019-12-08T02:22:08Z</dcterms:modified>
</cp:coreProperties>
</file>