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color w:val="auto"/>
        </w:rPr>
        <w:t>[Letterhead of ExlService Holdings, Inc.]</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7,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Abe Friedman and Theresa Brillant</w:t>
      </w:r>
    </w:p>
    <w:p>
      <w:pPr>
        <w:sectPr>
          <w:pgSz w:w="11900" w:h="16838" w:orient="portrait"/>
          <w:cols w:equalWidth="0" w:num="1">
            <w:col w:w="11240"/>
          </w:cols>
          <w:pgMar w:left="320" w:top="472" w:right="339" w:bottom="1440" w:gutter="0" w:footer="0" w:header="0"/>
        </w:sect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10-K for the Year Ended December 31, 2024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001-33089</w:t>
      </w:r>
    </w:p>
    <w:p>
      <w:pPr>
        <w:spacing w:after="0" w:line="200" w:lineRule="exact"/>
        <w:rPr>
          <w:sz w:val="24"/>
          <w:szCs w:val="24"/>
          <w:color w:val="auto"/>
        </w:rPr>
      </w:pPr>
    </w:p>
    <w:p>
      <w:pPr>
        <w:sectPr>
          <w:pgSz w:w="11900" w:h="16838" w:orient="portrait"/>
          <w:cols w:equalWidth="0" w:num="2">
            <w:col w:w="280" w:space="380"/>
            <w:col w:w="10580"/>
          </w:cols>
          <w:pgMar w:left="320" w:top="472"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Friedman and Ms. Brillant:</w:t>
      </w:r>
    </w:p>
    <w:p>
      <w:pPr>
        <w:spacing w:after="0" w:line="22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writing in response to the comments of the staff (the “Staff”) of the United States Securities and Exchange Commission (the “Commission”) contained in the Commission’s letter addressed to Mr. Maurizio Nicolelli, Chief Financial Officer of ExlService Holdings, Inc. (“we” or the “Company”), dated September 25, 2025 (the “Comment Letter”) regarding the above referenced filing.</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reproduced your comments (in italicized font) for ease of reference. The Company’s response to the Comment Letter is as follows: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Fiscal Year Ended December 31, 2024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Management's Discussion and Analysis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2024 Compared to Fiscal 2023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page 40</w:t>
      </w:r>
    </w:p>
    <w:p>
      <w:pPr>
        <w:spacing w:after="0" w:line="203" w:lineRule="exact"/>
        <w:rPr>
          <w:sz w:val="24"/>
          <w:szCs w:val="24"/>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your discussion to separately quantify the changes in revenue from new clients and existing clients. Refer to Item 303(b)(2)(iii) of Regulation S-K.</w:t>
      </w:r>
    </w:p>
    <w:p>
      <w:pPr>
        <w:spacing w:after="0" w:line="154"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u w:val="single" w:color="auto"/>
          <w:color w:val="auto"/>
        </w:rPr>
        <w:t>Response to Comment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submits to the Staff that separate quantification of the changes in revenue from new and existing clients is not material to an understanding of the Company’s results from operations. However, the Company acknowledges the Staff’s comment and believes that this additional information can be helpful to investors. Accordingly, the Company’s disclosures will be revised in future filings to address this additional information, consistent with the applicable requirements of Regulation S-K and the example presented below (please note this disclosure is presented for the year ended December 31, 2024, and will be updated as applicable for all required periods in our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Mr. Abe Friedman and Ms. Theresa Brillant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Example Disclosure from Form 10-K for the Year Ended December 31, 2024 (page 40)</w:t>
      </w:r>
      <w:r>
        <w:rPr>
          <w:rFonts w:ascii="Times New Roman" w:cs="Times New Roman" w:eastAsia="Times New Roman" w:hAnsi="Times New Roman"/>
          <w:sz w:val="18"/>
          <w:szCs w:val="18"/>
          <w:color w:val="auto"/>
        </w:rPr>
        <w:t xml:space="preserve"> (revised text in </w:t>
      </w:r>
      <w:r>
        <w:rPr>
          <w:rFonts w:ascii="Times New Roman" w:cs="Times New Roman" w:eastAsia="Times New Roman" w:hAnsi="Times New Roman"/>
          <w:sz w:val="18"/>
          <w:szCs w:val="18"/>
          <w:u w:val="single" w:color="auto"/>
          <w:color w:val="auto"/>
        </w:rPr>
        <w:t>underline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5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for fiscal 2024 were up by $207.7 million, or 12.7%, compared to fiscal 2023, driven primarily by </w:t>
      </w:r>
      <w:r>
        <w:rPr>
          <w:rFonts w:ascii="Times New Roman" w:cs="Times New Roman" w:eastAsia="Times New Roman" w:hAnsi="Times New Roman"/>
          <w:sz w:val="18"/>
          <w:szCs w:val="18"/>
          <w:i w:val="1"/>
          <w:iCs w:val="1"/>
          <w:u w:val="single" w:color="auto"/>
          <w:color w:val="auto"/>
        </w:rPr>
        <w:t>ramp ups and volume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existing clients across all reportable segments by 9.0% and revenue from new client wins including revenue from our August 2024 acquisition of ITI Data by 3.7%</w:t>
      </w:r>
      <w:r>
        <w:rPr>
          <w:rFonts w:ascii="Times New Roman" w:cs="Times New Roman" w:eastAsia="Times New Roman" w:hAnsi="Times New Roman"/>
          <w:sz w:val="18"/>
          <w:szCs w:val="18"/>
          <w:i w:val="1"/>
          <w:iCs w:val="1"/>
          <w:color w:val="auto"/>
        </w:rPr>
        <w:t xml:space="preserve"> during fiscal 2024.</w:t>
      </w:r>
    </w:p>
    <w:p>
      <w:pPr>
        <w:spacing w:after="0" w:line="173" w:lineRule="exact"/>
        <w:rPr>
          <w:sz w:val="20"/>
          <w:szCs w:val="20"/>
          <w:color w:val="auto"/>
        </w:rPr>
      </w:pPr>
    </w:p>
    <w:p>
      <w:pPr>
        <w:jc w:val="both"/>
        <w:ind w:lef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growth in Insurance of $84.1 million, or 15.9% from fiscal 2023, was primarily driven by expansion of business </w:t>
      </w:r>
      <w:r>
        <w:rPr>
          <w:rFonts w:ascii="Times New Roman" w:cs="Times New Roman" w:eastAsia="Times New Roman" w:hAnsi="Times New Roman"/>
          <w:sz w:val="18"/>
          <w:szCs w:val="18"/>
          <w:i w:val="1"/>
          <w:iCs w:val="1"/>
          <w:u w:val="single" w:color="auto"/>
          <w:color w:val="auto"/>
        </w:rPr>
        <w:t>for our digital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and solutions services from our existing clients by 13.0% and new clients by 2.9%</w:t>
      </w:r>
      <w:r>
        <w:rPr>
          <w:rFonts w:ascii="Times New Roman" w:cs="Times New Roman" w:eastAsia="Times New Roman" w:hAnsi="Times New Roman"/>
          <w:sz w:val="18"/>
          <w:szCs w:val="18"/>
          <w:i w:val="1"/>
          <w:iCs w:val="1"/>
          <w:color w:val="auto"/>
        </w:rPr>
        <w:t xml:space="preserve"> during fiscal 2024.</w:t>
      </w:r>
    </w:p>
    <w:p>
      <w:pPr>
        <w:spacing w:after="0" w:line="158" w:lineRule="exact"/>
        <w:rPr>
          <w:sz w:val="20"/>
          <w:szCs w:val="20"/>
          <w:color w:val="auto"/>
        </w:rPr>
      </w:pPr>
    </w:p>
    <w:p>
      <w:pPr>
        <w:jc w:val="both"/>
        <w:ind w:lef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growth in Healthcare of $10.4 million, or 9.8% from fiscal 2023, was primarily driven by expansion of business </w:t>
      </w:r>
      <w:r>
        <w:rPr>
          <w:rFonts w:ascii="Times New Roman" w:cs="Times New Roman" w:eastAsia="Times New Roman" w:hAnsi="Times New Roman"/>
          <w:sz w:val="18"/>
          <w:szCs w:val="18"/>
          <w:i w:val="1"/>
          <w:iCs w:val="1"/>
          <w:u w:val="single" w:color="auto"/>
          <w:color w:val="auto"/>
        </w:rPr>
        <w:t>for our digital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and solutions services</w:t>
      </w:r>
      <w:r>
        <w:rPr>
          <w:rFonts w:ascii="Times New Roman" w:cs="Times New Roman" w:eastAsia="Times New Roman" w:hAnsi="Times New Roman"/>
          <w:sz w:val="18"/>
          <w:szCs w:val="18"/>
          <w:i w:val="1"/>
          <w:iCs w:val="1"/>
          <w:color w:val="auto"/>
        </w:rPr>
        <w:t xml:space="preserve"> from our existing clients during fiscal 2024.</w:t>
      </w:r>
    </w:p>
    <w:p>
      <w:pPr>
        <w:spacing w:after="0" w:line="158" w:lineRule="exact"/>
        <w:rPr>
          <w:sz w:val="20"/>
          <w:szCs w:val="20"/>
          <w:color w:val="auto"/>
        </w:rPr>
      </w:pPr>
    </w:p>
    <w:p>
      <w:pPr>
        <w:jc w:val="both"/>
        <w:ind w:left="58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growth in Emerging Business of $46.0 million, or 17.3% from fiscal 2023, was primarily driven by expansion of business </w:t>
      </w:r>
      <w:r>
        <w:rPr>
          <w:rFonts w:ascii="Times New Roman" w:cs="Times New Roman" w:eastAsia="Times New Roman" w:hAnsi="Times New Roman"/>
          <w:sz w:val="18"/>
          <w:szCs w:val="18"/>
          <w:i w:val="1"/>
          <w:iCs w:val="1"/>
          <w:u w:val="single" w:color="auto"/>
          <w:color w:val="auto"/>
        </w:rPr>
        <w:t>for our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operations and solution services from our existing clients by 12.3% and new clients by 4.8%</w:t>
      </w:r>
      <w:r>
        <w:rPr>
          <w:rFonts w:ascii="Times New Roman" w:cs="Times New Roman" w:eastAsia="Times New Roman" w:hAnsi="Times New Roman"/>
          <w:sz w:val="18"/>
          <w:szCs w:val="18"/>
          <w:i w:val="1"/>
          <w:iCs w:val="1"/>
          <w:color w:val="auto"/>
        </w:rPr>
        <w:t xml:space="preserve"> during fiscal 2024. Revenue also increased by $0.6 million, mainly attributable to the appreciation of the U.K. pound sterling against the U.S. dollar during fiscal 2024.</w:t>
      </w:r>
    </w:p>
    <w:p>
      <w:pPr>
        <w:spacing w:after="0" w:line="173"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growth in Analytics of $67.2 million or 9.2% from fiscal 2023, was primarily driven by higher volumes in our annuity and project-based engagements from our </w:t>
      </w:r>
      <w:r>
        <w:rPr>
          <w:rFonts w:ascii="Times New Roman" w:cs="Times New Roman" w:eastAsia="Times New Roman" w:hAnsi="Times New Roman"/>
          <w:sz w:val="18"/>
          <w:szCs w:val="18"/>
          <w:i w:val="1"/>
          <w:iCs w:val="1"/>
          <w:u w:val="single" w:color="auto"/>
          <w:color w:val="auto"/>
        </w:rPr>
        <w:t>existing clients by 4.7% and new clients including revenue from our August 2024 acquisition of ITI Data by 4.4%</w:t>
      </w:r>
      <w:r>
        <w:rPr>
          <w:rFonts w:ascii="Times New Roman" w:cs="Times New Roman" w:eastAsia="Times New Roman" w:hAnsi="Times New Roman"/>
          <w:sz w:val="18"/>
          <w:szCs w:val="18"/>
          <w:i w:val="1"/>
          <w:iCs w:val="1"/>
          <w:color w:val="auto"/>
        </w:rPr>
        <w:t xml:space="preserve"> during fiscal 2024. Revenue also increased by $0.7 million, mainly attributable to the appreciation of the U.K. pound sterling against the U.S. dollar during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Mr. Abe Friedman and Ms. Theresa Brillant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 Segment and Geographical Information, page F-21</w:t>
      </w:r>
    </w:p>
    <w:p>
      <w:pPr>
        <w:spacing w:after="0" w:line="203" w:lineRule="exact"/>
        <w:rPr>
          <w:sz w:val="20"/>
          <w:szCs w:val="20"/>
          <w:color w:val="auto"/>
        </w:rPr>
      </w:pPr>
    </w:p>
    <w:p>
      <w:pPr>
        <w:ind w:left="340" w:right="20" w:hanging="332"/>
        <w:spacing w:after="0" w:line="286" w:lineRule="auto"/>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to reconcile the total of your reportable segments' measure of profit or loss to your consolidated income before income taxes and discontinued operations. Refer to ASC 280-10-50-30(b).</w:t>
      </w:r>
    </w:p>
    <w:p>
      <w:pPr>
        <w:spacing w:after="0" w:line="154"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u w:val="single" w:color="auto"/>
          <w:color w:val="auto"/>
        </w:rPr>
        <w:t>Response to Comment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acknowledges that the reconciliation table included in Note 3 does not reconcile to its “consolidated income (loss) before income taxes;” however, no other items of income or expense included in its consolidated statements of income are allocated to the measure of profit or loss for its segments.</w:t>
      </w:r>
    </w:p>
    <w:p>
      <w:pPr>
        <w:spacing w:after="0" w:line="175" w:lineRule="exact"/>
        <w:rPr>
          <w:rFonts w:ascii="Times New Roman" w:cs="Times New Roman" w:eastAsia="Times New Roman" w:hAnsi="Times New Roman"/>
          <w:sz w:val="18"/>
          <w:szCs w:val="18"/>
          <w:b w:val="1"/>
          <w:bCs w:val="1"/>
          <w:i w:val="1"/>
          <w:iCs w:val="1"/>
          <w:color w:val="auto"/>
        </w:rPr>
      </w:pPr>
    </w:p>
    <w:p>
      <w:pPr>
        <w:jc w:val="both"/>
        <w:ind w:left="3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future filings, the Company will revise its presentation to include a reconciliation of the total of all reportable segments’ measure of profit or loss to consolidated income before income taxes, in accordance with ASC 280-10-50-30(b), consistent with the example presented below (which will be updated as applicable for all required periods in our future filings):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Employee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Infrastructure and technology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2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Foreign exchange gain, net, interest expense and other income, net</w:t>
      </w:r>
    </w:p>
    <w:p>
      <w:pPr>
        <w:spacing w:after="0" w:line="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 affiliates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Emerging</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6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8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614,028</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116,406</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311,740</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1,838,372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320,335</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63,597</w:t>
            </w:r>
          </w:p>
        </w:tc>
        <w:tc>
          <w:tcPr>
            <w:tcW w:w="16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147,316</w:t>
            </w:r>
          </w:p>
        </w:tc>
        <w:tc>
          <w:tcPr>
            <w:tcW w:w="1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416,293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947,541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58,415</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11,049</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29,813</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11,600</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4,278</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53,793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223,678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38,472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130,333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298,530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691,013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427,393</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263,620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261,347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-1765300</wp:posOffset>
            </wp:positionV>
            <wp:extent cx="71323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-1482090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-1208405</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-899795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-599440</wp:posOffset>
            </wp:positionV>
            <wp:extent cx="7132320" cy="28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428625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920" w:space="160"/>
            <w:col w:w="7160"/>
          </w:cols>
          <w:pgMar w:left="320" w:top="904"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Mr. Abe Friedman and Ms. Theresa Brillant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you have any questions regarding the foregoing responses, please do not hesitate to call me at 212-209-4611.</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2026-07-03T05:03:41Z</dcterms:created>
  <dcterms:modified xsi:type="dcterms:W3CDTF">2026-07-03T05:03:41Z</dcterms:modified>
</cp:coreProperties>
</file>