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819"/>
        <w:spacing w:after="0"/>
        <w:rPr>
          <w:sz w:val="20"/>
          <w:szCs w:val="20"/>
          <w:color w:val="auto"/>
        </w:rPr>
      </w:pPr>
      <w:r>
        <w:rPr>
          <w:rFonts w:ascii="Arial" w:cs="Arial" w:eastAsia="Arial" w:hAnsi="Arial"/>
          <w:sz w:val="18"/>
          <w:szCs w:val="18"/>
          <w:color w:val="auto"/>
        </w:rPr>
        <w:t>Date of Report (Date of earliest event reported): November 16, 2006</w:t>
      </w:r>
    </w:p>
    <w:p>
      <w:pPr>
        <w:spacing w:after="0" w:line="136"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00"/>
          </w:cols>
          <w:pgMar w:left="240" w:top="584" w:right="105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584"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540"/>
          </w:cols>
          <w:pgMar w:left="240" w:top="58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43" w:lineRule="exact"/>
        <w:rPr>
          <w:sz w:val="24"/>
          <w:szCs w:val="24"/>
          <w:color w:val="auto"/>
        </w:rPr>
      </w:pPr>
    </w:p>
    <w:p>
      <w:pPr>
        <w:jc w:val="center"/>
        <w:ind w:right="-819"/>
        <w:spacing w:after="0"/>
        <w:rPr>
          <w:sz w:val="20"/>
          <w:szCs w:val="20"/>
          <w:color w:val="auto"/>
        </w:rPr>
      </w:pPr>
      <w:r>
        <w:rPr>
          <w:rFonts w:ascii="Arial" w:cs="Arial" w:eastAsia="Arial" w:hAnsi="Arial"/>
          <w:sz w:val="15"/>
          <w:szCs w:val="15"/>
          <w:color w:val="auto"/>
        </w:rPr>
        <w:t>Registrant’s telephone number, including area code: (212) 277-7100</w:t>
      </w:r>
    </w:p>
    <w:p>
      <w:pPr>
        <w:spacing w:after="0" w:line="20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ectPr>
          <w:pgSz w:w="11900" w:h="16838" w:orient="portrait"/>
          <w:cols w:equalWidth="0" w:num="1">
            <w:col w:w="10600"/>
          </w:cols>
          <w:pgMar w:left="240" w:top="584" w:right="1059" w:bottom="1440" w:gutter="0" w:footer="0" w:header="0"/>
          <w:type w:val="continuous"/>
        </w:sectPr>
      </w:pP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584"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16, 2006, ExlService Holdings, Inc. (the “Company”) reported its results of operations for the third quarter and nine months ended September 30, 2006. A copy of the press release issued by the Company concerning the foregoing is furnished herewith as Exhibit 99.1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840" w:type="dxa"/>
            <w:vAlign w:val="bottom"/>
            <w:gridSpan w:val="2"/>
          </w:tcPr>
          <w:p>
            <w:pPr>
              <w:ind w:left="720"/>
              <w:spacing w:after="0"/>
              <w:rPr>
                <w:sz w:val="20"/>
                <w:szCs w:val="20"/>
                <w:color w:val="auto"/>
              </w:rPr>
            </w:pPr>
            <w:r>
              <w:rPr>
                <w:rFonts w:ascii="Arial" w:cs="Arial" w:eastAsia="Arial" w:hAnsi="Arial"/>
                <w:sz w:val="14"/>
                <w:szCs w:val="14"/>
                <w:b w:val="1"/>
                <w:bCs w:val="1"/>
                <w:color w:val="auto"/>
              </w:rPr>
              <w:t>Exhibit</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120" w:type="dxa"/>
            <w:vAlign w:val="bottom"/>
            <w:shd w:val="clear" w:color="auto" w:fill="000000"/>
          </w:tcPr>
          <w:p>
            <w:pPr>
              <w:spacing w:after="0" w:line="20" w:lineRule="exact"/>
              <w:rPr>
                <w:sz w:val="1"/>
                <w:szCs w:val="1"/>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984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Press Release, dated November 16, 2006</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7480" w:type="dxa"/>
            <w:vAlign w:val="bottom"/>
            <w:gridSpan w:val="2"/>
          </w:tcPr>
          <w:p>
            <w:pPr>
              <w:ind w:left="210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7"/>
        </w:trPr>
        <w:tc>
          <w:tcPr>
            <w:tcW w:w="3940" w:type="dxa"/>
            <w:vAlign w:val="bottom"/>
          </w:tcPr>
          <w:p>
            <w:pPr>
              <w:spacing w:after="0"/>
              <w:rPr>
                <w:sz w:val="20"/>
                <w:szCs w:val="20"/>
                <w:color w:val="auto"/>
              </w:rPr>
            </w:pPr>
            <w:r>
              <w:rPr>
                <w:rFonts w:ascii="Arial" w:cs="Arial" w:eastAsia="Arial" w:hAnsi="Arial"/>
                <w:sz w:val="18"/>
                <w:szCs w:val="18"/>
                <w:color w:val="auto"/>
              </w:rPr>
              <w:t>Date: November 16, 2006</w:t>
            </w:r>
          </w:p>
        </w:tc>
        <w:tc>
          <w:tcPr>
            <w:tcW w:w="7480" w:type="dxa"/>
            <w:vAlign w:val="bottom"/>
            <w:gridSpan w:val="2"/>
          </w:tcPr>
          <w:p>
            <w:pPr>
              <w:ind w:left="2100"/>
              <w:spacing w:after="0"/>
              <w:rPr>
                <w:sz w:val="20"/>
                <w:szCs w:val="20"/>
                <w:color w:val="auto"/>
              </w:rPr>
            </w:pPr>
            <w:r>
              <w:rPr>
                <w:rFonts w:ascii="Arial" w:cs="Arial" w:eastAsia="Arial" w:hAnsi="Arial"/>
                <w:sz w:val="18"/>
                <w:szCs w:val="18"/>
                <w:color w:val="auto"/>
              </w:rPr>
              <w:t>By: /s/ Rohit Kapoor</w:t>
            </w:r>
          </w:p>
        </w:tc>
      </w:tr>
      <w:tr>
        <w:trPr>
          <w:trHeight w:val="202"/>
        </w:trPr>
        <w:tc>
          <w:tcPr>
            <w:tcW w:w="3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Rohit Kapoor</w:t>
            </w:r>
          </w:p>
        </w:tc>
      </w:tr>
      <w:tr>
        <w:trPr>
          <w:trHeight w:val="222"/>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Title:  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560"/>
              <w:spacing w:after="0"/>
              <w:rPr>
                <w:sz w:val="20"/>
                <w:szCs w:val="20"/>
                <w:color w:val="auto"/>
              </w:rPr>
            </w:pPr>
            <w:r>
              <w:rPr>
                <w:rFonts w:ascii="Arial" w:cs="Arial" w:eastAsia="Arial" w:hAnsi="Arial"/>
                <w:sz w:val="14"/>
                <w:szCs w:val="14"/>
                <w:b w:val="1"/>
                <w:bCs w:val="1"/>
                <w:color w:val="auto"/>
              </w:rPr>
              <w:t>Exhibit</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0" w:type="dxa"/>
            <w:vAlign w:val="bottom"/>
            <w:shd w:val="clear" w:color="auto" w:fill="000000"/>
          </w:tcPr>
          <w:p>
            <w:pPr>
              <w:spacing w:after="0" w:line="20" w:lineRule="exact"/>
              <w:rPr>
                <w:sz w:val="1"/>
                <w:szCs w:val="1"/>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7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Press Release, dated November 8, 2006</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722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350 Park Avenue</w:t>
      </w:r>
    </w:p>
    <w:p>
      <w:pPr>
        <w:spacing w:after="0" w:line="15"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Contact: Jarrod Yahes</w:t>
      </w:r>
    </w:p>
    <w:p>
      <w:pPr>
        <w:spacing w:after="0" w:line="9" w:lineRule="exact"/>
        <w:rPr>
          <w:sz w:val="20"/>
          <w:szCs w:val="20"/>
          <w:color w:val="auto"/>
        </w:rPr>
      </w:pPr>
    </w:p>
    <w:p>
      <w:pPr>
        <w:ind w:left="9420"/>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(212) 277-7109</w:t>
      </w:r>
    </w:p>
    <w:p>
      <w:pPr>
        <w:spacing w:after="0" w:line="9" w:lineRule="exact"/>
        <w:rPr>
          <w:sz w:val="20"/>
          <w:szCs w:val="20"/>
          <w:color w:val="auto"/>
        </w:rPr>
      </w:pPr>
    </w:p>
    <w:p>
      <w:pPr>
        <w:ind w:left="9420"/>
        <w:spacing w:after="0"/>
        <w:rPr>
          <w:sz w:val="20"/>
          <w:szCs w:val="20"/>
          <w:color w:val="auto"/>
        </w:rPr>
      </w:pPr>
      <w:r>
        <w:rPr>
          <w:rFonts w:ascii="Arial" w:cs="Arial" w:eastAsia="Arial" w:hAnsi="Arial"/>
          <w:sz w:val="18"/>
          <w:szCs w:val="18"/>
          <w:u w:val="single" w:color="auto"/>
          <w:color w:val="auto"/>
        </w:rPr>
        <w:t>ir@exlservice.com</w:t>
      </w:r>
    </w:p>
    <w:p>
      <w:pPr>
        <w:spacing w:after="0" w:line="151"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 xml:space="preserve">Contact: </w:t>
      </w:r>
      <w:r>
        <w:rPr>
          <w:rFonts w:ascii="Arial" w:cs="Arial" w:eastAsia="Arial" w:hAnsi="Arial"/>
          <w:sz w:val="16"/>
          <w:szCs w:val="16"/>
          <w:u w:val="single" w:color="auto"/>
          <w:color w:val="auto"/>
        </w:rPr>
        <w:t>Investors</w:t>
      </w:r>
      <w:r>
        <w:rPr>
          <w:rFonts w:ascii="Arial" w:cs="Arial" w:eastAsia="Arial" w:hAnsi="Arial"/>
          <w:sz w:val="16"/>
          <w:szCs w:val="16"/>
          <w:color w:val="auto"/>
        </w:rPr>
        <w:t>: Michael Polyviou</w:t>
      </w:r>
    </w:p>
    <w:p>
      <w:pPr>
        <w:spacing w:after="0" w:line="38" w:lineRule="exact"/>
        <w:rPr>
          <w:sz w:val="20"/>
          <w:szCs w:val="20"/>
          <w:color w:val="auto"/>
        </w:rPr>
      </w:pPr>
    </w:p>
    <w:p>
      <w:pPr>
        <w:ind w:left="9420"/>
        <w:spacing w:after="0"/>
        <w:rPr>
          <w:sz w:val="20"/>
          <w:szCs w:val="20"/>
          <w:color w:val="auto"/>
        </w:rPr>
      </w:pPr>
      <w:r>
        <w:rPr>
          <w:rFonts w:ascii="Arial" w:cs="Arial" w:eastAsia="Arial" w:hAnsi="Arial"/>
          <w:sz w:val="16"/>
          <w:szCs w:val="16"/>
          <w:u w:val="single" w:color="auto"/>
          <w:color w:val="auto"/>
        </w:rPr>
        <w:t>Press</w:t>
      </w:r>
      <w:r>
        <w:rPr>
          <w:rFonts w:ascii="Arial" w:cs="Arial" w:eastAsia="Arial" w:hAnsi="Arial"/>
          <w:sz w:val="16"/>
          <w:szCs w:val="16"/>
          <w:color w:val="auto"/>
        </w:rPr>
        <w:t>: Kerry Kelly-Guiliano</w:t>
      </w:r>
    </w:p>
    <w:p>
      <w:pPr>
        <w:spacing w:after="0" w:line="32"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Financial Dynamics</w:t>
      </w:r>
    </w:p>
    <w:p>
      <w:pPr>
        <w:spacing w:after="0" w:line="9"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617-747-3603</w:t>
      </w:r>
    </w:p>
    <w:p>
      <w:pPr>
        <w:spacing w:after="0" w:line="9" w:lineRule="exact"/>
        <w:rPr>
          <w:sz w:val="20"/>
          <w:szCs w:val="20"/>
          <w:color w:val="auto"/>
        </w:rPr>
      </w:pPr>
    </w:p>
    <w:p>
      <w:pPr>
        <w:ind w:left="9420"/>
        <w:spacing w:after="0"/>
        <w:rPr>
          <w:sz w:val="20"/>
          <w:szCs w:val="20"/>
          <w:color w:val="auto"/>
        </w:rPr>
      </w:pPr>
      <w:r>
        <w:rPr>
          <w:rFonts w:ascii="Arial" w:cs="Arial" w:eastAsia="Arial" w:hAnsi="Arial"/>
          <w:sz w:val="18"/>
          <w:szCs w:val="18"/>
          <w:u w:val="single" w:color="auto"/>
          <w:color w:val="auto"/>
        </w:rPr>
        <w:t>kguiliano@fd-us.com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2006 THIRD QUARTER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Significant Increases in Revenue, Gross Margin and Operating Margin;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Executing on Long-Term Growth Strategy</w:t>
      </w:r>
    </w:p>
    <w:p>
      <w:pPr>
        <w:spacing w:after="0" w:line="165"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New York, NY – November 16</w:t>
      </w:r>
      <w:r>
        <w:rPr>
          <w:rFonts w:ascii="Arial" w:cs="Arial" w:eastAsia="Arial" w:hAnsi="Arial"/>
          <w:sz w:val="20"/>
          <w:szCs w:val="20"/>
          <w:color w:val="auto"/>
          <w:vertAlign w:val="superscript"/>
        </w:rPr>
        <w:t>th</w:t>
      </w:r>
      <w:r>
        <w:rPr>
          <w:rFonts w:ascii="Arial" w:cs="Arial" w:eastAsia="Arial" w:hAnsi="Arial"/>
          <w:sz w:val="16"/>
          <w:szCs w:val="16"/>
          <w:color w:val="auto"/>
        </w:rPr>
        <w:t>, 2006 – ExlService Holdings, Inc. (NASDAQ: EXLS), a recognized provider of offshore solutions including business process outsourcing, research and analytics, and risk advisory services, today announced its financial results for the third quarter ended September 30, 2006.</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third quarter highlights include:</w:t>
      </w:r>
    </w:p>
    <w:p>
      <w:pPr>
        <w:spacing w:after="0" w:line="84" w:lineRule="exact"/>
        <w:rPr>
          <w:sz w:val="20"/>
          <w:szCs w:val="20"/>
          <w:color w:val="auto"/>
        </w:rPr>
      </w:pPr>
    </w:p>
    <w:p>
      <w:pPr>
        <w:ind w:left="780" w:right="320" w:hanging="326"/>
        <w:spacing w:after="0" w:line="275" w:lineRule="auto"/>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 increased 94.0% to $35.7 million from $18.4 million in the third quarter of 2005 comprised of 59.8% organic revenue growth and 34.2% acquisition related growth.</w:t>
      </w:r>
    </w:p>
    <w:p>
      <w:pPr>
        <w:spacing w:after="0" w:line="38" w:lineRule="exact"/>
        <w:rPr>
          <w:rFonts w:ascii="Arial" w:cs="Arial" w:eastAsia="Arial" w:hAnsi="Arial"/>
          <w:sz w:val="18"/>
          <w:szCs w:val="18"/>
          <w:b w:val="1"/>
          <w:bCs w:val="1"/>
          <w:color w:val="auto"/>
        </w:rPr>
      </w:pPr>
    </w:p>
    <w:p>
      <w:pPr>
        <w:ind w:left="780" w:hanging="326"/>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increased 200 basis points to 39.7% from 37.7% in the third quarter of 2005.</w:t>
      </w:r>
    </w:p>
    <w:p>
      <w:pPr>
        <w:spacing w:after="0" w:line="90" w:lineRule="exact"/>
        <w:rPr>
          <w:rFonts w:ascii="Arial" w:cs="Arial" w:eastAsia="Arial" w:hAnsi="Arial"/>
          <w:sz w:val="18"/>
          <w:szCs w:val="18"/>
          <w:b w:val="1"/>
          <w:bCs w:val="1"/>
          <w:color w:val="auto"/>
        </w:rPr>
      </w:pPr>
    </w:p>
    <w:p>
      <w:pPr>
        <w:ind w:left="780" w:right="40" w:hanging="326"/>
        <w:spacing w:after="0" w:line="262" w:lineRule="auto"/>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 for the quarter was 11.6% compared to 7.3% in the third quarter of 2005; adjusted operating margin for the quarter, excluding the impact of stock-based compensation expense and amortization of intangibles, was 15.7% compared to 7.5% in the third quarter of 2005.</w:t>
      </w:r>
    </w:p>
    <w:p>
      <w:pPr>
        <w:spacing w:after="0" w:line="51" w:lineRule="exact"/>
        <w:rPr>
          <w:rFonts w:ascii="Arial" w:cs="Arial" w:eastAsia="Arial" w:hAnsi="Arial"/>
          <w:sz w:val="18"/>
          <w:szCs w:val="18"/>
          <w:b w:val="1"/>
          <w:bCs w:val="1"/>
          <w:color w:val="auto"/>
        </w:rPr>
      </w:pPr>
    </w:p>
    <w:p>
      <w:pPr>
        <w:ind w:left="780" w:right="20" w:hanging="326"/>
        <w:spacing w:after="0" w:line="262" w:lineRule="auto"/>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to common stock holders for the quarter was $4.1 million compared to $1.1 million in the third quarter of 2005; adjusted net income for the quarter, excluding the impact of stock-based compensation expense and amortization of intangibles, was $5.6 million compared to $1.1 million in the third quarter of 2005.</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Reconciliations of Adjusted financial measures to GAAP are included at the end of this release.</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pleased with our outstanding financial performance during the quarter and the strong start to our life as a public company,” said Vikram Talwar, CEO and Vice-Chairman of EXL. “EXL’s third quarter results showed continued strong revenue growth and a significant expansion in gross margin and operating margin. Our third quarter results were driven by continuing ramps in multiple BPO processes, the positive impact of our acquisition of Inductis, as well as continued strong demand for our risk advisory offerings. I would note that although our business confidence and growth outlook remains strong, EXL benefited this quarter from the confluence of several factors that should not be expected to continue.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quarter, EXL successfully completed several key strategic initiatives including the acquisition of Inductis, Inc. as well as our recent Initial Public Offering on the NASDAQ. Our clients’ receptivity to Inductis’ advanced capabilities in analytics has been good and we are pleased to be able to provide such a valuable offering to meet client demands for increasingly sophisticated offshore services. In line with EXL’s growth strategy we will continue to position ourselves for long-term business success and to capitalize on our current market position. On October 25, 2006, EXL closed its Initial Public Offering of 5,000,000 shares priced at $13.50 per share. The underwriters fully exercised their option to purchase an additional 750,000 shares to cover over-allotments, increasing the total number of shares sold to 5,750,000. The net proceeds of the offering were approximately $72.2 million after underwriting discounts and commissions but prior to estimated offering expenses payable by EXL. The EXL family is excited about becoming a public company and is now focused on continued execution of our business strategy and delivering value on behalf of our clients and stakeholders” concluded Mr. Talwar.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 Third Quarter 2006</w:t>
      </w:r>
    </w:p>
    <w:p>
      <w:pPr>
        <w:spacing w:after="0" w:line="96"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for the quarter ended September 30, 2006 increased to $35.7 million up 94.0% from $18.4 million in the quarter ended September 30, 2005.</w:t>
      </w:r>
    </w:p>
    <w:p>
      <w:pPr>
        <w:spacing w:after="0" w:line="113" w:lineRule="exact"/>
        <w:rPr>
          <w:rFonts w:ascii="Arial" w:cs="Arial" w:eastAsia="Arial" w:hAnsi="Arial"/>
          <w:sz w:val="16"/>
          <w:szCs w:val="16"/>
          <w:color w:val="auto"/>
        </w:rPr>
      </w:pPr>
    </w:p>
    <w:p>
      <w:pPr>
        <w:ind w:left="780" w:right="3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Last twelve months revenue for the twelve months ended September 30, 2006 increased 43.4% to $102.4 million from $71.4 million in the twelve months ended September 30, 2005.</w:t>
      </w:r>
    </w:p>
    <w:p>
      <w:pPr>
        <w:spacing w:after="0" w:line="50" w:lineRule="exact"/>
        <w:rPr>
          <w:rFonts w:ascii="Arial" w:cs="Arial" w:eastAsia="Arial" w:hAnsi="Arial"/>
          <w:sz w:val="18"/>
          <w:szCs w:val="18"/>
          <w:color w:val="auto"/>
        </w:rPr>
      </w:pPr>
    </w:p>
    <w:p>
      <w:pPr>
        <w:jc w:val="both"/>
        <w:ind w:left="780" w:right="1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generated from the Company’s largest client was 29.4% for the quarter ended September 30, 2006 compared to 49.5% for the quarter ended September 30, 2005. Revenue generated from the Company’s three largest clients was 57.2% for the quarter ended September 30, 2006 compared to 75.0% for the quarter ended September 30, 2005.</w:t>
      </w:r>
    </w:p>
    <w:p>
      <w:pPr>
        <w:spacing w:after="0" w:line="59" w:lineRule="exact"/>
        <w:rPr>
          <w:rFonts w:ascii="Arial" w:cs="Arial" w:eastAsia="Arial" w:hAnsi="Arial"/>
          <w:sz w:val="18"/>
          <w:szCs w:val="18"/>
          <w:color w:val="auto"/>
        </w:rPr>
      </w:pPr>
    </w:p>
    <w:p>
      <w:pPr>
        <w:ind w:left="780" w:right="240" w:hanging="326"/>
        <w:spacing w:after="0" w:line="30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September 30, 2006 was 39.7% and increased 200 basis points from 37.7% in the quarter ended September 30, 2005. Gross margins expanded primarily as a result of an increased utilization of the Company’s existing infrastructure, strong seasonal demand for services from the risk advisory services group, and favorable exchange rate movements during the third quarter of 2006.</w:t>
      </w:r>
    </w:p>
    <w:p>
      <w:pPr>
        <w:spacing w:after="0" w:line="25" w:lineRule="exact"/>
        <w:rPr>
          <w:rFonts w:ascii="Arial" w:cs="Arial" w:eastAsia="Arial" w:hAnsi="Arial"/>
          <w:sz w:val="16"/>
          <w:szCs w:val="16"/>
          <w:color w:val="auto"/>
        </w:rPr>
      </w:pPr>
    </w:p>
    <w:p>
      <w:pPr>
        <w:ind w:left="780" w:right="12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was 11.6%, compared to 7.3% in the quarter ended September 30, 2005. Adjusted operating margin, excluding the impact of stock-based compensation expense and amortization of intangibles, was 15.7% for the quarter ended September 30, 2006, compared to 7.5% in the quarter ended September 30, 2005.</w:t>
      </w:r>
    </w:p>
    <w:p>
      <w:pPr>
        <w:spacing w:after="0" w:line="59" w:lineRule="exact"/>
        <w:rPr>
          <w:rFonts w:ascii="Arial" w:cs="Arial" w:eastAsia="Arial" w:hAnsi="Arial"/>
          <w:sz w:val="18"/>
          <w:szCs w:val="18"/>
          <w:color w:val="auto"/>
        </w:rPr>
      </w:pPr>
    </w:p>
    <w:p>
      <w:pPr>
        <w:ind w:left="780" w:right="240" w:hanging="326"/>
        <w:spacing w:after="0" w:line="30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to common stockholders was $4.1 million for the quarter ended September 30, 2006, compared to $1.1 million in the quarter ended September 30, 2005. Adjusted net income to common stockholders, excluding the impact of stock-based compensation expense and amortization of intangibles, was $5.6 million for the quarter ended September 30, 2006, compared to $1.1 million in the quarter ended September 30, 2005.</w:t>
      </w:r>
    </w:p>
    <w:p>
      <w:pPr>
        <w:spacing w:after="0" w:line="25" w:lineRule="exact"/>
        <w:rPr>
          <w:rFonts w:ascii="Arial" w:cs="Arial" w:eastAsia="Arial" w:hAnsi="Arial"/>
          <w:sz w:val="16"/>
          <w:szCs w:val="16"/>
          <w:color w:val="auto"/>
        </w:rPr>
      </w:pPr>
    </w:p>
    <w:p>
      <w:pPr>
        <w:ind w:left="780" w:right="80" w:hanging="326"/>
        <w:spacing w:after="0" w:line="294"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to common stockholders was $0.19, compared to $0.05 in the quarter ended September 30, 2005. Diluted adjusted earnings per share to common stockholders, excluding the impact of stock-based compensation expense and amortization of intangibles, was $0.26, compared to $0.05 in the quarter ended September 30, 2005. The number of shares used in computing earnings per share for the three months ending September 30, 2006 and September 30, 2005 has been adjusted to give effect to the two-for-one stock split and conversion done by the Company on October 24, 2006, but does not include the 5,750,000 shares issued as part of the Initial Public Offering of the Company.</w:t>
      </w:r>
    </w:p>
    <w:p>
      <w:pPr>
        <w:spacing w:after="0" w:line="35"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Note: Periods may not be comparable due to the inclusion of the financial results of Inductis, Inc. in our consolidated financial statements from July 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Highlights</w:t>
      </w:r>
    </w:p>
    <w:p>
      <w:pPr>
        <w:spacing w:after="0" w:line="96" w:lineRule="exact"/>
        <w:rPr>
          <w:sz w:val="20"/>
          <w:szCs w:val="20"/>
          <w:color w:val="auto"/>
        </w:rPr>
      </w:pPr>
    </w:p>
    <w:p>
      <w:pPr>
        <w:ind w:left="780" w:right="2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of Pramode Metre as Vice President, Chief Sales &amp; Marketing Officer. Pramode previously served as corporate Vice President at e4e Inc. where he led business development initiatives and strategies for its four lines of BPO businesses and served as Senior Vice President, Business Development at Syntel, Inc.</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of Inductis, Inc. underway with initial successes in client cross-selling and collaborative solution delivery.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Entry into an interim agreement for the provision of services with a leading U.S. insurance company to provide a range of BPO services.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Entry into a Letter of Intent for a new facility in Noida to accommodate an additional 1,150 seats of capacity.</w:t>
      </w:r>
    </w:p>
    <w:p>
      <w:pPr>
        <w:spacing w:after="0" w:line="171" w:lineRule="exact"/>
        <w:rPr>
          <w:sz w:val="20"/>
          <w:szCs w:val="20"/>
          <w:color w:val="auto"/>
        </w:rPr>
      </w:pPr>
    </w:p>
    <w:p>
      <w:pPr>
        <w:ind w:right="720"/>
        <w:spacing w:after="0" w:line="370" w:lineRule="auto"/>
        <w:rPr>
          <w:sz w:val="20"/>
          <w:szCs w:val="20"/>
          <w:color w:val="auto"/>
        </w:rPr>
      </w:pPr>
      <w:r>
        <w:rPr>
          <w:rFonts w:ascii="Arial" w:cs="Arial" w:eastAsia="Arial" w:hAnsi="Arial"/>
          <w:sz w:val="15"/>
          <w:szCs w:val="15"/>
          <w:color w:val="auto"/>
        </w:rPr>
        <w:t>As of September 30, 2006, EXL had total employees of approximately 7,900, up 66% from approximately 4,750 employees at September 30, 2005. The Company’s headcount during the quarter increased by approximately 800 employees and attrition during the quarter for billable employees was 39.8%.</w:t>
      </w:r>
    </w:p>
    <w:p>
      <w:pPr>
        <w:spacing w:after="0" w:line="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strong third quarter results reflect the successful execution of our focus on sustainable growth and continued profitability.” said Rohit Kapoor, President and Chief Financial Officer of EXL. “We will continue to invest heavily in our sales and client relationship management function, additional physical infrastructure and management development programs. These investments will enable us to deploy the right resources and deliver high quality solutions that meet the business needs of our clients today and in the future.”</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Mr. Kapoor continued, “We continued to invest in our front-end during the quarter with the hiring of Pramode Metre as Chief Sales &amp; Marketing Officer as well as several other business development professionals in the U.S. Pramode will be charged with developing an industry-leading sales team and we continue to invest in our client acquisition and relationship management infrastructure. Our current pipeline of new clients as well as opportunities within existing clients remains robust and we look forward to an exciting year ahead as we seek to solidify our leadership position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Outlook – Full Year</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is providing the following guidance:</w:t>
      </w:r>
    </w:p>
    <w:p>
      <w:pPr>
        <w:spacing w:after="0" w:line="9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Calendar year 2006 revenue of $117.5 to $118.5 million.</w:t>
      </w:r>
    </w:p>
    <w:p>
      <w:pPr>
        <w:spacing w:after="0" w:line="9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Calendar year 2006 adjusted operating income, excluding the impact of stock-based compensation expense and amortization of intangibles, of $14.5-15.5 million, and fourth quarter adjusted operating income, excluding the impact of stock-based compensation expense and amortization of intangibles, of $4.0 to 5.0 million.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will be providing calendar 2007 annual guidance during its fourth quarter 2006 earnings report.</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EXL will host a conference call on Thursday, November 16, at 8:00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 site at least fifteen minutes prior to the call to register, download and install any necessary audio software.</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listen to the conference call via phone, please dial 1-800-418-7236 or 1-973-935-8757 and reference “EXL.” For those who cannot access the live broadcast, a replay will be available by dialing 877-519-4471 or 973-341-3080 and entering “8098604” from two hours after the end of the call until 11:59 p.m. (EST) on November 23rd, 2006. The replay will also be available at the EXL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ExlService Holdings, Inc. (NASDAQ: EXLS), is a recognized provider of offshore solutions including Business Process Outsourcing (BPO), research and analytics and risk advisory services. It primarily serves the needs of Global 1000 companies in the banking, financial services and insurance sector. EXL is headquartered at 350 Park Avenue, New York, NY. Find additional information about EXL at www.exlservice.com.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line="307"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Registration Statement on Form S-1. These risks could cause actual results to differ materially from those implied by forward-looking statements in this release.</w:t>
      </w:r>
    </w:p>
    <w:p>
      <w:pPr>
        <w:spacing w:after="0" w:line="112"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21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3"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35,665,045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18,368,980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82,453,287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53,974,673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21,490,479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11,440,529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51,378,118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35,104,597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14,174,566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6,928,451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31,075,169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18,870,076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5,802,239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3,665,076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13,110,619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9,706,772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1,635,644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419,924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3,083,744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1,213,363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2,614,929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1,497,937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6,254,903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4,477,588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10,052,812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5,582,937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22,449,266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15,397,723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4,121,754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1,345,514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8,625,903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3,472,353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1,522,203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310,945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258,306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912,327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(275,310)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(479,077)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(83,420)</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(396,697)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4,169,070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1,868,103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8,370,940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4,815,628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(152,084)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696,374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351,344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4,321,154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1,171,729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8,019,596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3,852,503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(180,794)</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(80,796)</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(523,173)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4,140,360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1,090,933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7,496,423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to common stockholders</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40" w:type="dxa"/>
            <w:vAlign w:val="bottom"/>
            <w:gridSpan w:val="2"/>
            <w:vMerge w:val="continue"/>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to common stockholders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7"/>
              </w:rPr>
              <w:t>Weighted-average number of shares used in computing earnings per share: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21,603,812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21,108,418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21,583,084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21,164,290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21,997,319</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21,556,916</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21,912,253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21,674,590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00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27" w:lineRule="exact"/>
        <w:rPr>
          <w:sz w:val="20"/>
          <w:szCs w:val="20"/>
          <w:color w:val="auto"/>
        </w:rPr>
      </w:pPr>
    </w:p>
    <w:p>
      <w:pPr>
        <w:ind w:left="460" w:right="180" w:hanging="452"/>
        <w:spacing w:after="0" w:line="259"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shares and earnings per share data has been adjusted to give effect to the Stock Split and Conversion effected by the Company on October 24, 2006 in connection with the consummation of its Initial Public Offering but does not include the 5,750,000 shares issued as part of the initial public offering.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25,628,874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24,240,632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Restricted cash</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686,684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for doubtful accounts</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27,632,396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14,762,331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Employee receivables</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686,768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739,630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1,037,839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2,065,481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2,078,471</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59,518,304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43,020,998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14,917,242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16,206,665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2,560,000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10,878,140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Restricted cash</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304,814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194,279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4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4,021,636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2,266,800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92,394,415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62,576,311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960" w:type="dxa"/>
            <w:vAlign w:val="bottom"/>
            <w:gridSpan w:val="2"/>
            <w:vMerge w:val="continue"/>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payable</w:t>
            </w:r>
          </w:p>
        </w:tc>
        <w:tc>
          <w:tcPr>
            <w:tcW w:w="4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1,774,887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1,391,775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Short Term Debts</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52,925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revenue</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5,951,416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7,608,889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8,914,017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3,408,714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accrued expenses and current liabilities</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12,012,032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6,319,374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1,783,522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portion of capital lease obligation</w:t>
            </w:r>
          </w:p>
        </w:tc>
        <w:tc>
          <w:tcPr>
            <w:tcW w:w="4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184,680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30,673,479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19,721,545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4960" w:type="dxa"/>
            <w:vAlign w:val="bottom"/>
            <w:gridSpan w:val="2"/>
          </w:tcPr>
          <w:p>
            <w:pPr>
              <w:spacing w:after="0"/>
              <w:rPr>
                <w:sz w:val="20"/>
                <w:szCs w:val="20"/>
                <w:color w:val="auto"/>
              </w:rPr>
            </w:pPr>
            <w:r>
              <w:rPr>
                <w:rFonts w:ascii="Arial" w:cs="Arial" w:eastAsia="Arial" w:hAnsi="Arial"/>
                <w:sz w:val="18"/>
                <w:szCs w:val="18"/>
                <w:color w:val="auto"/>
              </w:rPr>
              <w:t>Senior long-term debt</w:t>
            </w: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5,802,873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5,583,499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4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232,467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36,708,819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25,561,344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49,091,339</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30,943,883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92,394,415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62,576,311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160" w:type="dxa"/>
            <w:vAlign w:val="bottom"/>
            <w:vMerge w:val="restart"/>
          </w:tcPr>
          <w:p>
            <w:pPr>
              <w:jc w:val="right"/>
              <w:ind w:right="3272"/>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3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operating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are not indicative of the Company’s ongoing performance: (i) differences in stock compensation accounting policies between periods and (ii) significant non-recurring expenses associated with the amortization of Inductis Inc. acquisition-related intangibles. The Adjusted financial measures disclosed by the Company should not be considered a substitute for, or superior to, financial measures calculated in accordance with GAAP, and the financial results calculated in accordance with GAAP and reconciliations to those financial statements should be carefully evaluated. The following table shows the reconciliation of these Adjusted financial measures to GAAP: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right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340" w:type="dxa"/>
            <w:vAlign w:val="bottom"/>
            <w:tcBorders>
              <w:top w:val="single" w:sz="8" w:color="auto"/>
              <w:bottom w:val="single" w:sz="8" w:color="auto"/>
              <w:right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2006 US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right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4"/>
              </w:rPr>
              <w:t>2005 US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GAAP</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Adjusted</w:t>
            </w:r>
          </w:p>
        </w:tc>
        <w:tc>
          <w:tcPr>
            <w:tcW w:w="120" w:type="dxa"/>
            <w:vAlign w:val="bottom"/>
            <w:tcBorders>
              <w:right w:val="single" w:sz="8" w:color="auto"/>
            </w:tcBorders>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GAAP</w:t>
            </w:r>
          </w:p>
        </w:tc>
        <w:tc>
          <w:tcPr>
            <w:tcW w:w="18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Adjusted</w:t>
            </w: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35,665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18,369</w:t>
            </w:r>
          </w:p>
        </w:tc>
        <w:tc>
          <w:tcPr>
            <w:tcW w:w="0" w:type="dxa"/>
            <w:vAlign w:val="bottom"/>
          </w:tcPr>
          <w:p>
            <w:pPr>
              <w:spacing w:after="0"/>
              <w:rPr>
                <w:sz w:val="1"/>
                <w:szCs w:val="1"/>
                <w:color w:val="auto"/>
              </w:rPr>
            </w:pPr>
          </w:p>
        </w:tc>
      </w:tr>
      <w:tr>
        <w:trPr>
          <w:trHeight w:val="208"/>
        </w:trPr>
        <w:tc>
          <w:tcPr>
            <w:tcW w:w="43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Cost of revenues (exclusive of depreciation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41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21,490</w:t>
            </w:r>
          </w:p>
        </w:tc>
        <w:tc>
          <w:tcPr>
            <w:tcW w:w="160" w:type="dxa"/>
            <w:vAlign w:val="bottom"/>
          </w:tcPr>
          <w:p>
            <w:pPr>
              <w:spacing w:after="0"/>
              <w:rPr>
                <w:sz w:val="20"/>
                <w:szCs w:val="20"/>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w w:val="93"/>
              </w:rPr>
              <w:t>(220)(a)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21,270</w:t>
            </w:r>
          </w:p>
        </w:tc>
        <w:tc>
          <w:tcPr>
            <w:tcW w:w="12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43"/>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14,175</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6,928</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220" w:type="dxa"/>
            <w:vAlign w:val="bottom"/>
            <w:tcBorders>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3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i w:val="1"/>
                <w:iCs w:val="1"/>
                <w:color w:val="auto"/>
              </w:rPr>
              <w:t>Gross Margin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i w:val="1"/>
                <w:iCs w:val="1"/>
                <w:color w:val="auto"/>
              </w:rPr>
              <w:t>39.7%</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40.4%</w:t>
            </w:r>
          </w:p>
        </w:tc>
        <w:tc>
          <w:tcPr>
            <w:tcW w:w="120" w:type="dxa"/>
            <w:vAlign w:val="bottom"/>
            <w:tcBorders>
              <w:righ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37.7%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i w:val="1"/>
                <w:iCs w:val="1"/>
                <w:color w:val="auto"/>
              </w:rPr>
              <w:t>37.7%</w:t>
            </w:r>
          </w:p>
        </w:tc>
        <w:tc>
          <w:tcPr>
            <w:tcW w:w="0" w:type="dxa"/>
            <w:vAlign w:val="bottom"/>
          </w:tcPr>
          <w:p>
            <w:pPr>
              <w:spacing w:after="0"/>
              <w:rPr>
                <w:sz w:val="1"/>
                <w:szCs w:val="1"/>
                <w:color w:val="auto"/>
              </w:rPr>
            </w:pPr>
          </w:p>
        </w:tc>
      </w:tr>
      <w:tr>
        <w:trPr>
          <w:trHeight w:val="244"/>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7,438</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(659)(a)</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(30)(a)</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42"/>
        </w:trPr>
        <w:tc>
          <w:tcPr>
            <w:tcW w:w="43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2,615</w:t>
            </w:r>
          </w:p>
        </w:tc>
        <w:tc>
          <w:tcPr>
            <w:tcW w:w="160" w:type="dxa"/>
            <w:vAlign w:val="bottom"/>
          </w:tcPr>
          <w:p>
            <w:pPr>
              <w:spacing w:after="0"/>
              <w:rPr>
                <w:sz w:val="21"/>
                <w:szCs w:val="21"/>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w w:val="93"/>
              </w:rPr>
              <w:t>(590)(b)</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Borders>
              <w:righ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4,122</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2"/>
        </w:trPr>
        <w:tc>
          <w:tcPr>
            <w:tcW w:w="43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i w:val="1"/>
                <w:iCs w:val="1"/>
                <w:color w:val="auto"/>
              </w:rPr>
              <w:t>Operating Margin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i w:val="1"/>
                <w:iCs w:val="1"/>
                <w:color w:val="auto"/>
              </w:rPr>
              <w:t>11.6%</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15.7%</w:t>
            </w:r>
          </w:p>
        </w:tc>
        <w:tc>
          <w:tcPr>
            <w:tcW w:w="120" w:type="dxa"/>
            <w:vAlign w:val="bottom"/>
            <w:tcBorders>
              <w:righ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7.3%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i w:val="1"/>
                <w:iCs w:val="1"/>
                <w:color w:val="auto"/>
              </w:rPr>
              <w:t>7.5%</w:t>
            </w:r>
          </w:p>
        </w:tc>
        <w:tc>
          <w:tcPr>
            <w:tcW w:w="0" w:type="dxa"/>
            <w:vAlign w:val="bottom"/>
          </w:tcPr>
          <w:p>
            <w:pPr>
              <w:spacing w:after="0"/>
              <w:rPr>
                <w:sz w:val="1"/>
                <w:szCs w:val="1"/>
                <w:color w:val="auto"/>
              </w:rPr>
            </w:pPr>
          </w:p>
        </w:tc>
      </w:tr>
      <w:tr>
        <w:trPr>
          <w:trHeight w:val="177"/>
        </w:trPr>
        <w:tc>
          <w:tcPr>
            <w:tcW w:w="4300" w:type="dxa"/>
            <w:vAlign w:val="bottom"/>
            <w:tcBorders>
              <w:right w:val="single" w:sz="8" w:color="auto"/>
            </w:tcBorders>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32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right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auto"/>
            </w:tcBorders>
            <w:shd w:val="clear" w:color="auto" w:fill="CCEEFF"/>
          </w:tcPr>
          <w:p>
            <w:pPr>
              <w:spacing w:after="0"/>
              <w:rPr>
                <w:sz w:val="4"/>
                <w:szCs w:val="4"/>
                <w:color w:val="auto"/>
              </w:rPr>
            </w:pPr>
          </w:p>
        </w:tc>
        <w:tc>
          <w:tcPr>
            <w:tcW w:w="160" w:type="dxa"/>
            <w:vAlign w:val="bottom"/>
            <w:tcBorders>
              <w:top w:val="single" w:sz="8" w:color="CCEEFF"/>
              <w:right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3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311</w:t>
            </w:r>
          </w:p>
        </w:tc>
        <w:tc>
          <w:tcPr>
            <w:tcW w:w="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4"/>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Other income / (expense), net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7"/>
        </w:trPr>
        <w:tc>
          <w:tcPr>
            <w:tcW w:w="43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Total other income / (expense)</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Income before provision for income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4,169</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2"/>
        </w:trPr>
        <w:tc>
          <w:tcPr>
            <w:tcW w:w="430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(152)</w:t>
            </w:r>
          </w:p>
        </w:tc>
        <w:tc>
          <w:tcPr>
            <w:tcW w:w="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4,321</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gridSpan w:val="4"/>
            <w:vMerge w:val="restart"/>
          </w:tcPr>
          <w:p>
            <w:pPr>
              <w:ind w:left="120"/>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00" w:type="dxa"/>
            <w:vAlign w:val="bottom"/>
            <w:tcBorders>
              <w:right w:val="single" w:sz="8" w:color="auto"/>
            </w:tcBorders>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(181)</w:t>
            </w:r>
          </w:p>
        </w:tc>
        <w:tc>
          <w:tcPr>
            <w:tcW w:w="1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4"/>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4,140</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gridSpan w:val="4"/>
            <w:vMerge w:val="restart"/>
          </w:tcPr>
          <w:p>
            <w:pPr>
              <w:ind w:left="120"/>
              <w:spacing w:after="0"/>
              <w:rPr>
                <w:sz w:val="20"/>
                <w:szCs w:val="20"/>
                <w:color w:val="auto"/>
              </w:rPr>
            </w:pPr>
            <w:r>
              <w:rPr>
                <w:rFonts w:ascii="Arial" w:cs="Arial" w:eastAsia="Arial" w:hAnsi="Arial"/>
                <w:sz w:val="18"/>
                <w:szCs w:val="18"/>
                <w:color w:val="auto"/>
              </w:rPr>
              <w:t>Basic earnings per share</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00" w:type="dxa"/>
            <w:vAlign w:val="bottom"/>
            <w:tcBorders>
              <w:right w:val="single" w:sz="8" w:color="auto"/>
            </w:tcBorders>
            <w:gridSpan w:val="4"/>
            <w:vMerge w:val="continue"/>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0.19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300" w:type="dxa"/>
            <w:vAlign w:val="bottom"/>
            <w:tcBorders>
              <w:right w:val="single" w:sz="8" w:color="auto"/>
            </w:tcBorders>
            <w:gridSpan w:val="4"/>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right w:val="single" w:sz="8" w:color="auto"/>
            </w:tcBorders>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300" w:type="dxa"/>
            <w:vAlign w:val="bottom"/>
            <w:tcBorders>
              <w:right w:val="single" w:sz="8" w:color="auto"/>
            </w:tcBorders>
            <w:gridSpan w:val="4"/>
            <w:vMerge w:val="restart"/>
          </w:tcPr>
          <w:p>
            <w:pPr>
              <w:ind w:left="120"/>
              <w:spacing w:after="0"/>
              <w:rPr>
                <w:sz w:val="20"/>
                <w:szCs w:val="20"/>
                <w:color w:val="auto"/>
              </w:rPr>
            </w:pPr>
            <w:r>
              <w:rPr>
                <w:rFonts w:ascii="Arial" w:cs="Arial" w:eastAsia="Arial" w:hAnsi="Arial"/>
                <w:sz w:val="18"/>
                <w:szCs w:val="18"/>
                <w:color w:val="auto"/>
              </w:rPr>
              <w:t>Weighted average number of common shares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300" w:type="dxa"/>
            <w:vAlign w:val="bottom"/>
            <w:tcBorders>
              <w:right w:val="single" w:sz="8" w:color="auto"/>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18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w w:val="86"/>
              </w:rPr>
              <w:t>21,603,812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21,603,812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21,603,812</w:t>
            </w:r>
          </w:p>
        </w:tc>
        <w:tc>
          <w:tcPr>
            <w:tcW w:w="120" w:type="dxa"/>
            <w:vAlign w:val="bottom"/>
            <w:tcBorders>
              <w:righ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21,108,418</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21,108,418</w:t>
            </w: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88"/>
              </w:rPr>
              <w:t>21,108,418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Borders>
              <w:right w:val="single" w:sz="8" w:color="auto"/>
            </w:tcBorders>
            <w:gridSpan w:val="4"/>
            <w:shd w:val="clear" w:color="auto" w:fill="CCEEFF"/>
          </w:tcPr>
          <w:p>
            <w:pPr>
              <w:ind w:left="120"/>
              <w:spacing w:after="0" w:line="203" w:lineRule="exact"/>
              <w:rPr>
                <w:sz w:val="20"/>
                <w:szCs w:val="20"/>
                <w:color w:val="auto"/>
              </w:rPr>
            </w:pPr>
            <w:r>
              <w:rPr>
                <w:rFonts w:ascii="Arial" w:cs="Arial" w:eastAsia="Arial" w:hAnsi="Arial"/>
                <w:sz w:val="18"/>
                <w:szCs w:val="18"/>
                <w:color w:val="auto"/>
              </w:rPr>
              <w:t>Weighted average number of common and dilutive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shd w:val="clear" w:color="auto" w:fill="CCEEFF"/>
          </w:tcPr>
          <w:p>
            <w:pPr>
              <w:spacing w:after="0"/>
              <w:rPr>
                <w:sz w:val="19"/>
                <w:szCs w:val="19"/>
                <w:color w:val="auto"/>
              </w:rPr>
            </w:pPr>
          </w:p>
        </w:tc>
        <w:tc>
          <w:tcPr>
            <w:tcW w:w="4180" w:type="dxa"/>
            <w:vAlign w:val="bottom"/>
            <w:tcBorders>
              <w:right w:val="single" w:sz="8" w:color="auto"/>
            </w:tcBorders>
            <w:gridSpan w:val="3"/>
            <w:shd w:val="clear" w:color="auto" w:fill="CCEEFF"/>
          </w:tcPr>
          <w:p>
            <w:pPr>
              <w:ind w:left="220"/>
              <w:spacing w:after="0"/>
              <w:rPr>
                <w:sz w:val="20"/>
                <w:szCs w:val="20"/>
                <w:color w:val="auto"/>
              </w:rPr>
            </w:pPr>
            <w:r>
              <w:rPr>
                <w:rFonts w:ascii="Arial" w:cs="Arial" w:eastAsia="Arial" w:hAnsi="Arial"/>
                <w:sz w:val="18"/>
                <w:szCs w:val="18"/>
                <w:color w:val="auto"/>
              </w:rPr>
              <w:t>shares outstanding</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86"/>
              </w:rPr>
              <w:t>21,997,319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21,997,319</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21,997,319</w:t>
            </w:r>
          </w:p>
        </w:tc>
        <w:tc>
          <w:tcPr>
            <w:tcW w:w="120" w:type="dxa"/>
            <w:vAlign w:val="bottom"/>
            <w:tcBorders>
              <w:right w:val="single" w:sz="8" w:color="auto"/>
            </w:tcBorders>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21,556,916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21,556,916</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21,556,916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gridSpan w:val="10"/>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gridSpan w:val="10"/>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40" w:type="dxa"/>
            <w:vAlign w:val="bottom"/>
            <w:gridSpan w:val="2"/>
          </w:tcPr>
          <w:p>
            <w:pPr>
              <w:spacing w:after="0"/>
              <w:rPr>
                <w:sz w:val="20"/>
                <w:szCs w:val="20"/>
                <w:color w:val="auto"/>
              </w:rPr>
            </w:pPr>
            <w:r>
              <w:rPr>
                <w:rFonts w:ascii="Arial" w:cs="Arial" w:eastAsia="Arial" w:hAnsi="Arial"/>
                <w:sz w:val="18"/>
                <w:szCs w:val="18"/>
                <w:color w:val="auto"/>
              </w:rPr>
              <w:t>Note:</w:t>
            </w:r>
          </w:p>
        </w:tc>
        <w:tc>
          <w:tcPr>
            <w:tcW w:w="10880" w:type="dxa"/>
            <w:vAlign w:val="bottom"/>
            <w:gridSpan w:val="23"/>
          </w:tcPr>
          <w:p>
            <w:pPr>
              <w:ind w:left="140"/>
              <w:spacing w:after="0"/>
              <w:rPr>
                <w:sz w:val="20"/>
                <w:szCs w:val="20"/>
                <w:color w:val="auto"/>
              </w:rPr>
            </w:pPr>
            <w:r>
              <w:rPr>
                <w:rFonts w:ascii="Arial" w:cs="Arial" w:eastAsia="Arial" w:hAnsi="Arial"/>
                <w:sz w:val="18"/>
                <w:szCs w:val="18"/>
                <w:color w:val="auto"/>
                <w:w w:val="91"/>
              </w:rPr>
              <w:t>The number of shares and earnings per share data has been adjusted to give effect to the Stock Split and Conversion effected by the Company on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80" w:type="dxa"/>
            <w:vAlign w:val="bottom"/>
            <w:gridSpan w:val="23"/>
          </w:tcPr>
          <w:p>
            <w:pPr>
              <w:ind w:left="140"/>
              <w:spacing w:after="0"/>
              <w:rPr>
                <w:sz w:val="20"/>
                <w:szCs w:val="20"/>
                <w:color w:val="auto"/>
              </w:rPr>
            </w:pPr>
            <w:r>
              <w:rPr>
                <w:rFonts w:ascii="Arial" w:cs="Arial" w:eastAsia="Arial" w:hAnsi="Arial"/>
                <w:sz w:val="18"/>
                <w:szCs w:val="18"/>
                <w:color w:val="auto"/>
                <w:w w:val="89"/>
              </w:rPr>
              <w:t>October 24, 2006 in connection with the consummation of its initial public offering but does not include the 5,750,000 shares issued as part of the Initial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60" w:type="dxa"/>
            <w:vAlign w:val="bottom"/>
            <w:gridSpan w:val="2"/>
          </w:tcPr>
          <w:p>
            <w:pPr>
              <w:ind w:left="140"/>
              <w:spacing w:after="0"/>
              <w:rPr>
                <w:sz w:val="20"/>
                <w:szCs w:val="20"/>
                <w:color w:val="auto"/>
              </w:rPr>
            </w:pPr>
            <w:r>
              <w:rPr>
                <w:rFonts w:ascii="Arial" w:cs="Arial" w:eastAsia="Arial" w:hAnsi="Arial"/>
                <w:sz w:val="18"/>
                <w:szCs w:val="18"/>
                <w:color w:val="auto"/>
              </w:rPr>
              <w:t>Public Offering.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gridSpan w:val="2"/>
          </w:tcPr>
          <w:p>
            <w:pPr>
              <w:spacing w:after="0"/>
              <w:rPr>
                <w:sz w:val="20"/>
                <w:szCs w:val="20"/>
                <w:color w:val="auto"/>
              </w:rPr>
            </w:pPr>
            <w:r>
              <w:rPr>
                <w:rFonts w:ascii="Arial" w:cs="Arial" w:eastAsia="Arial" w:hAnsi="Arial"/>
                <w:sz w:val="18"/>
                <w:szCs w:val="18"/>
                <w:color w:val="auto"/>
              </w:rPr>
              <w:t>Note:</w:t>
            </w:r>
          </w:p>
        </w:tc>
        <w:tc>
          <w:tcPr>
            <w:tcW w:w="7440" w:type="dxa"/>
            <w:vAlign w:val="bottom"/>
            <w:gridSpan w:val="14"/>
          </w:tcPr>
          <w:p>
            <w:pPr>
              <w:ind w:left="140"/>
              <w:spacing w:after="0"/>
              <w:rPr>
                <w:sz w:val="20"/>
                <w:szCs w:val="20"/>
                <w:color w:val="auto"/>
              </w:rPr>
            </w:pPr>
            <w:r>
              <w:rPr>
                <w:rFonts w:ascii="Arial" w:cs="Arial" w:eastAsia="Arial" w:hAnsi="Arial"/>
                <w:sz w:val="18"/>
                <w:szCs w:val="18"/>
                <w:color w:val="auto"/>
                <w:w w:val="88"/>
              </w:rPr>
              <w:t>The Income statement as of September 30, 2005 does not include results from Inductis, Inc. operations.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 (in 2006) and APB25 (in 2005) and related income tax benefits.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intangibles recorded in the quarter ending September 30, 2006.</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2006, the weighted average number of common and dilutive shares outstanding were calculated taking into account the requirements of FAS 123R.</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2019-12-15T10:38:21Z</dcterms:created>
  <dcterms:modified xsi:type="dcterms:W3CDTF">2019-12-15T10:38:21Z</dcterms:modified>
</cp:coreProperties>
</file>