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OAK HILL CAPITAL PARTNERS L 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ExlService Holdings,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EXLS</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100" w:type="dxa"/>
            <w:vAlign w:val="bottom"/>
            <w:gridSpan w:val="2"/>
            <w:vMerge w:val="restart"/>
          </w:tcPr>
          <w:p>
            <w:pPr>
              <w:spacing w:after="0"/>
              <w:rPr>
                <w:sz w:val="20"/>
                <w:szCs w:val="20"/>
                <w:color w:val="auto"/>
              </w:rPr>
            </w:pPr>
            <w:r>
              <w:rPr>
                <w:rFonts w:ascii="Arial" w:cs="Arial" w:eastAsia="Arial" w:hAnsi="Arial"/>
                <w:sz w:val="18"/>
                <w:szCs w:val="18"/>
                <w:color w:val="0000FF"/>
              </w:rPr>
              <w:t>201 MAIN STREET</w:t>
            </w:r>
          </w:p>
        </w:tc>
        <w:tc>
          <w:tcPr>
            <w:tcW w:w="1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380" w:type="dxa"/>
            <w:vAlign w:val="bottom"/>
            <w:gridSpan w:val="3"/>
          </w:tcPr>
          <w:p>
            <w:pPr>
              <w:ind w:left="160"/>
              <w:spacing w:after="0"/>
              <w:rPr>
                <w:sz w:val="20"/>
                <w:szCs w:val="20"/>
                <w:color w:val="auto"/>
              </w:rPr>
            </w:pPr>
            <w:r>
              <w:rPr>
                <w:rFonts w:ascii="Arial" w:cs="Arial" w:eastAsia="Arial" w:hAnsi="Arial"/>
                <w:sz w:val="18"/>
                <w:szCs w:val="18"/>
                <w:color w:val="0000FF"/>
              </w:rPr>
              <w:t>05/22/2012</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10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1018</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See Remarks</w:t>
      </w:r>
    </w:p>
    <w:p>
      <w:pPr>
        <w:spacing w:after="0" w:line="409"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05/22/2012</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5,403,942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4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Pro rata distribution from the reporting person to its partners. No consideration was paid in connection with the distribution.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jc w:val="both"/>
        <w:ind w:left="40" w:right="340"/>
        <w:spacing w:after="0" w:line="233" w:lineRule="auto"/>
        <w:rPr>
          <w:sz w:val="20"/>
          <w:szCs w:val="20"/>
          <w:color w:val="auto"/>
        </w:rPr>
      </w:pPr>
      <w:r>
        <w:rPr>
          <w:rFonts w:ascii="Arial" w:cs="Arial" w:eastAsia="Arial" w:hAnsi="Arial"/>
          <w:sz w:val="14"/>
          <w:szCs w:val="14"/>
          <w:color w:val="008000"/>
        </w:rPr>
        <w:t>The reporting person may be deemed to be a member of a "group" for purposes of the Securities Exchange Act of 1934. The reporting person disclaims beneficial ownership of any securities deemed to be owned by the group that are not directly owned by the reporting person. This report shall not be an admission that the reporting person is a member of a group or the beneficial owner of any securities not directly owned by the reporting person.</w:t>
      </w:r>
    </w:p>
    <w:p>
      <w:pPr>
        <w:sectPr>
          <w:pgSz w:w="11900" w:h="16838" w:orient="portrait"/>
          <w:cols w:equalWidth="0" w:num="1">
            <w:col w:w="11420"/>
          </w:cols>
          <w:pgMar w:left="240" w:top="226" w:right="239" w:bottom="1440" w:gutter="0" w:footer="0" w:header="0"/>
          <w:type w:val="continuous"/>
        </w:sectPr>
      </w:pP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OAK HILL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12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128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PARTNERS, L.P. By: OHCP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2966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9667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GenPar, L.P.,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100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00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By: OHCP MGP, LLC,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93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93825"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partner, By: /s/ Kevin G.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754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375410" cy="8890"/>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646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4643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2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05/23/2012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1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2" Type="http://schemas.openxmlformats.org/officeDocument/2006/relationships/hyperlink" Target="http://www.sec.gov/cgi-bin/browse-edgar?action=getcompany&amp;CIK=000107777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2019-12-16T15:44:01Z</dcterms:created>
  <dcterms:modified xsi:type="dcterms:W3CDTF">2019-12-16T15:44:01Z</dcterms:modified>
</cp:coreProperties>
</file>