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6,268</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7,188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2,680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73.63</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4,508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23, 2017. Such shares of Common Stock were deemed earned on January 27, 2020 based on the Compensation Committee of the Board of Directors administering the award certifying the achievement of performance targets applicable to the PRSUs for the performance period ending on December 31, 2019.</w:t>
      </w:r>
    </w:p>
    <w:p>
      <w:pPr>
        <w:spacing w:after="0" w:line="2" w:lineRule="exact"/>
        <w:rPr>
          <w:rFonts w:ascii="Arial" w:cs="Arial" w:eastAsia="Arial" w:hAnsi="Arial"/>
          <w:sz w:val="12"/>
          <w:szCs w:val="12"/>
          <w:color w:val="008000"/>
        </w:rPr>
      </w:pPr>
    </w:p>
    <w:p>
      <w:pPr>
        <w:jc w:val="both"/>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27, 2020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2020-01-29T16:02:17Z</dcterms:created>
  <dcterms:modified xsi:type="dcterms:W3CDTF">2020-01-29T16:02:17Z</dcterms:modified>
</cp:coreProperties>
</file>