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Miglani Nalin Kumar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12/05/2016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EVP &amp; Chief HR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12/05/2016</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4,000</w:t>
            </w:r>
          </w:p>
        </w:tc>
        <w:tc>
          <w:tcPr>
            <w:tcW w:w="700" w:type="dxa"/>
            <w:vAlign w:val="bottom"/>
          </w:tcPr>
          <w:p>
            <w:pPr>
              <w:ind w:left="360"/>
              <w:spacing w:after="0"/>
              <w:rPr>
                <w:sz w:val="20"/>
                <w:szCs w:val="20"/>
                <w:color w:val="auto"/>
              </w:rPr>
            </w:pPr>
            <w:r>
              <w:rPr>
                <w:rFonts w:ascii="Arial" w:cs="Arial" w:eastAsia="Arial" w:hAnsi="Arial"/>
                <w:sz w:val="18"/>
                <w:szCs w:val="18"/>
                <w:color w:val="0000FF"/>
              </w:rPr>
              <w:t>A</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ind w:left="400"/>
              <w:spacing w:after="0"/>
              <w:rPr>
                <w:sz w:val="20"/>
                <w:szCs w:val="20"/>
                <w:color w:val="auto"/>
              </w:rPr>
            </w:pPr>
            <w:r>
              <w:rPr>
                <w:rFonts w:ascii="Arial" w:cs="Arial" w:eastAsia="Arial" w:hAnsi="Arial"/>
                <w:sz w:val="18"/>
                <w:szCs w:val="18"/>
                <w:color w:val="0000FF"/>
              </w:rPr>
              <w:t>4,000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12/05/2016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1,649</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47.76</w:t>
            </w:r>
            <w:r>
              <w:rPr>
                <w:rFonts w:ascii="Arial" w:cs="Arial" w:eastAsia="Arial" w:hAnsi="Arial"/>
                <w:sz w:val="22"/>
                <w:szCs w:val="22"/>
                <w:color w:val="008000"/>
                <w:w w:val="93"/>
                <w:vertAlign w:val="superscript"/>
              </w:rPr>
              <w:t>(2)</w:t>
            </w:r>
          </w:p>
        </w:tc>
        <w:tc>
          <w:tcPr>
            <w:tcW w:w="124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2,351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00" w:type="dxa"/>
            <w:vAlign w:val="bottom"/>
            <w:gridSpan w:val="10"/>
          </w:tcPr>
          <w:p>
            <w:pPr>
              <w:ind w:left="1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60" w:type="dxa"/>
            <w:vAlign w:val="bottom"/>
            <w:vMerge w:val="restart"/>
          </w:tcPr>
          <w:p>
            <w:pPr>
              <w:jc w:val="right"/>
              <w:ind w:right="50"/>
              <w:spacing w:after="0"/>
              <w:rPr>
                <w:sz w:val="20"/>
                <w:szCs w:val="20"/>
                <w:color w:val="auto"/>
              </w:rPr>
            </w:pPr>
            <w:r>
              <w:rPr>
                <w:rFonts w:ascii="Arial" w:cs="Arial" w:eastAsia="Arial" w:hAnsi="Arial"/>
                <w:sz w:val="18"/>
                <w:szCs w:val="18"/>
                <w:color w:val="0000FF"/>
                <w:w w:val="93"/>
              </w:rPr>
              <w:t>4,000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12/05/2016</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4,000</w:t>
            </w:r>
          </w:p>
        </w:tc>
        <w:tc>
          <w:tcPr>
            <w:tcW w:w="820" w:type="dxa"/>
            <w:vAlign w:val="bottom"/>
            <w:gridSpan w:val="2"/>
            <w:vMerge w:val="continue"/>
          </w:tcPr>
          <w:p>
            <w:pPr>
              <w:spacing w:after="0"/>
              <w:rPr>
                <w:sz w:val="12"/>
                <w:szCs w:val="12"/>
                <w:color w:val="auto"/>
              </w:rPr>
            </w:pPr>
          </w:p>
        </w:tc>
        <w:tc>
          <w:tcPr>
            <w:tcW w:w="720" w:type="dxa"/>
            <w:vAlign w:val="bottom"/>
          </w:tcPr>
          <w:p>
            <w:pPr>
              <w:ind w:left="40"/>
              <w:spacing w:after="0" w:line="149" w:lineRule="exact"/>
              <w:rPr>
                <w:sz w:val="20"/>
                <w:szCs w:val="20"/>
                <w:color w:val="auto"/>
              </w:rPr>
            </w:pPr>
            <w:r>
              <w:rPr>
                <w:rFonts w:ascii="Arial" w:cs="Arial" w:eastAsia="Arial" w:hAnsi="Arial"/>
                <w:sz w:val="14"/>
                <w:szCs w:val="14"/>
                <w:color w:val="0000FF"/>
                <w:w w:val="94"/>
              </w:rPr>
              <w:t>12/04/2024</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40"/>
              <w:spacing w:after="0" w:line="149" w:lineRule="exact"/>
              <w:rPr>
                <w:sz w:val="20"/>
                <w:szCs w:val="20"/>
                <w:color w:val="auto"/>
              </w:rPr>
            </w:pPr>
            <w:r>
              <w:rPr>
                <w:rFonts w:ascii="Arial" w:cs="Arial" w:eastAsia="Arial" w:hAnsi="Arial"/>
                <w:sz w:val="14"/>
                <w:szCs w:val="14"/>
                <w:color w:val="0000FF"/>
                <w:w w:val="88"/>
              </w:rPr>
              <w:t>14,000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3"/>
              </w:rPr>
              <w:t>$0.001</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December 4, 2016. Pursuant to the Company's 2006 Omnibus Award Plan, pursuant to which such restricted stock units were granted, the closing price of the Common Stock on the Nasdaq Global Select Market on the preceding day is used for purposes of computing tax reporting and withholding.</w:t>
      </w: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December 4, 2014, the reporting person was granted 20,000 restricted stock units, 10 percent of the restricted stock units became vested on December 4, 2015, an additional 20 percent of the restricted stock units became vested on December 4, 2016, an additional 30 percent of the restricted stock units will vest on December 4, 2017, and the remaining balance 40 percent of the restricted stock units will vest on December 4, 2018.</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12/07/2016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2019-12-08T02:25:59Z</dcterms:created>
  <dcterms:modified xsi:type="dcterms:W3CDTF">2019-12-08T02:25:59Z</dcterms:modified>
</cp:coreProperties>
</file>