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560705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314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8-K</w:t>
      </w:r>
    </w:p>
    <w:p>
      <w:pPr>
        <w:spacing w:after="0" w:line="6" w:lineRule="exact"/>
        <w:rPr>
          <w:sz w:val="24"/>
          <w:szCs w:val="24"/>
          <w:color w:val="auto"/>
        </w:rPr>
      </w:pPr>
    </w:p>
    <w:p>
      <w:pPr>
        <w:ind w:left="314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25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66" w:lineRule="exact"/>
        <w:rPr>
          <w:sz w:val="24"/>
          <w:szCs w:val="24"/>
          <w:color w:val="auto"/>
        </w:rPr>
      </w:pPr>
    </w:p>
    <w:p>
      <w:pPr>
        <w:ind w:left="2980"/>
        <w:spacing w:after="0"/>
        <w:rPr>
          <w:sz w:val="20"/>
          <w:szCs w:val="20"/>
          <w:color w:val="auto"/>
        </w:rPr>
      </w:pPr>
      <w:r>
        <w:rPr>
          <w:rFonts w:ascii="Arial" w:cs="Arial" w:eastAsia="Arial" w:hAnsi="Arial"/>
          <w:sz w:val="17"/>
          <w:szCs w:val="17"/>
          <w:b w:val="1"/>
          <w:bCs w:val="1"/>
          <w:color w:val="auto"/>
        </w:rPr>
        <w:t>Pursuant to Sections 13 or 15(d) of the Securities Exchange Act of 1934</w:t>
      </w:r>
    </w:p>
    <w:p>
      <w:pPr>
        <w:spacing w:after="0" w:line="65" w:lineRule="exact"/>
        <w:rPr>
          <w:sz w:val="24"/>
          <w:szCs w:val="24"/>
          <w:color w:val="auto"/>
        </w:rPr>
      </w:pPr>
    </w:p>
    <w:p>
      <w:pPr>
        <w:ind w:left="3500"/>
        <w:spacing w:after="0"/>
        <w:rPr>
          <w:sz w:val="20"/>
          <w:szCs w:val="20"/>
          <w:color w:val="auto"/>
        </w:rPr>
      </w:pPr>
      <w:r>
        <w:rPr>
          <w:rFonts w:ascii="Arial" w:cs="Arial" w:eastAsia="Arial" w:hAnsi="Arial"/>
          <w:sz w:val="18"/>
          <w:szCs w:val="18"/>
          <w:color w:val="auto"/>
        </w:rPr>
        <w:t>Date of Report (Date of earliest event reported): May 1, 2018</w:t>
      </w:r>
    </w:p>
    <w:p>
      <w:pPr>
        <w:spacing w:after="0" w:line="59" w:lineRule="exact"/>
        <w:rPr>
          <w:sz w:val="24"/>
          <w:szCs w:val="24"/>
          <w:color w:val="auto"/>
        </w:rPr>
      </w:pPr>
    </w:p>
    <w:p>
      <w:pPr>
        <w:ind w:left="318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39" w:lineRule="exact"/>
        <w:rPr>
          <w:sz w:val="24"/>
          <w:szCs w:val="24"/>
          <w:color w:val="auto"/>
        </w:rPr>
      </w:pPr>
    </w:p>
    <w:p>
      <w:pPr>
        <w:jc w:val="center"/>
        <w:ind w:right="-39"/>
        <w:spacing w:after="0"/>
        <w:rPr>
          <w:sz w:val="20"/>
          <w:szCs w:val="20"/>
          <w:color w:val="auto"/>
        </w:rPr>
      </w:pPr>
      <w:r>
        <w:rPr>
          <w:rFonts w:ascii="Arial" w:cs="Arial" w:eastAsia="Arial" w:hAnsi="Arial"/>
          <w:sz w:val="36"/>
          <w:szCs w:val="36"/>
          <w:b w:val="1"/>
          <w:bCs w:val="1"/>
          <w:color w:val="auto"/>
        </w:rPr>
        <w:t>EXLSERVICE HOLDINGS, INC.</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 w:lineRule="exact"/>
        <w:rPr>
          <w:sz w:val="24"/>
          <w:szCs w:val="24"/>
          <w:color w:val="auto"/>
        </w:rPr>
      </w:pPr>
    </w:p>
    <w:p>
      <w:pPr>
        <w:ind w:left="314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ectPr>
          <w:pgSz w:w="11900" w:h="16838" w:orient="portrait"/>
          <w:cols w:equalWidth="0" w:num="1">
            <w:col w:w="11400"/>
          </w:cols>
          <w:pgMar w:left="240" w:top="999" w:right="259" w:bottom="1440" w:gutter="0" w:footer="0" w:header="0"/>
        </w:sectPr>
      </w:pPr>
    </w:p>
    <w:p>
      <w:pPr>
        <w:spacing w:after="0" w:line="200" w:lineRule="exact"/>
        <w:rPr>
          <w:sz w:val="24"/>
          <w:szCs w:val="24"/>
          <w:color w:val="auto"/>
        </w:rPr>
      </w:pPr>
    </w:p>
    <w:p>
      <w:pPr>
        <w:spacing w:after="0" w:line="219" w:lineRule="exact"/>
        <w:rPr>
          <w:sz w:val="24"/>
          <w:szCs w:val="24"/>
          <w:color w:val="auto"/>
        </w:rPr>
      </w:pPr>
    </w:p>
    <w:p>
      <w:pPr>
        <w:ind w:left="15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0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34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jc w:val="center"/>
        <w:ind w:right="1380"/>
        <w:spacing w:after="0"/>
        <w:rPr>
          <w:sz w:val="20"/>
          <w:szCs w:val="20"/>
          <w:color w:val="auto"/>
        </w:rPr>
      </w:pPr>
      <w:r>
        <w:rPr>
          <w:rFonts w:ascii="Arial" w:cs="Arial" w:eastAsia="Arial" w:hAnsi="Arial"/>
          <w:sz w:val="18"/>
          <w:szCs w:val="18"/>
          <w:b w:val="1"/>
          <w:bCs w:val="1"/>
          <w:color w:val="auto"/>
        </w:rPr>
        <w:t>001-33089</w:t>
      </w:r>
    </w:p>
    <w:p>
      <w:pPr>
        <w:spacing w:after="0" w:line="27" w:lineRule="exact"/>
        <w:rPr>
          <w:sz w:val="24"/>
          <w:szCs w:val="24"/>
          <w:color w:val="auto"/>
        </w:rPr>
      </w:pPr>
    </w:p>
    <w:p>
      <w:pPr>
        <w:jc w:val="center"/>
        <w:ind w:right="13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jc w:val="center"/>
        <w:ind w:right="1180"/>
        <w:spacing w:after="0"/>
        <w:rPr>
          <w:sz w:val="20"/>
          <w:szCs w:val="20"/>
          <w:color w:val="auto"/>
        </w:rPr>
      </w:pPr>
      <w:r>
        <w:rPr>
          <w:rFonts w:ascii="Arial" w:cs="Arial" w:eastAsia="Arial" w:hAnsi="Arial"/>
          <w:sz w:val="18"/>
          <w:szCs w:val="18"/>
          <w:b w:val="1"/>
          <w:bCs w:val="1"/>
          <w:color w:val="auto"/>
        </w:rPr>
        <w:t>82-0572194</w:t>
      </w:r>
    </w:p>
    <w:p>
      <w:pPr>
        <w:spacing w:after="0" w:line="27" w:lineRule="exact"/>
        <w:rPr>
          <w:sz w:val="24"/>
          <w:szCs w:val="24"/>
          <w:color w:val="auto"/>
        </w:rPr>
      </w:pPr>
    </w:p>
    <w:p>
      <w:pPr>
        <w:jc w:val="center"/>
        <w:ind w:right="118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8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60" w:space="720"/>
            <w:col w:w="3380" w:space="720"/>
            <w:col w:w="2520"/>
          </w:cols>
          <w:pgMar w:left="240" w:top="999" w:right="259" w:bottom="1440" w:gutter="0" w:footer="0" w:header="0"/>
          <w:type w:val="continuous"/>
        </w:sectPr>
      </w:pPr>
    </w:p>
    <w:p>
      <w:pPr>
        <w:spacing w:after="0" w:line="236"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280 Park Avenue, 38</w:t>
      </w:r>
      <w:r>
        <w:rPr>
          <w:rFonts w:ascii="Arial" w:cs="Arial" w:eastAsia="Arial" w:hAnsi="Arial"/>
          <w:sz w:val="12"/>
          <w:szCs w:val="12"/>
          <w:b w:val="1"/>
          <w:bCs w:val="1"/>
          <w:color w:val="auto"/>
        </w:rPr>
        <w:t>th</w:t>
      </w:r>
      <w:r>
        <w:rPr>
          <w:rFonts w:ascii="Arial" w:cs="Arial" w:eastAsia="Arial" w:hAnsi="Arial"/>
          <w:sz w:val="18"/>
          <w:szCs w:val="18"/>
          <w:b w:val="1"/>
          <w:bCs w:val="1"/>
          <w:color w:val="auto"/>
        </w:rPr>
        <w:t xml:space="preserve"> Floor</w:t>
      </w:r>
    </w:p>
    <w:p>
      <w:pPr>
        <w:spacing w:after="0" w:line="27"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(Address of principal executive offices)</w:t>
      </w:r>
    </w:p>
    <w:p>
      <w:pPr>
        <w:spacing w:after="0" w:line="274" w:lineRule="exact"/>
        <w:rPr>
          <w:sz w:val="24"/>
          <w:szCs w:val="24"/>
          <w:color w:val="auto"/>
        </w:rPr>
      </w:pPr>
    </w:p>
    <w:p>
      <w:pPr>
        <w:ind w:left="3240"/>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(212) 277-7100</w:t>
      </w:r>
    </w:p>
    <w:p>
      <w:pPr>
        <w:spacing w:after="0" w:line="28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address, if changed since last report)</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____________________________________________</w:t>
      </w:r>
    </w:p>
    <w:p>
      <w:pPr>
        <w:sectPr>
          <w:pgSz w:w="11900" w:h="16838" w:orient="portrait"/>
          <w:cols w:equalWidth="0" w:num="1">
            <w:col w:w="11400"/>
          </w:cols>
          <w:pgMar w:left="240" w:top="999" w:right="259" w:bottom="1440" w:gutter="0" w:footer="0" w:header="0"/>
          <w:type w:val="continuous"/>
        </w:sectPr>
      </w:pPr>
    </w:p>
    <w:p>
      <w:pPr>
        <w:spacing w:after="0" w:line="25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116" w:lineRule="exact"/>
        <w:rPr>
          <w:sz w:val="24"/>
          <w:szCs w:val="24"/>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98"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or Rule 12b-2 of the Securities Exchange Act of 1934 (§240.12b-2 of this chapter)</w:t>
      </w:r>
    </w:p>
    <w:p>
      <w:pPr>
        <w:spacing w:after="0" w:line="157" w:lineRule="exact"/>
        <w:rPr>
          <w:sz w:val="24"/>
          <w:szCs w:val="24"/>
          <w:color w:val="auto"/>
        </w:rPr>
      </w:pPr>
    </w:p>
    <w:p>
      <w:pPr>
        <w:ind w:left="620" w:hanging="585"/>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Emerging growth company</w:t>
      </w:r>
    </w:p>
    <w:p>
      <w:pPr>
        <w:spacing w:after="0" w:line="306" w:lineRule="exact"/>
        <w:rPr>
          <w:rFonts w:ascii="Arial" w:cs="Arial" w:eastAsia="Arial" w:hAnsi="Arial"/>
          <w:sz w:val="18"/>
          <w:szCs w:val="18"/>
          <w:color w:val="auto"/>
        </w:rPr>
      </w:pPr>
    </w:p>
    <w:p>
      <w:pPr>
        <w:ind w:left="620" w:right="60" w:hanging="585"/>
        <w:spacing w:after="0" w:line="277" w:lineRule="auto"/>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357505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99"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May 1, 2018, ExlService Holdings, Inc. (the “Company”) reported its results of operations for the three months ended March 31, 2018. A copy of the press release issued by the Company concerning the foregoing is furnished herewith as Exhibit 99.1 and is incorporated herein by reference. The information provided in Item 2.02 of this report, including Exhibit 99.1, shall not be deemed to be “filed” for purposes of Section 18 of the Securities Exchange Act of 1934, as amended.</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6620" w:type="dxa"/>
            <w:vAlign w:val="bottom"/>
            <w:gridSpan w:val="5"/>
          </w:tcPr>
          <w:p>
            <w:pPr>
              <w:ind w:left="540"/>
              <w:spacing w:after="0"/>
              <w:rPr>
                <w:sz w:val="20"/>
                <w:szCs w:val="20"/>
                <w:color w:val="auto"/>
              </w:rPr>
            </w:pPr>
            <w:r>
              <w:rPr>
                <w:rFonts w:ascii="Arial" w:cs="Arial" w:eastAsia="Arial" w:hAnsi="Arial"/>
                <w:sz w:val="18"/>
                <w:szCs w:val="18"/>
                <w:b w:val="1"/>
                <w:bCs w:val="1"/>
                <w:color w:val="auto"/>
              </w:rPr>
              <w:t>Description</w:t>
            </w:r>
          </w:p>
        </w:tc>
      </w:tr>
      <w:tr>
        <w:trPr>
          <w:trHeight w:val="412"/>
        </w:trPr>
        <w:tc>
          <w:tcPr>
            <w:tcW w:w="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0000FF"/>
                <w:w w:val="89"/>
              </w:rPr>
              <w:t>Press Release, dated May 1, 2018 (furnished pursuant to Item 2.02)</w:t>
            </w:r>
            <w:r>
              <w:rPr>
                <w:rFonts w:ascii="Arial" w:cs="Arial" w:eastAsia="Arial" w:hAnsi="Arial"/>
                <w:sz w:val="18"/>
                <w:szCs w:val="18"/>
                <w:color w:val="000000"/>
                <w:w w:val="89"/>
              </w:rPr>
              <w:t>.</w:t>
            </w:r>
          </w:p>
        </w:tc>
      </w:tr>
      <w:tr>
        <w:trPr>
          <w:trHeight w:val="20"/>
        </w:trPr>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1420"/>
          </w:cols>
          <w:pgMar w:left="240" w:top="87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3200" w:type="dxa"/>
            <w:vAlign w:val="bottom"/>
          </w:tcPr>
          <w:p>
            <w:pPr>
              <w:spacing w:after="0"/>
              <w:rPr>
                <w:sz w:val="19"/>
                <w:szCs w:val="19"/>
                <w:color w:val="auto"/>
              </w:rPr>
            </w:pPr>
          </w:p>
        </w:tc>
        <w:tc>
          <w:tcPr>
            <w:tcW w:w="8180" w:type="dxa"/>
            <w:vAlign w:val="bottom"/>
            <w:gridSpan w:val="2"/>
          </w:tcPr>
          <w:p>
            <w:pPr>
              <w:ind w:left="1820"/>
              <w:spacing w:after="0"/>
              <w:rPr>
                <w:sz w:val="20"/>
                <w:szCs w:val="20"/>
                <w:color w:val="auto"/>
              </w:rPr>
            </w:pPr>
            <w:r>
              <w:rPr>
                <w:rFonts w:ascii="Arial" w:cs="Arial" w:eastAsia="Arial" w:hAnsi="Arial"/>
                <w:sz w:val="18"/>
                <w:szCs w:val="18"/>
                <w:b w:val="1"/>
                <w:bCs w:val="1"/>
                <w:color w:val="auto"/>
              </w:rPr>
              <w:t>EXLSERVICE HOLDINGS, INC.</w:t>
            </w:r>
          </w:p>
        </w:tc>
      </w:tr>
      <w:tr>
        <w:trPr>
          <w:trHeight w:val="230"/>
        </w:trPr>
        <w:tc>
          <w:tcPr>
            <w:tcW w:w="3200" w:type="dxa"/>
            <w:vAlign w:val="bottom"/>
          </w:tcPr>
          <w:p>
            <w:pPr>
              <w:spacing w:after="0"/>
              <w:rPr>
                <w:sz w:val="20"/>
                <w:szCs w:val="20"/>
                <w:color w:val="auto"/>
              </w:rPr>
            </w:pPr>
          </w:p>
        </w:tc>
        <w:tc>
          <w:tcPr>
            <w:tcW w:w="3160" w:type="dxa"/>
            <w:vAlign w:val="bottom"/>
          </w:tcPr>
          <w:p>
            <w:pPr>
              <w:ind w:left="1820"/>
              <w:spacing w:after="0"/>
              <w:rPr>
                <w:sz w:val="20"/>
                <w:szCs w:val="20"/>
                <w:color w:val="auto"/>
              </w:rPr>
            </w:pPr>
            <w:r>
              <w:rPr>
                <w:rFonts w:ascii="Arial" w:cs="Arial" w:eastAsia="Arial" w:hAnsi="Arial"/>
                <w:sz w:val="18"/>
                <w:szCs w:val="18"/>
                <w:color w:val="auto"/>
              </w:rPr>
              <w:t>(Registrant)</w:t>
            </w:r>
          </w:p>
        </w:tc>
        <w:tc>
          <w:tcPr>
            <w:tcW w:w="5020" w:type="dxa"/>
            <w:vAlign w:val="bottom"/>
          </w:tcPr>
          <w:p>
            <w:pPr>
              <w:spacing w:after="0"/>
              <w:rPr>
                <w:sz w:val="20"/>
                <w:szCs w:val="20"/>
                <w:color w:val="auto"/>
              </w:rPr>
            </w:pPr>
          </w:p>
        </w:tc>
      </w:tr>
      <w:tr>
        <w:trPr>
          <w:trHeight w:val="864"/>
        </w:trPr>
        <w:tc>
          <w:tcPr>
            <w:tcW w:w="3200" w:type="dxa"/>
            <w:vAlign w:val="bottom"/>
          </w:tcPr>
          <w:p>
            <w:pPr>
              <w:spacing w:after="0"/>
              <w:rPr>
                <w:sz w:val="20"/>
                <w:szCs w:val="20"/>
                <w:color w:val="auto"/>
              </w:rPr>
            </w:pPr>
            <w:r>
              <w:rPr>
                <w:rFonts w:ascii="Arial" w:cs="Arial" w:eastAsia="Arial" w:hAnsi="Arial"/>
                <w:sz w:val="18"/>
                <w:szCs w:val="18"/>
                <w:color w:val="auto"/>
              </w:rPr>
              <w:t>Date: May 1, 2018</w:t>
            </w:r>
          </w:p>
        </w:tc>
        <w:tc>
          <w:tcPr>
            <w:tcW w:w="3160" w:type="dxa"/>
            <w:vAlign w:val="bottom"/>
          </w:tcPr>
          <w:p>
            <w:pPr>
              <w:ind w:left="1820"/>
              <w:spacing w:after="0"/>
              <w:rPr>
                <w:sz w:val="20"/>
                <w:szCs w:val="20"/>
                <w:color w:val="auto"/>
              </w:rPr>
            </w:pPr>
            <w:r>
              <w:rPr>
                <w:rFonts w:ascii="Arial" w:cs="Arial" w:eastAsia="Arial" w:hAnsi="Arial"/>
                <w:sz w:val="18"/>
                <w:szCs w:val="18"/>
                <w:color w:val="auto"/>
              </w:rPr>
              <w:t>By:</w:t>
            </w:r>
          </w:p>
        </w:tc>
        <w:tc>
          <w:tcPr>
            <w:tcW w:w="5020" w:type="dxa"/>
            <w:vAlign w:val="bottom"/>
          </w:tcPr>
          <w:p>
            <w:pPr>
              <w:ind w:left="40"/>
              <w:spacing w:after="0"/>
              <w:rPr>
                <w:sz w:val="20"/>
                <w:szCs w:val="20"/>
                <w:color w:val="auto"/>
              </w:rPr>
            </w:pPr>
            <w:r>
              <w:rPr>
                <w:rFonts w:ascii="Arial" w:cs="Arial" w:eastAsia="Arial" w:hAnsi="Arial"/>
                <w:sz w:val="18"/>
                <w:szCs w:val="18"/>
                <w:color w:val="auto"/>
              </w:rPr>
              <w:t>/s/ Nancy Saltzman</w:t>
            </w:r>
          </w:p>
        </w:tc>
      </w:tr>
      <w:tr>
        <w:trPr>
          <w:trHeight w:val="41"/>
        </w:trPr>
        <w:tc>
          <w:tcPr>
            <w:tcW w:w="3200" w:type="dxa"/>
            <w:vAlign w:val="bottom"/>
          </w:tcPr>
          <w:p>
            <w:pPr>
              <w:spacing w:after="0"/>
              <w:rPr>
                <w:sz w:val="3"/>
                <w:szCs w:val="3"/>
                <w:color w:val="auto"/>
              </w:rPr>
            </w:pPr>
          </w:p>
        </w:tc>
        <w:tc>
          <w:tcPr>
            <w:tcW w:w="3160" w:type="dxa"/>
            <w:vAlign w:val="bottom"/>
          </w:tcPr>
          <w:p>
            <w:pPr>
              <w:spacing w:after="0"/>
              <w:rPr>
                <w:sz w:val="3"/>
                <w:szCs w:val="3"/>
                <w:color w:val="auto"/>
              </w:rPr>
            </w:pPr>
          </w:p>
        </w:tc>
        <w:tc>
          <w:tcPr>
            <w:tcW w:w="5020" w:type="dxa"/>
            <w:vAlign w:val="bottom"/>
            <w:tcBorders>
              <w:bottom w:val="single" w:sz="8" w:color="auto"/>
            </w:tcBorders>
          </w:tcPr>
          <w:p>
            <w:pPr>
              <w:spacing w:after="0"/>
              <w:rPr>
                <w:sz w:val="3"/>
                <w:szCs w:val="3"/>
                <w:color w:val="auto"/>
              </w:rPr>
            </w:pPr>
          </w:p>
        </w:tc>
      </w:tr>
      <w:tr>
        <w:trPr>
          <w:trHeight w:val="250"/>
        </w:trPr>
        <w:tc>
          <w:tcPr>
            <w:tcW w:w="3200" w:type="dxa"/>
            <w:vAlign w:val="bottom"/>
          </w:tcPr>
          <w:p>
            <w:pPr>
              <w:spacing w:after="0"/>
              <w:rPr>
                <w:sz w:val="21"/>
                <w:szCs w:val="21"/>
                <w:color w:val="auto"/>
              </w:rPr>
            </w:pPr>
          </w:p>
        </w:tc>
        <w:tc>
          <w:tcPr>
            <w:tcW w:w="3160" w:type="dxa"/>
            <w:vAlign w:val="bottom"/>
          </w:tcPr>
          <w:p>
            <w:pPr>
              <w:ind w:left="1820"/>
              <w:spacing w:after="0"/>
              <w:rPr>
                <w:sz w:val="20"/>
                <w:szCs w:val="20"/>
                <w:color w:val="auto"/>
              </w:rPr>
            </w:pPr>
            <w:r>
              <w:rPr>
                <w:rFonts w:ascii="Arial" w:cs="Arial" w:eastAsia="Arial" w:hAnsi="Arial"/>
                <w:sz w:val="18"/>
                <w:szCs w:val="18"/>
                <w:color w:val="auto"/>
              </w:rPr>
              <w:t>Name:</w:t>
            </w:r>
          </w:p>
        </w:tc>
        <w:tc>
          <w:tcPr>
            <w:tcW w:w="5020" w:type="dxa"/>
            <w:vAlign w:val="bottom"/>
          </w:tcPr>
          <w:p>
            <w:pPr>
              <w:ind w:left="40"/>
              <w:spacing w:after="0"/>
              <w:rPr>
                <w:sz w:val="20"/>
                <w:szCs w:val="20"/>
                <w:color w:val="auto"/>
              </w:rPr>
            </w:pPr>
            <w:r>
              <w:rPr>
                <w:rFonts w:ascii="Arial" w:cs="Arial" w:eastAsia="Arial" w:hAnsi="Arial"/>
                <w:sz w:val="18"/>
                <w:szCs w:val="18"/>
                <w:color w:val="auto"/>
              </w:rPr>
              <w:t>Nancy Saltzman</w:t>
            </w:r>
          </w:p>
        </w:tc>
      </w:tr>
      <w:tr>
        <w:trPr>
          <w:trHeight w:val="256"/>
        </w:trPr>
        <w:tc>
          <w:tcPr>
            <w:tcW w:w="3200" w:type="dxa"/>
            <w:vAlign w:val="bottom"/>
          </w:tcPr>
          <w:p>
            <w:pPr>
              <w:spacing w:after="0"/>
              <w:rPr>
                <w:sz w:val="22"/>
                <w:szCs w:val="22"/>
                <w:color w:val="auto"/>
              </w:rPr>
            </w:pPr>
          </w:p>
        </w:tc>
        <w:tc>
          <w:tcPr>
            <w:tcW w:w="3160" w:type="dxa"/>
            <w:vAlign w:val="bottom"/>
          </w:tcPr>
          <w:p>
            <w:pPr>
              <w:ind w:left="1820"/>
              <w:spacing w:after="0"/>
              <w:rPr>
                <w:sz w:val="20"/>
                <w:szCs w:val="20"/>
                <w:color w:val="auto"/>
              </w:rPr>
            </w:pPr>
            <w:r>
              <w:rPr>
                <w:rFonts w:ascii="Arial" w:cs="Arial" w:eastAsia="Arial" w:hAnsi="Arial"/>
                <w:sz w:val="18"/>
                <w:szCs w:val="18"/>
                <w:color w:val="auto"/>
              </w:rPr>
              <w:t>Title:</w:t>
            </w:r>
          </w:p>
        </w:tc>
        <w:tc>
          <w:tcPr>
            <w:tcW w:w="5020" w:type="dxa"/>
            <w:vAlign w:val="bottom"/>
          </w:tcPr>
          <w:p>
            <w:pPr>
              <w:ind w:left="40"/>
              <w:spacing w:after="0"/>
              <w:rPr>
                <w:sz w:val="20"/>
                <w:szCs w:val="20"/>
                <w:color w:val="auto"/>
              </w:rPr>
            </w:pPr>
            <w:r>
              <w:rPr>
                <w:rFonts w:ascii="Arial" w:cs="Arial" w:eastAsia="Arial" w:hAnsi="Arial"/>
                <w:sz w:val="18"/>
                <w:szCs w:val="18"/>
                <w:color w:val="auto"/>
              </w:rPr>
              <w:t>Executive Vice President,</w:t>
            </w:r>
          </w:p>
        </w:tc>
      </w:tr>
      <w:tr>
        <w:trPr>
          <w:trHeight w:val="230"/>
        </w:trPr>
        <w:tc>
          <w:tcPr>
            <w:tcW w:w="32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General Counsel and Secretary</w:t>
            </w:r>
          </w:p>
        </w:tc>
      </w:tr>
    </w:tbl>
    <w:p>
      <w:pPr>
        <w:sectPr>
          <w:pgSz w:w="11900" w:h="16838" w:orient="portrait"/>
          <w:cols w:equalWidth="0" w:num="1">
            <w:col w:w="11420"/>
          </w:cols>
          <w:pgMar w:left="240" w:top="621"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 REPORTS 2018 FIRST QUARTER RESULTS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2018 First Quarter Revenues of $207.0 Million, up 13.1% year over year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Q1 Diluted EPS (GAAP) of $0.66, up from $0.48 in Q1 of 2017</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Q1 Adjusted Diluted EPS (Non-GAAP) of $0.64, up from $0.60 in Q1 of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New York, NY - May 1, 2018 - ExlService Holdings, Inc. (NASDAQ: EXLS), a leading operations management and analytics company, today announced its financial results for the quarter ended March 31, 2018.</w:t>
      </w:r>
    </w:p>
    <w:p>
      <w:pPr>
        <w:spacing w:after="0" w:line="170" w:lineRule="exact"/>
        <w:rPr>
          <w:sz w:val="20"/>
          <w:szCs w:val="20"/>
          <w:color w:val="auto"/>
        </w:rPr>
      </w:pPr>
    </w:p>
    <w:p>
      <w:pPr>
        <w:jc w:val="both"/>
        <w:spacing w:after="0" w:line="364" w:lineRule="auto"/>
        <w:rPr>
          <w:sz w:val="20"/>
          <w:szCs w:val="20"/>
          <w:color w:val="auto"/>
        </w:rPr>
      </w:pPr>
      <w:r>
        <w:rPr>
          <w:rFonts w:ascii="Arial" w:cs="Arial" w:eastAsia="Arial" w:hAnsi="Arial"/>
          <w:sz w:val="16"/>
          <w:szCs w:val="16"/>
          <w:color w:val="auto"/>
        </w:rPr>
        <w:t>Rohit Kapoor, Vice Chairman and Chief Executive Officer, said, “EXL delivered strong revenue growth and profitability in the first quarter of 2018, driven by demand from our existing clients and the ramp-up of 2017 wins. Revenues were $207.0 million, up 13.1% year-over-year, and adjusted diluted EPS was $0.64. Our revenue growth was broad-based, led by a 16.5% increase in Analytics revenues and an 11.8% increase in our Operations Management businesses.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“I am pleased to announce that EXL has signed a definitive agreement to acquire SCIOInspire Holdings, Inc. (“SCIO</w:t>
      </w:r>
      <w:r>
        <w:rPr>
          <w:rFonts w:ascii="Arial" w:cs="Arial" w:eastAsia="Arial" w:hAnsi="Arial"/>
          <w:sz w:val="37"/>
          <w:szCs w:val="37"/>
          <w:color w:val="auto"/>
          <w:vertAlign w:val="superscript"/>
        </w:rPr>
        <w:t>®</w:t>
      </w:r>
      <w:r>
        <w:rPr>
          <w:rFonts w:ascii="Arial" w:cs="Arial" w:eastAsia="Arial" w:hAnsi="Arial"/>
          <w:sz w:val="17"/>
          <w:szCs w:val="17"/>
          <w:color w:val="auto"/>
        </w:rPr>
        <w:t>”) for $240 million. This strategic</w:t>
      </w:r>
    </w:p>
    <w:p>
      <w:pPr>
        <w:spacing w:after="0"/>
        <w:rPr>
          <w:sz w:val="20"/>
          <w:szCs w:val="20"/>
          <w:color w:val="auto"/>
        </w:rPr>
      </w:pPr>
      <w:r>
        <w:rPr>
          <w:rFonts w:ascii="Arial" w:cs="Arial" w:eastAsia="Arial" w:hAnsi="Arial"/>
          <w:sz w:val="16"/>
          <w:szCs w:val="16"/>
          <w:color w:val="auto"/>
        </w:rPr>
        <w:t>acquisition combines EXL’s large-scale healthcare and analytics businesses with SCIO’s leading healthcare analytics solutions and services. SCIO generates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revenues from two high growth healthcare areas - payment integrity and care optimization. The acquisition will broaden EXL’s capabilities to engage with</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clients across a variety of healthcare payers, pharmacy benefit managers, healthcare providers and life sciences companies.”</w:t>
      </w:r>
    </w:p>
    <w:p>
      <w:pPr>
        <w:spacing w:after="0" w:line="306"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Vishal Chhibbar, Chief Financial Officer, said, “We are updating our revenue guidance for 2018 to $835 million - $855 million from $830 million - $855 million reflecting better performance in the first quarter and an improved outlook for the year. Our guidance represents annual revenue growth of 9% to 12% on a constant currency basis. Our adjusted diluted EPS guidance for 2018 remains $2.70 - $2.80. Our guidance does not include the impact of the SCIO acquisition. Our cash and short-term investments were $239 million on March 31, 2018.”</w:t>
      </w:r>
    </w:p>
    <w:p>
      <w:pPr>
        <w:sectPr>
          <w:pgSz w:w="11900" w:h="16838" w:orient="portrait"/>
          <w:cols w:equalWidth="0" w:num="1">
            <w:col w:w="11420"/>
          </w:cols>
          <w:pgMar w:left="240" w:top="702"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Financial Highlights: First Quarter 2018</w:t>
      </w:r>
    </w:p>
    <w:p>
      <w:pPr>
        <w:spacing w:after="0" w:line="189" w:lineRule="exact"/>
        <w:rPr>
          <w:sz w:val="20"/>
          <w:szCs w:val="20"/>
          <w:color w:val="auto"/>
        </w:rPr>
      </w:pPr>
    </w:p>
    <w:p>
      <w:pPr>
        <w:jc w:val="both"/>
        <w:spacing w:after="0" w:line="373" w:lineRule="auto"/>
        <w:rPr>
          <w:sz w:val="20"/>
          <w:szCs w:val="20"/>
          <w:color w:val="auto"/>
        </w:rPr>
      </w:pPr>
      <w:r>
        <w:rPr>
          <w:rFonts w:ascii="Arial" w:cs="Arial" w:eastAsia="Arial" w:hAnsi="Arial"/>
          <w:sz w:val="18"/>
          <w:szCs w:val="18"/>
          <w:i w:val="1"/>
          <w:iCs w:val="1"/>
          <w:color w:val="auto"/>
        </w:rPr>
        <w:t>We have six reportable segments: Insurance, Healthcare, Travel, Transportation &amp; Logistics, Finance &amp; Accounting, All Other (Banking &amp; Financial Services, Utilities and Consulting) and Analytics. Reconciliations of adjusted (non-GAAP) financial measures, including those reflecting constant currency, to GAAP measures are included at the end of this release.</w:t>
      </w:r>
    </w:p>
    <w:p>
      <w:pPr>
        <w:spacing w:after="0" w:line="358" w:lineRule="exact"/>
        <w:rPr>
          <w:sz w:val="20"/>
          <w:szCs w:val="20"/>
          <w:color w:val="auto"/>
        </w:rPr>
      </w:pPr>
    </w:p>
    <w:p>
      <w:pPr>
        <w:jc w:val="both"/>
        <w:ind w:left="660" w:hanging="328"/>
        <w:spacing w:after="0" w:line="31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Revenues for the quarter ended March 31, 2018 increased to $207.0 million compared to $183.0 million for the first quarter of 2017, an increase of 13.1% on a reported basis and 11.9% on a constant currency basis from the first quarter of 2017, as well as an increase of 4.6% sequentially on a reported basis and 4.3% on a constant currency basis, from the quarter ended December 31, 2017.</w:t>
      </w:r>
    </w:p>
    <w:p>
      <w:pPr>
        <w:spacing w:after="0" w:line="330" w:lineRule="exact"/>
        <w:rPr>
          <w:sz w:val="20"/>
          <w:szCs w:val="20"/>
          <w:color w:val="auto"/>
        </w:rPr>
      </w:pPr>
    </w:p>
    <w:tbl>
      <w:tblPr>
        <w:tblLayout w:type="fixed"/>
        <w:tblInd w:w="660" w:type="dxa"/>
        <w:tblCellMar>
          <w:top w:w="0" w:type="dxa"/>
          <w:left w:w="0" w:type="dxa"/>
          <w:bottom w:w="0" w:type="dxa"/>
          <w:right w:w="0" w:type="dxa"/>
        </w:tblCellMar>
      </w:tblPr>
      <w:tr>
        <w:trPr>
          <w:trHeight w:val="210"/>
        </w:trPr>
        <w:tc>
          <w:tcPr>
            <w:tcW w:w="4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3"/>
          </w:tcPr>
          <w:p>
            <w:pPr>
              <w:jc w:val="center"/>
              <w:ind w:left="679"/>
              <w:spacing w:after="0"/>
              <w:rPr>
                <w:sz w:val="20"/>
                <w:szCs w:val="20"/>
                <w:color w:val="auto"/>
              </w:rPr>
            </w:pPr>
            <w:r>
              <w:rPr>
                <w:rFonts w:ascii="Arial" w:cs="Arial" w:eastAsia="Arial" w:hAnsi="Arial"/>
                <w:sz w:val="16"/>
                <w:szCs w:val="16"/>
                <w:b w:val="1"/>
                <w:bCs w:val="1"/>
                <w:color w:val="auto"/>
                <w:w w:val="87"/>
              </w:rPr>
              <w:t>Revenues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3"/>
          </w:tcPr>
          <w:p>
            <w:pPr>
              <w:ind w:left="940"/>
              <w:spacing w:after="0"/>
              <w:rPr>
                <w:sz w:val="20"/>
                <w:szCs w:val="20"/>
                <w:color w:val="auto"/>
              </w:rPr>
            </w:pPr>
            <w:r>
              <w:rPr>
                <w:rFonts w:ascii="Arial" w:cs="Arial" w:eastAsia="Arial" w:hAnsi="Arial"/>
                <w:sz w:val="16"/>
                <w:szCs w:val="16"/>
                <w:b w:val="1"/>
                <w:bCs w:val="1"/>
                <w:color w:val="auto"/>
              </w:rPr>
              <w:t>Gross Margin</w:t>
            </w:r>
          </w:p>
        </w:tc>
      </w:tr>
      <w:tr>
        <w:trPr>
          <w:trHeight w:val="33"/>
        </w:trPr>
        <w:tc>
          <w:tcPr>
            <w:tcW w:w="4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Borders>
              <w:bottom w:val="single" w:sz="8" w:color="auto"/>
            </w:tcBorders>
            <w:gridSpan w:val="3"/>
          </w:tcPr>
          <w:p>
            <w:pPr>
              <w:spacing w:after="0"/>
              <w:rPr>
                <w:sz w:val="2"/>
                <w:szCs w:val="2"/>
                <w:color w:val="auto"/>
              </w:rPr>
            </w:pPr>
          </w:p>
        </w:tc>
      </w:tr>
      <w:tr>
        <w:trPr>
          <w:trHeight w:val="217"/>
        </w:trPr>
        <w:tc>
          <w:tcPr>
            <w:tcW w:w="4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91"/>
              </w:rPr>
              <w:t>Three months ended March 31,</w:t>
            </w:r>
          </w:p>
        </w:tc>
        <w:tc>
          <w:tcPr>
            <w:tcW w:w="2840" w:type="dxa"/>
            <w:vAlign w:val="bottom"/>
            <w:gridSpan w:val="3"/>
          </w:tcPr>
          <w:p>
            <w:pPr>
              <w:ind w:left="340"/>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438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Reportable Segments</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2"/>
                <w:szCs w:val="22"/>
                <w:color w:val="auto"/>
              </w:rPr>
            </w:pPr>
          </w:p>
        </w:tc>
        <w:tc>
          <w:tcPr>
            <w:tcW w:w="1360" w:type="dxa"/>
            <w:vAlign w:val="bottom"/>
            <w:tcBorders>
              <w:bottom w:val="single" w:sz="8" w:color="auto"/>
            </w:tcBorders>
          </w:tcPr>
          <w:p>
            <w:pPr>
              <w:ind w:left="520"/>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2"/>
                <w:szCs w:val="22"/>
                <w:color w:val="auto"/>
              </w:rPr>
            </w:pPr>
          </w:p>
        </w:tc>
        <w:tc>
          <w:tcPr>
            <w:tcW w:w="1380" w:type="dxa"/>
            <w:vAlign w:val="bottom"/>
            <w:tcBorders>
              <w:bottom w:val="single" w:sz="8" w:color="auto"/>
            </w:tcBorders>
          </w:tcPr>
          <w:p>
            <w:pPr>
              <w:ind w:left="380"/>
              <w:spacing w:after="0" w:line="264" w:lineRule="exact"/>
              <w:rPr>
                <w:sz w:val="20"/>
                <w:szCs w:val="20"/>
                <w:color w:val="auto"/>
              </w:rPr>
            </w:pPr>
            <w:r>
              <w:rPr>
                <w:rFonts w:ascii="Arial" w:cs="Arial" w:eastAsia="Arial" w:hAnsi="Arial"/>
                <w:sz w:val="30"/>
                <w:szCs w:val="30"/>
                <w:b w:val="1"/>
                <w:bCs w:val="1"/>
                <w:color w:val="auto"/>
                <w:vertAlign w:val="subscript"/>
              </w:rPr>
              <w:t>2017</w:t>
            </w:r>
            <w:r>
              <w:rPr>
                <w:rFonts w:ascii="Arial" w:cs="Arial" w:eastAsia="Arial" w:hAnsi="Arial"/>
                <w:sz w:val="10"/>
                <w:szCs w:val="10"/>
                <w:b w:val="1"/>
                <w:bCs w:val="1"/>
                <w:color w:val="auto"/>
              </w:rPr>
              <w:t>(1) (2)</w:t>
            </w:r>
          </w:p>
        </w:tc>
      </w:tr>
      <w:tr>
        <w:trPr>
          <w:trHeight w:val="231"/>
        </w:trPr>
        <w:tc>
          <w:tcPr>
            <w:tcW w:w="4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92"/>
              </w:rPr>
              <w:t>(dollars in millions)</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3"/>
        </w:trPr>
        <w:tc>
          <w:tcPr>
            <w:tcW w:w="4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Insurance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55.9</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6"/>
                <w:szCs w:val="16"/>
                <w:color w:val="auto"/>
              </w:rPr>
              <w:t>33.6%</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32.0%</w:t>
            </w:r>
          </w:p>
        </w:tc>
      </w:tr>
      <w:tr>
        <w:trPr>
          <w:trHeight w:val="237"/>
        </w:trPr>
        <w:tc>
          <w:tcPr>
            <w:tcW w:w="4380" w:type="dxa"/>
            <w:vAlign w:val="bottom"/>
            <w:gridSpan w:val="2"/>
          </w:tcPr>
          <w:p>
            <w:pPr>
              <w:ind w:left="20"/>
              <w:spacing w:after="0"/>
              <w:rPr>
                <w:sz w:val="20"/>
                <w:szCs w:val="20"/>
                <w:color w:val="auto"/>
              </w:rPr>
            </w:pPr>
            <w:r>
              <w:rPr>
                <w:rFonts w:ascii="Arial" w:cs="Arial" w:eastAsia="Arial" w:hAnsi="Arial"/>
                <w:sz w:val="16"/>
                <w:szCs w:val="16"/>
                <w:color w:val="auto"/>
              </w:rPr>
              <w:t>Healthcare</w:t>
            </w:r>
          </w:p>
        </w:tc>
        <w:tc>
          <w:tcPr>
            <w:tcW w:w="18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18.9</w:t>
            </w:r>
          </w:p>
        </w:tc>
        <w:tc>
          <w:tcPr>
            <w:tcW w:w="120" w:type="dxa"/>
            <w:vAlign w:val="bottom"/>
          </w:tcPr>
          <w:p>
            <w:pPr>
              <w:spacing w:after="0"/>
              <w:rPr>
                <w:sz w:val="20"/>
                <w:szCs w:val="20"/>
                <w:color w:val="auto"/>
              </w:rPr>
            </w:pPr>
          </w:p>
        </w:tc>
        <w:tc>
          <w:tcPr>
            <w:tcW w:w="1360" w:type="dxa"/>
            <w:vAlign w:val="bottom"/>
          </w:tcPr>
          <w:p>
            <w:pPr>
              <w:ind w:left="880"/>
              <w:spacing w:after="0"/>
              <w:rPr>
                <w:sz w:val="20"/>
                <w:szCs w:val="20"/>
                <w:color w:val="auto"/>
              </w:rPr>
            </w:pPr>
            <w:r>
              <w:rPr>
                <w:rFonts w:ascii="Arial" w:cs="Arial" w:eastAsia="Arial" w:hAnsi="Arial"/>
                <w:sz w:val="16"/>
                <w:szCs w:val="16"/>
                <w:color w:val="auto"/>
              </w:rPr>
              <w:t>24.4%</w:t>
            </w:r>
          </w:p>
        </w:tc>
        <w:tc>
          <w:tcPr>
            <w:tcW w:w="100" w:type="dxa"/>
            <w:vAlign w:val="bottom"/>
          </w:tcPr>
          <w:p>
            <w:pPr>
              <w:spacing w:after="0"/>
              <w:rPr>
                <w:sz w:val="20"/>
                <w:szCs w:val="20"/>
                <w:color w:val="auto"/>
              </w:rPr>
            </w:pPr>
          </w:p>
        </w:tc>
        <w:tc>
          <w:tcPr>
            <w:tcW w:w="1380" w:type="dxa"/>
            <w:vAlign w:val="bottom"/>
          </w:tcPr>
          <w:p>
            <w:pPr>
              <w:ind w:left="900"/>
              <w:spacing w:after="0"/>
              <w:rPr>
                <w:sz w:val="20"/>
                <w:szCs w:val="20"/>
                <w:color w:val="auto"/>
              </w:rPr>
            </w:pPr>
            <w:r>
              <w:rPr>
                <w:rFonts w:ascii="Arial" w:cs="Arial" w:eastAsia="Arial" w:hAnsi="Arial"/>
                <w:sz w:val="16"/>
                <w:szCs w:val="16"/>
                <w:color w:val="auto"/>
              </w:rPr>
              <w:t>35.0%</w:t>
            </w:r>
          </w:p>
        </w:tc>
      </w:tr>
      <w:tr>
        <w:trPr>
          <w:trHeight w:val="33"/>
        </w:trPr>
        <w:tc>
          <w:tcPr>
            <w:tcW w:w="4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Travel, Transportation &amp; Logistics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6"/>
                <w:szCs w:val="16"/>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40.5%</w:t>
            </w:r>
          </w:p>
        </w:tc>
      </w:tr>
      <w:tr>
        <w:trPr>
          <w:trHeight w:val="237"/>
        </w:trPr>
        <w:tc>
          <w:tcPr>
            <w:tcW w:w="4380" w:type="dxa"/>
            <w:vAlign w:val="bottom"/>
            <w:gridSpan w:val="2"/>
          </w:tcPr>
          <w:p>
            <w:pPr>
              <w:ind w:left="20"/>
              <w:spacing w:after="0"/>
              <w:rPr>
                <w:sz w:val="20"/>
                <w:szCs w:val="20"/>
                <w:color w:val="auto"/>
              </w:rPr>
            </w:pPr>
            <w:r>
              <w:rPr>
                <w:rFonts w:ascii="Arial" w:cs="Arial" w:eastAsia="Arial" w:hAnsi="Arial"/>
                <w:sz w:val="16"/>
                <w:szCs w:val="16"/>
                <w:color w:val="auto"/>
              </w:rPr>
              <w:t>Finance &amp; Accounting</w:t>
            </w:r>
          </w:p>
        </w:tc>
        <w:tc>
          <w:tcPr>
            <w:tcW w:w="18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21.0</w:t>
            </w:r>
          </w:p>
        </w:tc>
        <w:tc>
          <w:tcPr>
            <w:tcW w:w="120" w:type="dxa"/>
            <w:vAlign w:val="bottom"/>
          </w:tcPr>
          <w:p>
            <w:pPr>
              <w:spacing w:after="0"/>
              <w:rPr>
                <w:sz w:val="20"/>
                <w:szCs w:val="20"/>
                <w:color w:val="auto"/>
              </w:rPr>
            </w:pPr>
          </w:p>
        </w:tc>
        <w:tc>
          <w:tcPr>
            <w:tcW w:w="1360" w:type="dxa"/>
            <w:vAlign w:val="bottom"/>
          </w:tcPr>
          <w:p>
            <w:pPr>
              <w:ind w:left="880"/>
              <w:spacing w:after="0"/>
              <w:rPr>
                <w:sz w:val="20"/>
                <w:szCs w:val="20"/>
                <w:color w:val="auto"/>
              </w:rPr>
            </w:pPr>
            <w:r>
              <w:rPr>
                <w:rFonts w:ascii="Arial" w:cs="Arial" w:eastAsia="Arial" w:hAnsi="Arial"/>
                <w:sz w:val="16"/>
                <w:szCs w:val="16"/>
                <w:color w:val="auto"/>
              </w:rPr>
              <w:t>38.6%</w:t>
            </w:r>
          </w:p>
        </w:tc>
        <w:tc>
          <w:tcPr>
            <w:tcW w:w="100" w:type="dxa"/>
            <w:vAlign w:val="bottom"/>
          </w:tcPr>
          <w:p>
            <w:pPr>
              <w:spacing w:after="0"/>
              <w:rPr>
                <w:sz w:val="20"/>
                <w:szCs w:val="20"/>
                <w:color w:val="auto"/>
              </w:rPr>
            </w:pPr>
          </w:p>
        </w:tc>
        <w:tc>
          <w:tcPr>
            <w:tcW w:w="1380" w:type="dxa"/>
            <w:vAlign w:val="bottom"/>
          </w:tcPr>
          <w:p>
            <w:pPr>
              <w:ind w:left="900"/>
              <w:spacing w:after="0"/>
              <w:rPr>
                <w:sz w:val="20"/>
                <w:szCs w:val="20"/>
                <w:color w:val="auto"/>
              </w:rPr>
            </w:pPr>
            <w:r>
              <w:rPr>
                <w:rFonts w:ascii="Arial" w:cs="Arial" w:eastAsia="Arial" w:hAnsi="Arial"/>
                <w:sz w:val="16"/>
                <w:szCs w:val="16"/>
                <w:color w:val="auto"/>
              </w:rPr>
              <w:t>40.9%</w:t>
            </w:r>
          </w:p>
        </w:tc>
      </w:tr>
      <w:tr>
        <w:trPr>
          <w:trHeight w:val="33"/>
        </w:trPr>
        <w:tc>
          <w:tcPr>
            <w:tcW w:w="4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All Other</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6"/>
                <w:szCs w:val="16"/>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31.7%</w:t>
            </w:r>
          </w:p>
        </w:tc>
      </w:tr>
      <w:tr>
        <w:trPr>
          <w:trHeight w:val="324"/>
        </w:trPr>
        <w:tc>
          <w:tcPr>
            <w:tcW w:w="4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70"/>
        </w:trPr>
        <w:tc>
          <w:tcPr>
            <w:tcW w:w="4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Analytics</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49.0</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6"/>
                <w:szCs w:val="16"/>
                <w:color w:val="auto"/>
              </w:rPr>
              <w:t>33.3%</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35.2%</w:t>
            </w:r>
          </w:p>
        </w:tc>
      </w:tr>
      <w:tr>
        <w:trPr>
          <w:trHeight w:val="244"/>
        </w:trPr>
        <w:tc>
          <w:tcPr>
            <w:tcW w:w="438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revenues, net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207.0</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183.0</w:t>
            </w:r>
          </w:p>
        </w:tc>
        <w:tc>
          <w:tcPr>
            <w:tcW w:w="120" w:type="dxa"/>
            <w:vAlign w:val="bottom"/>
          </w:tcPr>
          <w:p>
            <w:pPr>
              <w:spacing w:after="0"/>
              <w:rPr>
                <w:sz w:val="21"/>
                <w:szCs w:val="21"/>
                <w:color w:val="auto"/>
              </w:rPr>
            </w:pPr>
          </w:p>
        </w:tc>
        <w:tc>
          <w:tcPr>
            <w:tcW w:w="136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6"/>
                <w:szCs w:val="16"/>
                <w:b w:val="1"/>
                <w:bCs w:val="1"/>
                <w:color w:val="auto"/>
              </w:rPr>
              <w:t>33.3%</w:t>
            </w:r>
          </w:p>
        </w:tc>
        <w:tc>
          <w:tcPr>
            <w:tcW w:w="100" w:type="dxa"/>
            <w:vAlign w:val="bottom"/>
          </w:tcPr>
          <w:p>
            <w:pPr>
              <w:spacing w:after="0"/>
              <w:rPr>
                <w:sz w:val="21"/>
                <w:szCs w:val="21"/>
                <w:color w:val="auto"/>
              </w:rPr>
            </w:pPr>
          </w:p>
        </w:tc>
        <w:tc>
          <w:tcPr>
            <w:tcW w:w="138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6"/>
                <w:szCs w:val="16"/>
                <w:b w:val="1"/>
                <w:bCs w:val="1"/>
                <w:color w:val="auto"/>
              </w:rPr>
              <w:t>34.9%</w:t>
            </w:r>
          </w:p>
        </w:tc>
      </w:tr>
      <w:tr>
        <w:trPr>
          <w:trHeight w:val="20"/>
        </w:trPr>
        <w:tc>
          <w:tcPr>
            <w:tcW w:w="4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left="660" w:hanging="328"/>
        <w:spacing w:after="0" w:line="31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income margin for the quarter ended March 31, 2018 was 7.3% compared to 9.4% in the first quarter of 2017 and 8.2% for the quarter ended December 31, 2017. Adjusted operating income margin for the quarter ended March 31, 2018 was 12.8% compared to 14.6% in the first quarter of 2017 and 13.2% for the quarter ended December 31, 2017.</w:t>
      </w:r>
    </w:p>
    <w:p>
      <w:pPr>
        <w:spacing w:after="0" w:line="181" w:lineRule="exact"/>
        <w:rPr>
          <w:rFonts w:ascii="Arial" w:cs="Arial" w:eastAsia="Arial" w:hAnsi="Arial"/>
          <w:sz w:val="18"/>
          <w:szCs w:val="18"/>
          <w:color w:val="auto"/>
        </w:rPr>
      </w:pPr>
    </w:p>
    <w:p>
      <w:pPr>
        <w:jc w:val="both"/>
        <w:ind w:left="660" w:hanging="328"/>
        <w:spacing w:after="0" w:line="30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Diluted earnings per share for the quarter ended March 31, 2018 was $0.66. Diluted earnings per share for the first quarter of 2017 was $0.48. Diluted loss per share for the quarter ended December 31, 2017 was $0.27 as we recorded a one-time provisional income tax expense of $29.2 million related to the U.S. Tax Cuts and Jobs Act of 2017 (“Tax Reform Act”), which reduced our GAAP diluted EPS by $0.83 for the quarter. Adjusted diluted earnings per share for the quarter ended March 31, 2018 was $0.64 compared to $0.60 for the first quarter of 2017 and $0.67 for the quarter ended December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313" w:lineRule="exact"/>
        <w:rPr>
          <w:sz w:val="20"/>
          <w:szCs w:val="20"/>
          <w:color w:val="auto"/>
        </w:rPr>
      </w:pPr>
    </w:p>
    <w:p>
      <w:pPr>
        <w:spacing w:after="0"/>
        <w:rPr>
          <w:sz w:val="20"/>
          <w:szCs w:val="20"/>
          <w:color w:val="auto"/>
        </w:rPr>
      </w:pPr>
      <w:r>
        <w:rPr>
          <w:rFonts w:ascii="Arial" w:cs="Arial" w:eastAsia="Arial" w:hAnsi="Arial"/>
          <w:sz w:val="13"/>
          <w:szCs w:val="13"/>
          <w:color w:val="auto"/>
        </w:rPr>
        <w:t>(1) (2)</w:t>
      </w:r>
    </w:p>
    <w:p>
      <w:pPr>
        <w:ind w:left="380"/>
        <w:spacing w:after="0"/>
        <w:rPr>
          <w:sz w:val="20"/>
          <w:szCs w:val="20"/>
          <w:color w:val="auto"/>
        </w:rPr>
      </w:pPr>
      <w:r>
        <w:rPr>
          <w:rFonts w:ascii="Arial" w:cs="Arial" w:eastAsia="Arial" w:hAnsi="Arial"/>
          <w:sz w:val="14"/>
          <w:szCs w:val="14"/>
          <w:color w:val="auto"/>
        </w:rPr>
        <w:t>Refer to notes to the Unaudited Consolidated Statements of Income contained herein.</w:t>
      </w:r>
    </w:p>
    <w:p>
      <w:pPr>
        <w:sectPr>
          <w:pgSz w:w="11900" w:h="16838" w:orient="portrait"/>
          <w:cols w:equalWidth="0" w:num="1">
            <w:col w:w="11420"/>
          </w:cols>
          <w:pgMar w:left="240" w:top="68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Business Highlights: First Quarter 2018</w:t>
      </w:r>
    </w:p>
    <w:p>
      <w:pPr>
        <w:spacing w:after="0" w:line="175" w:lineRule="exact"/>
        <w:rPr>
          <w:sz w:val="20"/>
          <w:szCs w:val="20"/>
          <w:color w:val="auto"/>
        </w:rPr>
      </w:pPr>
    </w:p>
    <w:p>
      <w:pPr>
        <w:ind w:left="340" w:hanging="264"/>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Won seven new clients, including three in our operations management businesses and four in Analytics.</w:t>
      </w:r>
    </w:p>
    <w:p>
      <w:pPr>
        <w:spacing w:after="0" w:line="171" w:lineRule="exact"/>
        <w:rPr>
          <w:rFonts w:ascii="Arial" w:cs="Arial" w:eastAsia="Arial" w:hAnsi="Arial"/>
          <w:sz w:val="18"/>
          <w:szCs w:val="18"/>
          <w:color w:val="auto"/>
        </w:rPr>
      </w:pPr>
    </w:p>
    <w:p>
      <w:pPr>
        <w:ind w:left="340" w:hanging="264"/>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Recognized as a Leader in the Everest Group Property &amp; Casualty Insurance BPO PEAK Matrix™ 2018.</w:t>
      </w:r>
    </w:p>
    <w:p>
      <w:pPr>
        <w:spacing w:after="0" w:line="171" w:lineRule="exact"/>
        <w:rPr>
          <w:rFonts w:ascii="Arial" w:cs="Arial" w:eastAsia="Arial" w:hAnsi="Arial"/>
          <w:sz w:val="18"/>
          <w:szCs w:val="18"/>
          <w:color w:val="auto"/>
        </w:rPr>
      </w:pPr>
    </w:p>
    <w:p>
      <w:pPr>
        <w:ind w:left="340" w:hanging="264"/>
        <w:spacing w:after="0"/>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Cited as a Leader for Cost Optimization and Revenue Generation in the NelsonHall NEAT for “CX Services in Travel, Transport &amp; Hospitality.”</w:t>
      </w:r>
    </w:p>
    <w:p>
      <w:pPr>
        <w:spacing w:after="0" w:line="182" w:lineRule="exact"/>
        <w:rPr>
          <w:rFonts w:ascii="Arial" w:cs="Arial" w:eastAsia="Arial" w:hAnsi="Arial"/>
          <w:sz w:val="17"/>
          <w:szCs w:val="17"/>
          <w:color w:val="auto"/>
        </w:rPr>
      </w:pPr>
    </w:p>
    <w:p>
      <w:pPr>
        <w:ind w:left="340" w:hanging="264"/>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Recognized as a Super Star of the IAOP Global Outsourcing 100 and a Top Company for Programs for Innovation.</w:t>
      </w:r>
    </w:p>
    <w:p>
      <w:pPr>
        <w:spacing w:after="0" w:line="171" w:lineRule="exact"/>
        <w:rPr>
          <w:rFonts w:ascii="Arial" w:cs="Arial" w:eastAsia="Arial" w:hAnsi="Arial"/>
          <w:sz w:val="18"/>
          <w:szCs w:val="18"/>
          <w:color w:val="auto"/>
        </w:rPr>
      </w:pPr>
    </w:p>
    <w:p>
      <w:pPr>
        <w:ind w:left="340" w:hanging="264"/>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Included in The Breakthrough 15 for Americas and EMEA in the Q1 2018 ISG Index™.</w:t>
      </w:r>
    </w:p>
    <w:p>
      <w:pPr>
        <w:spacing w:after="0" w:line="171" w:lineRule="exact"/>
        <w:rPr>
          <w:rFonts w:ascii="Arial" w:cs="Arial" w:eastAsia="Arial" w:hAnsi="Arial"/>
          <w:sz w:val="18"/>
          <w:szCs w:val="18"/>
          <w:color w:val="auto"/>
        </w:rPr>
      </w:pPr>
    </w:p>
    <w:p>
      <w:pPr>
        <w:ind w:left="340" w:hanging="264"/>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Received the DSCI 2017 award for ‘Best Privacy Practices in the IT/ITeS/BPM industry’.</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Post-First Quarter Highlight</w:t>
      </w:r>
    </w:p>
    <w:p>
      <w:pPr>
        <w:spacing w:after="0" w:line="148" w:lineRule="exact"/>
        <w:rPr>
          <w:sz w:val="20"/>
          <w:szCs w:val="20"/>
          <w:color w:val="auto"/>
        </w:rPr>
      </w:pPr>
    </w:p>
    <w:p>
      <w:pPr>
        <w:jc w:val="both"/>
        <w:spacing w:after="0" w:line="304" w:lineRule="auto"/>
        <w:rPr>
          <w:sz w:val="20"/>
          <w:szCs w:val="20"/>
          <w:color w:val="auto"/>
        </w:rPr>
      </w:pPr>
      <w:r>
        <w:rPr>
          <w:rFonts w:ascii="Arial" w:cs="Arial" w:eastAsia="Arial" w:hAnsi="Arial"/>
          <w:sz w:val="18"/>
          <w:szCs w:val="18"/>
          <w:color w:val="auto"/>
        </w:rPr>
        <w:t>Subsequent to the first quarter of 2018, on April 28, 2018, EXL signed a definitive agreement to acquire SCIOInspire Holdings, Inc., doing business as SCIO Health Analytics. The aggregate merger consideration is $240 million, subject to adjustment based on, among other things, SCIO’s cash, debt, working capital position and other adjustments set forth in the Merger Agreement. EXL intends to fund the purchase with available cash on hand and borrowing from its credit facility. The acquisition is expected to close in the next three months, subject to the fulfillment of certain closing conditions, including regulatory and other customary consents.</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Guidance</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Based on current visibility, and a U.S. Dollar to Indian Rupee exchange rate of 66.0, British Pound to U.S. Dollar exchange rate of 1.40, U.S. Dollar to the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Philippine Peso exchange rate of 52.0 and all other currencies at current exchange rates, we are providing the following guidance:</w:t>
      </w:r>
    </w:p>
    <w:p>
      <w:pPr>
        <w:spacing w:after="0" w:line="104" w:lineRule="exact"/>
        <w:rPr>
          <w:sz w:val="20"/>
          <w:szCs w:val="20"/>
          <w:color w:val="auto"/>
        </w:rPr>
      </w:pPr>
    </w:p>
    <w:p>
      <w:pPr>
        <w:ind w:left="340" w:hanging="264"/>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of $835 million to $855 million, representing an annual revenue growth rate of 9% to 12% on a constant currency basis.</w:t>
      </w:r>
    </w:p>
    <w:p>
      <w:pPr>
        <w:spacing w:after="0" w:line="103" w:lineRule="exact"/>
        <w:rPr>
          <w:rFonts w:ascii="Arial" w:cs="Arial" w:eastAsia="Arial" w:hAnsi="Arial"/>
          <w:sz w:val="18"/>
          <w:szCs w:val="18"/>
          <w:color w:val="auto"/>
        </w:rPr>
      </w:pPr>
    </w:p>
    <w:p>
      <w:pPr>
        <w:ind w:left="340" w:hanging="264"/>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diluted earnings per share of $2.70 to $2.80.</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Conference Call</w:t>
      </w:r>
    </w:p>
    <w:p>
      <w:pPr>
        <w:spacing w:after="0" w:line="158"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 xml:space="preserve">ExlService Holdings, Inc. will host a conference call on Tuesday, May 1, 2018 at 8:00 A.M. ET to discuss the Company’s quarterly operating and financial results. The conference call will be available live via the internet by accessing the investor relations section of EXL’s website at </w:t>
      </w:r>
      <w:r>
        <w:rPr>
          <w:rFonts w:ascii="Arial" w:cs="Arial" w:eastAsia="Arial" w:hAnsi="Arial"/>
          <w:sz w:val="18"/>
          <w:szCs w:val="18"/>
          <w:u w:val="single" w:color="auto"/>
          <w:color w:val="0000FF"/>
        </w:rPr>
        <w:t>ir.exlservice.com</w:t>
      </w:r>
      <w:r>
        <w:rPr>
          <w:rFonts w:ascii="Arial" w:cs="Arial" w:eastAsia="Arial" w:hAnsi="Arial"/>
          <w:sz w:val="18"/>
          <w:szCs w:val="18"/>
          <w:color w:val="auto"/>
        </w:rPr>
        <w:t>, where an accompanying investor-friendly spreadsheet of historical operating and financial data can also be accessed. Please access the website at least fifteen minutes prior to the call to register, download and install any necessary audio software.</w:t>
      </w:r>
    </w:p>
    <w:p>
      <w:pPr>
        <w:spacing w:after="0" w:line="187" w:lineRule="exact"/>
        <w:rPr>
          <w:sz w:val="20"/>
          <w:szCs w:val="20"/>
          <w:color w:val="auto"/>
        </w:rPr>
      </w:pPr>
    </w:p>
    <w:p>
      <w:pPr>
        <w:jc w:val="both"/>
        <w:ind w:right="20"/>
        <w:spacing w:after="0" w:line="357" w:lineRule="auto"/>
        <w:rPr>
          <w:sz w:val="20"/>
          <w:szCs w:val="20"/>
          <w:color w:val="auto"/>
        </w:rPr>
      </w:pPr>
      <w:r>
        <w:rPr>
          <w:rFonts w:ascii="Arial" w:cs="Arial" w:eastAsia="Arial" w:hAnsi="Arial"/>
          <w:sz w:val="17"/>
          <w:szCs w:val="17"/>
          <w:color w:val="auto"/>
        </w:rPr>
        <w:t xml:space="preserve">To listen to the conference call via phone, please dial 1-877-303-6384, or if dialing internationally, 1-224-357-2191 and an operator will assist you. For those who cannot access the live broadcast, a replay will be available on the EXL website </w:t>
      </w:r>
      <w:r>
        <w:rPr>
          <w:rFonts w:ascii="Arial" w:cs="Arial" w:eastAsia="Arial" w:hAnsi="Arial"/>
          <w:sz w:val="17"/>
          <w:szCs w:val="17"/>
          <w:u w:val="single" w:color="auto"/>
          <w:color w:val="0000FF"/>
        </w:rPr>
        <w:t>ir.exlservice.com</w:t>
      </w:r>
      <w:r>
        <w:rPr>
          <w:rFonts w:ascii="Arial" w:cs="Arial" w:eastAsia="Arial" w:hAnsi="Arial"/>
          <w:sz w:val="17"/>
          <w:szCs w:val="17"/>
          <w:color w:val="auto"/>
        </w:rPr>
        <w:t xml:space="preserve"> for a period of at least twelve months.</w:t>
      </w:r>
    </w:p>
    <w:p>
      <w:pPr>
        <w:sectPr>
          <w:pgSz w:w="11900" w:h="16838" w:orient="portrait"/>
          <w:cols w:equalWidth="0" w:num="1">
            <w:col w:w="11420"/>
          </w:cols>
          <w:pgMar w:left="240" w:top="796"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ExlService Holdings, Inc.</w:t>
      </w:r>
    </w:p>
    <w:p>
      <w:pPr>
        <w:spacing w:after="0" w:line="189" w:lineRule="exact"/>
        <w:rPr>
          <w:sz w:val="20"/>
          <w:szCs w:val="20"/>
          <w:color w:val="auto"/>
        </w:rPr>
      </w:pPr>
    </w:p>
    <w:p>
      <w:pPr>
        <w:jc w:val="both"/>
        <w:spacing w:after="0" w:line="405" w:lineRule="auto"/>
        <w:rPr>
          <w:sz w:val="20"/>
          <w:szCs w:val="20"/>
          <w:color w:val="auto"/>
        </w:rPr>
      </w:pPr>
      <w:r>
        <w:rPr>
          <w:rFonts w:ascii="Arial" w:cs="Arial" w:eastAsia="Arial" w:hAnsi="Arial"/>
          <w:sz w:val="16"/>
          <w:szCs w:val="16"/>
          <w:color w:val="auto"/>
        </w:rPr>
        <w:t>EXL (NASDAQ: EXLS) is a leading operations management and analytics company that designs and enables agile, customer-centric operating models to help clients improve their revenue growth and profitability. Our delivery model provides market-leading business outcomes using EXL’s proprietary Business EXLerator Framework®, cutting-edge analytics, digital transformation and domain expertise. At EXL, we look deeper to help companies improve global operations, enhance data-driven insights, increase customer satisfaction, and manage risk and compliance. EXL serves the insurance, healthcare, banking and financial services, utilities, travel, transportation and logistics industries. Headquartered in New York, New York, EXL has more than 27,000 professionals in locations throughout the United States, Europe, Asia (primarily India and Philippines), Colombia, Australia and South Africa. For more information, visit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www.exlservice.com.</w:t>
      </w:r>
    </w:p>
    <w:p>
      <w:pPr>
        <w:spacing w:after="0" w:line="397" w:lineRule="exact"/>
        <w:rPr>
          <w:sz w:val="20"/>
          <w:szCs w:val="20"/>
          <w:color w:val="auto"/>
        </w:rPr>
      </w:pPr>
    </w:p>
    <w:p>
      <w:pPr>
        <w:jc w:val="both"/>
        <w:spacing w:after="0" w:line="318" w:lineRule="auto"/>
        <w:rPr>
          <w:sz w:val="20"/>
          <w:szCs w:val="20"/>
          <w:color w:val="auto"/>
        </w:rPr>
      </w:pPr>
      <w:r>
        <w:rPr>
          <w:rFonts w:ascii="Arial" w:cs="Arial" w:eastAsia="Arial" w:hAnsi="Arial"/>
          <w:sz w:val="17"/>
          <w:szCs w:val="17"/>
          <w:b w:val="1"/>
          <w:bCs w:val="1"/>
          <w:color w:val="auto"/>
        </w:rPr>
        <w:t xml:space="preserve">Continuing Statement Regarding Forward-Looking Statements </w:t>
      </w:r>
      <w:r>
        <w:rPr>
          <w:rFonts w:ascii="Arial" w:cs="Arial" w:eastAsia="Arial" w:hAnsi="Arial"/>
          <w:sz w:val="17"/>
          <w:szCs w:val="17"/>
          <w:i w:val="1"/>
          <w:iCs w:val="1"/>
          <w:color w:val="auto"/>
        </w:rPr>
        <w:t>This press release contains forward-looking statements. You should not place undue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reliance on those statements because they are subject to numerous uncertainties and factors relating to EXL's operations and business environment, all of which are difficult to predict and many of which are beyond EXL’s control. Forward-looking statements include information concerning EXL’s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EXL believes that these forward-looking statements are based on reasonable assumptions, you should be aware that many factors could affect EXL’s actual financial results or results of operations and could cause actual results to differ materially from those in the forward-looking statements. These factors, which include our ability to successfully close and integrate strategic acquisitions, are discussed in more detail in EXL’s filings with the Securities and Exchange Commission, including EXL’s Annual Report on Form 10-K. These risks could cause actual results to differ materially from those implied by forward-looking statements in this release. You should keep in mind that any forward-looking statement made herein, or elsewhere, speaks only as of the date on which it is made. New risks and uncertainties come up from time to time, and it is impossible to predict these events or how they may affect EXL. EXL has no obligation to update any forward-looking statements after the date hereof, except as required by federal securities laws.</w:t>
      </w:r>
    </w:p>
    <w:p>
      <w:pPr>
        <w:sectPr>
          <w:pgSz w:w="11900" w:h="16838" w:orient="portrait"/>
          <w:cols w:equalWidth="0" w:num="1">
            <w:col w:w="11420"/>
          </w:cols>
          <w:pgMar w:left="240" w:top="607" w:right="239" w:bottom="1440" w:gutter="0" w:footer="0" w:header="0"/>
        </w:sectPr>
      </w:pPr>
    </w:p>
    <w:bookmarkStart w:id="7" w:name="page8"/>
    <w:bookmarkEnd w:id="7"/>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8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4"/>
          </w:tcPr>
          <w:p>
            <w:pPr>
              <w:jc w:val="right"/>
              <w:ind w:right="73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8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r>
              <w:rPr>
                <w:rFonts w:ascii="Arial" w:cs="Arial" w:eastAsia="Arial" w:hAnsi="Arial"/>
                <w:sz w:val="8"/>
                <w:szCs w:val="8"/>
                <w:b w:val="1"/>
                <w:bCs w:val="1"/>
                <w:color w:val="auto"/>
              </w:rPr>
              <w:t>(1) (2)</w:t>
            </w: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206,973</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183,033</w:t>
            </w: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Cost of revenues (exclusive of depreciation and amortization)</w:t>
            </w: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138,101</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119,072</w:t>
            </w:r>
          </w:p>
        </w:tc>
      </w:tr>
      <w:tr>
        <w:trPr>
          <w:trHeight w:val="27"/>
        </w:trPr>
        <w:tc>
          <w:tcPr>
            <w:tcW w:w="78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68,872</w:t>
            </w:r>
          </w:p>
        </w:tc>
        <w:tc>
          <w:tcPr>
            <w:tcW w:w="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63,961</w:t>
            </w: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4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r>
      <w:tr>
        <w:trPr>
          <w:trHeight w:val="41"/>
        </w:trPr>
        <w:tc>
          <w:tcPr>
            <w:tcW w:w="78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50"/>
        </w:trPr>
        <w:tc>
          <w:tcPr>
            <w:tcW w:w="7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 expenses</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29,266</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24,037</w:t>
            </w:r>
          </w:p>
        </w:tc>
      </w:tr>
      <w:tr>
        <w:trPr>
          <w:trHeight w:val="243"/>
        </w:trPr>
        <w:tc>
          <w:tcPr>
            <w:tcW w:w="7800" w:type="dxa"/>
            <w:vAlign w:val="bottom"/>
          </w:tcPr>
          <w:p>
            <w:pPr>
              <w:ind w:left="380"/>
              <w:spacing w:after="0"/>
              <w:rPr>
                <w:sz w:val="20"/>
                <w:szCs w:val="20"/>
                <w:color w:val="auto"/>
              </w:rPr>
            </w:pPr>
            <w:r>
              <w:rPr>
                <w:rFonts w:ascii="Arial" w:cs="Arial" w:eastAsia="Arial" w:hAnsi="Arial"/>
                <w:sz w:val="18"/>
                <w:szCs w:val="18"/>
                <w:color w:val="auto"/>
              </w:rPr>
              <w:t>Selling and marketing expenses</w:t>
            </w: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13,952</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13,340</w:t>
            </w:r>
          </w:p>
        </w:tc>
      </w:tr>
      <w:tr>
        <w:trPr>
          <w:trHeight w:val="27"/>
        </w:trPr>
        <w:tc>
          <w:tcPr>
            <w:tcW w:w="7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10,504</w:t>
            </w:r>
          </w:p>
        </w:tc>
        <w:tc>
          <w:tcPr>
            <w:tcW w:w="2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9,372</w:t>
            </w:r>
          </w:p>
        </w:tc>
      </w:tr>
      <w:tr>
        <w:trPr>
          <w:trHeight w:val="237"/>
        </w:trPr>
        <w:tc>
          <w:tcPr>
            <w:tcW w:w="780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53,722</w:t>
            </w:r>
          </w:p>
        </w:tc>
        <w:tc>
          <w:tcPr>
            <w:tcW w:w="2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46,749</w:t>
            </w:r>
          </w:p>
        </w:tc>
      </w:tr>
      <w:tr>
        <w:trPr>
          <w:trHeight w:val="27"/>
        </w:trPr>
        <w:tc>
          <w:tcPr>
            <w:tcW w:w="78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15,150</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17,212</w:t>
            </w: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Foreign exchange gain, net</w:t>
            </w: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615</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382</w:t>
            </w:r>
          </w:p>
        </w:tc>
      </w:tr>
      <w:tr>
        <w:trPr>
          <w:trHeight w:val="27"/>
        </w:trPr>
        <w:tc>
          <w:tcPr>
            <w:tcW w:w="7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w:t>
            </w: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3,534</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3,186</w:t>
            </w:r>
          </w:p>
        </w:tc>
      </w:tr>
      <w:tr>
        <w:trPr>
          <w:trHeight w:val="27"/>
        </w:trPr>
        <w:tc>
          <w:tcPr>
            <w:tcW w:w="78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 (benefit)/expense</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18,761</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20,348</w:t>
            </w: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Income tax (benefit)/expense</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(4,453)</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3,560</w:t>
            </w:r>
          </w:p>
        </w:tc>
      </w:tr>
      <w:tr>
        <w:trPr>
          <w:trHeight w:val="27"/>
        </w:trPr>
        <w:tc>
          <w:tcPr>
            <w:tcW w:w="7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equity-method investment</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w:t>
            </w:r>
          </w:p>
        </w:tc>
        <w:tc>
          <w:tcPr>
            <w:tcW w:w="2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37"/>
        </w:trPr>
        <w:tc>
          <w:tcPr>
            <w:tcW w:w="7800" w:type="dxa"/>
            <w:vAlign w:val="bottom"/>
          </w:tcPr>
          <w:p>
            <w:pPr>
              <w:ind w:left="20"/>
              <w:spacing w:after="0"/>
              <w:rPr>
                <w:sz w:val="20"/>
                <w:szCs w:val="20"/>
                <w:color w:val="auto"/>
              </w:rPr>
            </w:pPr>
            <w:r>
              <w:rPr>
                <w:rFonts w:ascii="Arial" w:cs="Arial" w:eastAsia="Arial" w:hAnsi="Arial"/>
                <w:sz w:val="18"/>
                <w:szCs w:val="18"/>
                <w:b w:val="1"/>
                <w:bCs w:val="1"/>
                <w:color w:val="auto"/>
              </w:rPr>
              <w:t>Net income attributable to ExlService Holdings, Inc. stockholders</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23,158</w:t>
            </w:r>
          </w:p>
        </w:tc>
        <w:tc>
          <w:tcPr>
            <w:tcW w:w="2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16,788</w:t>
            </w:r>
          </w:p>
        </w:tc>
      </w:tr>
      <w:tr>
        <w:trPr>
          <w:trHeight w:val="67"/>
        </w:trPr>
        <w:tc>
          <w:tcPr>
            <w:tcW w:w="78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r>
      <w:tr>
        <w:trPr>
          <w:trHeight w:val="231"/>
        </w:trPr>
        <w:tc>
          <w:tcPr>
            <w:tcW w:w="78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Earnings per share attributable to ExlService Holdings, Inc. stockholders:</w:t>
            </w:r>
          </w:p>
        </w:tc>
        <w:tc>
          <w:tcPr>
            <w:tcW w:w="4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43"/>
        </w:trPr>
        <w:tc>
          <w:tcPr>
            <w:tcW w:w="7800" w:type="dxa"/>
            <w:vAlign w:val="bottom"/>
          </w:tcPr>
          <w:p>
            <w:pPr>
              <w:ind w:left="380"/>
              <w:spacing w:after="0"/>
              <w:rPr>
                <w:sz w:val="20"/>
                <w:szCs w:val="20"/>
                <w:color w:val="auto"/>
              </w:rPr>
            </w:pPr>
            <w:r>
              <w:rPr>
                <w:rFonts w:ascii="Arial" w:cs="Arial" w:eastAsia="Arial" w:hAnsi="Arial"/>
                <w:sz w:val="18"/>
                <w:szCs w:val="18"/>
                <w:color w:val="auto"/>
              </w:rPr>
              <w:t>Basic</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0.67</w:t>
            </w:r>
          </w:p>
        </w:tc>
        <w:tc>
          <w:tcPr>
            <w:tcW w:w="2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0.50</w:t>
            </w:r>
          </w:p>
        </w:tc>
      </w:tr>
      <w:tr>
        <w:trPr>
          <w:trHeight w:val="27"/>
        </w:trPr>
        <w:tc>
          <w:tcPr>
            <w:tcW w:w="7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0.66</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0.48</w:t>
            </w: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w w:val="96"/>
              </w:rPr>
              <w:t>Weighted-average number of shares used in computing earnings per share attributable to ExlService</w:t>
            </w: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Holdings, Inc. stockholders:</w:t>
            </w:r>
          </w:p>
        </w:tc>
        <w:tc>
          <w:tcPr>
            <w:tcW w:w="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7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34,446,265</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33,845,560</w:t>
            </w:r>
          </w:p>
        </w:tc>
      </w:tr>
      <w:tr>
        <w:trPr>
          <w:trHeight w:val="243"/>
        </w:trPr>
        <w:tc>
          <w:tcPr>
            <w:tcW w:w="7800" w:type="dxa"/>
            <w:vAlign w:val="bottom"/>
          </w:tcPr>
          <w:p>
            <w:pPr>
              <w:ind w:left="380"/>
              <w:spacing w:after="0"/>
              <w:rPr>
                <w:sz w:val="20"/>
                <w:szCs w:val="20"/>
                <w:color w:val="auto"/>
              </w:rPr>
            </w:pPr>
            <w:r>
              <w:rPr>
                <w:rFonts w:ascii="Arial" w:cs="Arial" w:eastAsia="Arial" w:hAnsi="Arial"/>
                <w:sz w:val="18"/>
                <w:szCs w:val="18"/>
                <w:color w:val="auto"/>
              </w:rPr>
              <w:t>Diluted</w:t>
            </w: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35,302,926</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35,108,882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3"/>
          <w:szCs w:val="13"/>
          <w:color w:val="auto"/>
        </w:rPr>
        <w:t>(1)</w:t>
      </w:r>
    </w:p>
    <w:p>
      <w:pPr>
        <w:jc w:val="both"/>
        <w:ind w:firstLine="192"/>
        <w:spacing w:after="0" w:line="667" w:lineRule="auto"/>
        <w:rPr>
          <w:sz w:val="20"/>
          <w:szCs w:val="20"/>
          <w:color w:val="auto"/>
        </w:rPr>
      </w:pPr>
      <w:r>
        <w:rPr>
          <w:rFonts w:ascii="Arial" w:cs="Arial" w:eastAsia="Arial" w:hAnsi="Arial"/>
          <w:sz w:val="13"/>
          <w:szCs w:val="13"/>
          <w:color w:val="auto"/>
        </w:rPr>
        <w:t>The Company early adopted Accounting Standards Update (ASU) 2017-12, Derivative and Hedging (Topic 815), Targeted Improvements to Accounting for Hedging Activities. Pursuant to this adoption, effective January 1, 2017, the Company recorded settlement gain/(loss) on cash flow hedges in cost of revenues and operating expenses, as applicable, in the consolidated statements of income for each of the quarters of 2017. In prior periods, such gain/(loss) were recorded under “Foreign exchange gain, net” in the consolidated statements of income.</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(2)</w:t>
      </w:r>
    </w:p>
    <w:p>
      <w:pPr>
        <w:jc w:val="both"/>
        <w:ind w:firstLine="202"/>
        <w:spacing w:after="0" w:line="610" w:lineRule="auto"/>
        <w:rPr>
          <w:sz w:val="20"/>
          <w:szCs w:val="20"/>
          <w:color w:val="auto"/>
        </w:rPr>
      </w:pPr>
      <w:r>
        <w:rPr>
          <w:rFonts w:ascii="Arial" w:cs="Arial" w:eastAsia="Arial" w:hAnsi="Arial"/>
          <w:sz w:val="14"/>
          <w:szCs w:val="14"/>
          <w:color w:val="auto"/>
        </w:rPr>
        <w:t>On January 1, 2018, the Company adopted ASU 2017-07, Compensation-Retirement Benefits (Topic 715), Improving the Presentation of Net Periodic Pension Cost and Net Periodic Post Retirement Benefit Cost. Pursuant to this adoption, effective January 1, 2017, the interest cost, expected return on plan assets and amortization of actuarial gains/loss, have been reclassified from cost of revenues and operating expenses, as applicable to “Other income, net” in the consolidated statements of income for each of the quarters of 2017.</w:t>
      </w:r>
    </w:p>
    <w:p>
      <w:pPr>
        <w:sectPr>
          <w:pgSz w:w="11900" w:h="16838" w:orient="portrait"/>
          <w:cols w:equalWidth="0" w:num="1">
            <w:col w:w="11420"/>
          </w:cols>
          <w:pgMar w:left="240" w:top="796"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As of</w:t>
            </w:r>
          </w:p>
        </w:tc>
        <w:tc>
          <w:tcPr>
            <w:tcW w:w="1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center"/>
              <w:ind w:right="123"/>
              <w:spacing w:after="0"/>
              <w:rPr>
                <w:sz w:val="20"/>
                <w:szCs w:val="20"/>
                <w:color w:val="auto"/>
              </w:rPr>
            </w:pPr>
            <w:r>
              <w:rPr>
                <w:rFonts w:ascii="Arial" w:cs="Arial" w:eastAsia="Arial" w:hAnsi="Arial"/>
                <w:sz w:val="15"/>
                <w:szCs w:val="15"/>
                <w:b w:val="1"/>
                <w:bCs w:val="1"/>
                <w:color w:val="auto"/>
                <w:w w:val="93"/>
              </w:rPr>
              <w:t>March 31, 2018</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w w:val="93"/>
              </w:rPr>
              <w:t>December 31, 2017</w:t>
            </w:r>
          </w:p>
        </w:tc>
        <w:tc>
          <w:tcPr>
            <w:tcW w:w="0" w:type="dxa"/>
            <w:vAlign w:val="bottom"/>
          </w:tcPr>
          <w:p>
            <w:pPr>
              <w:spacing w:after="0"/>
              <w:rPr>
                <w:sz w:val="1"/>
                <w:szCs w:val="1"/>
                <w:color w:val="auto"/>
              </w:rPr>
            </w:pPr>
          </w:p>
        </w:tc>
      </w:tr>
      <w:tr>
        <w:trPr>
          <w:trHeight w:val="264"/>
        </w:trPr>
        <w:tc>
          <w:tcPr>
            <w:tcW w:w="7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5"/>
              </w:rPr>
              <w:t>(Unaudited)</w:t>
            </w: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Assets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5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40"/>
              <w:spacing w:after="0"/>
              <w:rPr>
                <w:sz w:val="20"/>
                <w:szCs w:val="20"/>
                <w:color w:val="auto"/>
              </w:rPr>
            </w:pPr>
            <w:r>
              <w:rPr>
                <w:rFonts w:ascii="Arial" w:cs="Arial" w:eastAsia="Arial" w:hAnsi="Arial"/>
                <w:sz w:val="15"/>
                <w:szCs w:val="15"/>
                <w:b w:val="1"/>
                <w:bCs w:val="1"/>
                <w:color w:val="auto"/>
              </w:rPr>
              <w:t>Current assets: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Cash and cash equivalents</w:t>
            </w:r>
          </w:p>
        </w:tc>
        <w:tc>
          <w:tcPr>
            <w:tcW w:w="3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4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69,955</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5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86,795</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320" w:type="dxa"/>
            <w:vAlign w:val="bottom"/>
            <w:gridSpan w:val="2"/>
            <w:vMerge w:val="continue"/>
            <w:shd w:val="clear" w:color="auto" w:fill="CCEEFF"/>
          </w:tcPr>
          <w:p>
            <w:pPr>
              <w:spacing w:after="0"/>
              <w:rPr>
                <w:sz w:val="5"/>
                <w:szCs w:val="5"/>
                <w:color w:val="auto"/>
              </w:rPr>
            </w:pPr>
          </w:p>
        </w:tc>
        <w:tc>
          <w:tcPr>
            <w:tcW w:w="14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15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380"/>
              <w:spacing w:after="0"/>
              <w:rPr>
                <w:sz w:val="20"/>
                <w:szCs w:val="20"/>
                <w:color w:val="auto"/>
              </w:rPr>
            </w:pPr>
            <w:r>
              <w:rPr>
                <w:rFonts w:ascii="Arial" w:cs="Arial" w:eastAsia="Arial" w:hAnsi="Arial"/>
                <w:sz w:val="15"/>
                <w:szCs w:val="15"/>
                <w:color w:val="auto"/>
              </w:rPr>
              <w:t>Short-term investments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vMerge w:val="restart"/>
          </w:tcPr>
          <w:p>
            <w:pPr>
              <w:jc w:val="right"/>
              <w:ind w:right="23"/>
              <w:spacing w:after="0"/>
              <w:rPr>
                <w:sz w:val="20"/>
                <w:szCs w:val="20"/>
                <w:color w:val="auto"/>
              </w:rPr>
            </w:pPr>
            <w:r>
              <w:rPr>
                <w:rFonts w:ascii="Arial" w:cs="Arial" w:eastAsia="Arial" w:hAnsi="Arial"/>
                <w:sz w:val="15"/>
                <w:szCs w:val="15"/>
                <w:color w:val="auto"/>
              </w:rPr>
              <w:t>169,461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vMerge w:val="restart"/>
          </w:tcPr>
          <w:p>
            <w:pPr>
              <w:jc w:val="right"/>
              <w:ind w:right="23"/>
              <w:spacing w:after="0"/>
              <w:rPr>
                <w:sz w:val="20"/>
                <w:szCs w:val="20"/>
                <w:color w:val="auto"/>
              </w:rPr>
            </w:pPr>
            <w:r>
              <w:rPr>
                <w:rFonts w:ascii="Arial" w:cs="Arial" w:eastAsia="Arial" w:hAnsi="Arial"/>
                <w:sz w:val="15"/>
                <w:szCs w:val="15"/>
                <w:color w:val="auto"/>
              </w:rPr>
              <w:t>178,479</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Restricted cash</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2,727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3,674</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4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5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380"/>
              <w:spacing w:after="0"/>
              <w:rPr>
                <w:sz w:val="20"/>
                <w:szCs w:val="20"/>
                <w:color w:val="auto"/>
              </w:rPr>
            </w:pPr>
            <w:r>
              <w:rPr>
                <w:rFonts w:ascii="Arial" w:cs="Arial" w:eastAsia="Arial" w:hAnsi="Arial"/>
                <w:sz w:val="15"/>
                <w:szCs w:val="15"/>
                <w:color w:val="auto"/>
              </w:rPr>
              <w:t>Accounts receivable, net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vMerge w:val="restart"/>
          </w:tcPr>
          <w:p>
            <w:pPr>
              <w:jc w:val="right"/>
              <w:ind w:right="23"/>
              <w:spacing w:after="0"/>
              <w:rPr>
                <w:sz w:val="20"/>
                <w:szCs w:val="20"/>
                <w:color w:val="auto"/>
              </w:rPr>
            </w:pPr>
            <w:r>
              <w:rPr>
                <w:rFonts w:ascii="Arial" w:cs="Arial" w:eastAsia="Arial" w:hAnsi="Arial"/>
                <w:sz w:val="15"/>
                <w:szCs w:val="15"/>
                <w:color w:val="auto"/>
              </w:rPr>
              <w:t>137,150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vMerge w:val="restart"/>
          </w:tcPr>
          <w:p>
            <w:pPr>
              <w:jc w:val="right"/>
              <w:ind w:right="23"/>
              <w:spacing w:after="0"/>
              <w:rPr>
                <w:sz w:val="20"/>
                <w:szCs w:val="20"/>
                <w:color w:val="auto"/>
              </w:rPr>
            </w:pPr>
            <w:r>
              <w:rPr>
                <w:rFonts w:ascii="Arial" w:cs="Arial" w:eastAsia="Arial" w:hAnsi="Arial"/>
                <w:sz w:val="15"/>
                <w:szCs w:val="15"/>
                <w:color w:val="auto"/>
              </w:rPr>
              <w:t>135,705</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Prepaid expenses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10,601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9,781</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4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5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380"/>
              <w:spacing w:after="0"/>
              <w:rPr>
                <w:sz w:val="20"/>
                <w:szCs w:val="20"/>
                <w:color w:val="auto"/>
              </w:rPr>
            </w:pPr>
            <w:r>
              <w:rPr>
                <w:rFonts w:ascii="Arial" w:cs="Arial" w:eastAsia="Arial" w:hAnsi="Arial"/>
                <w:sz w:val="15"/>
                <w:szCs w:val="15"/>
                <w:color w:val="auto"/>
              </w:rPr>
              <w:t>Advance income tax, net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vMerge w:val="restart"/>
          </w:tcPr>
          <w:p>
            <w:pPr>
              <w:jc w:val="right"/>
              <w:ind w:right="23"/>
              <w:spacing w:after="0"/>
              <w:rPr>
                <w:sz w:val="20"/>
                <w:szCs w:val="20"/>
                <w:color w:val="auto"/>
              </w:rPr>
            </w:pPr>
            <w:r>
              <w:rPr>
                <w:rFonts w:ascii="Arial" w:cs="Arial" w:eastAsia="Arial" w:hAnsi="Arial"/>
                <w:sz w:val="15"/>
                <w:szCs w:val="15"/>
                <w:color w:val="auto"/>
              </w:rPr>
              <w:t>17,802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vMerge w:val="restart"/>
          </w:tcPr>
          <w:p>
            <w:pPr>
              <w:jc w:val="right"/>
              <w:ind w:right="23"/>
              <w:spacing w:after="0"/>
              <w:rPr>
                <w:sz w:val="20"/>
                <w:szCs w:val="20"/>
                <w:color w:val="auto"/>
              </w:rPr>
            </w:pPr>
            <w:r>
              <w:rPr>
                <w:rFonts w:ascii="Arial" w:cs="Arial" w:eastAsia="Arial" w:hAnsi="Arial"/>
                <w:sz w:val="15"/>
                <w:szCs w:val="15"/>
                <w:color w:val="auto"/>
              </w:rPr>
              <w:t>8,801</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Other current assets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28,277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29,582</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200" w:type="dxa"/>
            <w:vAlign w:val="bottom"/>
            <w:tcBorders>
              <w:bottom w:val="single" w:sz="8" w:color="auto"/>
            </w:tcBorders>
            <w:shd w:val="clear" w:color="auto" w:fill="CCEEFF"/>
          </w:tcPr>
          <w:p>
            <w:pPr>
              <w:spacing w:after="0"/>
              <w:rPr>
                <w:sz w:val="5"/>
                <w:szCs w:val="5"/>
                <w:color w:val="auto"/>
              </w:rPr>
            </w:pPr>
          </w:p>
        </w:tc>
        <w:tc>
          <w:tcPr>
            <w:tcW w:w="14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5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7900" w:type="dxa"/>
            <w:vAlign w:val="bottom"/>
          </w:tcPr>
          <w:p>
            <w:pPr>
              <w:ind w:left="40"/>
              <w:spacing w:after="0"/>
              <w:rPr>
                <w:sz w:val="20"/>
                <w:szCs w:val="20"/>
                <w:color w:val="auto"/>
              </w:rPr>
            </w:pPr>
            <w:r>
              <w:rPr>
                <w:rFonts w:ascii="Arial" w:cs="Arial" w:eastAsia="Arial" w:hAnsi="Arial"/>
                <w:sz w:val="15"/>
                <w:szCs w:val="15"/>
                <w:b w:val="1"/>
                <w:bCs w:val="1"/>
                <w:color w:val="auto"/>
              </w:rPr>
              <w:t>Total current assets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vMerge w:val="restart"/>
          </w:tcPr>
          <w:p>
            <w:pPr>
              <w:jc w:val="right"/>
              <w:ind w:right="23"/>
              <w:spacing w:after="0"/>
              <w:rPr>
                <w:sz w:val="20"/>
                <w:szCs w:val="20"/>
                <w:color w:val="auto"/>
              </w:rPr>
            </w:pPr>
            <w:r>
              <w:rPr>
                <w:rFonts w:ascii="Arial" w:cs="Arial" w:eastAsia="Arial" w:hAnsi="Arial"/>
                <w:sz w:val="15"/>
                <w:szCs w:val="15"/>
                <w:b w:val="1"/>
                <w:bCs w:val="1"/>
                <w:color w:val="auto"/>
              </w:rPr>
              <w:t>435,973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restart"/>
          </w:tcPr>
          <w:p>
            <w:pPr>
              <w:jc w:val="right"/>
              <w:ind w:right="23"/>
              <w:spacing w:after="0"/>
              <w:rPr>
                <w:sz w:val="20"/>
                <w:szCs w:val="20"/>
                <w:color w:val="auto"/>
              </w:rPr>
            </w:pPr>
            <w:r>
              <w:rPr>
                <w:rFonts w:ascii="Arial" w:cs="Arial" w:eastAsia="Arial" w:hAnsi="Arial"/>
                <w:sz w:val="15"/>
                <w:szCs w:val="15"/>
                <w:b w:val="1"/>
                <w:bCs w:val="1"/>
                <w:color w:val="auto"/>
              </w:rPr>
              <w:t>452,817</w:t>
            </w:r>
          </w:p>
        </w:tc>
        <w:tc>
          <w:tcPr>
            <w:tcW w:w="0" w:type="dxa"/>
            <w:vAlign w:val="bottom"/>
          </w:tcPr>
          <w:p>
            <w:pPr>
              <w:spacing w:after="0"/>
              <w:rPr>
                <w:sz w:val="1"/>
                <w:szCs w:val="1"/>
                <w:color w:val="auto"/>
              </w:rPr>
            </w:pPr>
          </w:p>
        </w:tc>
      </w:tr>
      <w:tr>
        <w:trPr>
          <w:trHeight w:val="72"/>
        </w:trPr>
        <w:tc>
          <w:tcPr>
            <w:tcW w:w="79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7900" w:type="dxa"/>
            <w:vAlign w:val="bottom"/>
            <w:shd w:val="clear" w:color="auto" w:fill="CCEEFF"/>
          </w:tcPr>
          <w:p>
            <w:pPr>
              <w:ind w:left="40"/>
              <w:spacing w:after="0"/>
              <w:rPr>
                <w:sz w:val="20"/>
                <w:szCs w:val="20"/>
                <w:color w:val="auto"/>
              </w:rPr>
            </w:pPr>
            <w:r>
              <w:rPr>
                <w:rFonts w:ascii="Arial" w:cs="Arial" w:eastAsia="Arial" w:hAnsi="Arial"/>
                <w:sz w:val="15"/>
                <w:szCs w:val="15"/>
                <w:color w:val="auto"/>
              </w:rPr>
              <w:t>Property and equipment, net</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67,748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66,757</w:t>
            </w:r>
          </w:p>
        </w:tc>
        <w:tc>
          <w:tcPr>
            <w:tcW w:w="0" w:type="dxa"/>
            <w:vAlign w:val="bottom"/>
          </w:tcPr>
          <w:p>
            <w:pPr>
              <w:spacing w:after="0"/>
              <w:rPr>
                <w:sz w:val="1"/>
                <w:szCs w:val="1"/>
                <w:color w:val="auto"/>
              </w:rPr>
            </w:pPr>
          </w:p>
        </w:tc>
      </w:tr>
      <w:tr>
        <w:trPr>
          <w:trHeight w:val="76"/>
        </w:trPr>
        <w:tc>
          <w:tcPr>
            <w:tcW w:w="7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40"/>
              <w:spacing w:after="0"/>
              <w:rPr>
                <w:sz w:val="20"/>
                <w:szCs w:val="20"/>
                <w:color w:val="auto"/>
              </w:rPr>
            </w:pPr>
            <w:r>
              <w:rPr>
                <w:rFonts w:ascii="Arial" w:cs="Arial" w:eastAsia="Arial" w:hAnsi="Arial"/>
                <w:sz w:val="15"/>
                <w:szCs w:val="15"/>
                <w:color w:val="auto"/>
              </w:rPr>
              <w:t>Restricted cash</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vMerge w:val="restart"/>
          </w:tcPr>
          <w:p>
            <w:pPr>
              <w:jc w:val="right"/>
              <w:ind w:right="23"/>
              <w:spacing w:after="0"/>
              <w:rPr>
                <w:sz w:val="20"/>
                <w:szCs w:val="20"/>
                <w:color w:val="auto"/>
              </w:rPr>
            </w:pPr>
            <w:r>
              <w:rPr>
                <w:rFonts w:ascii="Arial" w:cs="Arial" w:eastAsia="Arial" w:hAnsi="Arial"/>
                <w:sz w:val="15"/>
                <w:szCs w:val="15"/>
                <w:color w:val="auto"/>
              </w:rPr>
              <w:t>3,783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vMerge w:val="restart"/>
          </w:tcPr>
          <w:p>
            <w:pPr>
              <w:jc w:val="right"/>
              <w:ind w:right="23"/>
              <w:spacing w:after="0"/>
              <w:rPr>
                <w:sz w:val="20"/>
                <w:szCs w:val="20"/>
                <w:color w:val="auto"/>
              </w:rPr>
            </w:pPr>
            <w:r>
              <w:rPr>
                <w:rFonts w:ascii="Arial" w:cs="Arial" w:eastAsia="Arial" w:hAnsi="Arial"/>
                <w:sz w:val="15"/>
                <w:szCs w:val="15"/>
                <w:color w:val="auto"/>
              </w:rPr>
              <w:t>3,808</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40"/>
              <w:spacing w:after="0"/>
              <w:rPr>
                <w:sz w:val="20"/>
                <w:szCs w:val="20"/>
                <w:color w:val="auto"/>
              </w:rPr>
            </w:pPr>
            <w:r>
              <w:rPr>
                <w:rFonts w:ascii="Arial" w:cs="Arial" w:eastAsia="Arial" w:hAnsi="Arial"/>
                <w:sz w:val="15"/>
                <w:szCs w:val="15"/>
                <w:color w:val="auto"/>
              </w:rPr>
              <w:t>Deferred taxes, net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6,518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8,585</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4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5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40"/>
              <w:spacing w:after="0"/>
              <w:rPr>
                <w:sz w:val="20"/>
                <w:szCs w:val="20"/>
                <w:color w:val="auto"/>
              </w:rPr>
            </w:pPr>
            <w:r>
              <w:rPr>
                <w:rFonts w:ascii="Arial" w:cs="Arial" w:eastAsia="Arial" w:hAnsi="Arial"/>
                <w:sz w:val="15"/>
                <w:szCs w:val="15"/>
                <w:color w:val="auto"/>
              </w:rPr>
              <w:t>Intangible assets, net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vMerge w:val="restart"/>
          </w:tcPr>
          <w:p>
            <w:pPr>
              <w:jc w:val="right"/>
              <w:ind w:right="23"/>
              <w:spacing w:after="0"/>
              <w:rPr>
                <w:sz w:val="20"/>
                <w:szCs w:val="20"/>
                <w:color w:val="auto"/>
              </w:rPr>
            </w:pPr>
            <w:r>
              <w:rPr>
                <w:rFonts w:ascii="Arial" w:cs="Arial" w:eastAsia="Arial" w:hAnsi="Arial"/>
                <w:sz w:val="15"/>
                <w:szCs w:val="15"/>
                <w:color w:val="auto"/>
              </w:rPr>
              <w:t>45,104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vMerge w:val="restart"/>
          </w:tcPr>
          <w:p>
            <w:pPr>
              <w:jc w:val="right"/>
              <w:ind w:right="23"/>
              <w:spacing w:after="0"/>
              <w:rPr>
                <w:sz w:val="20"/>
                <w:szCs w:val="20"/>
                <w:color w:val="auto"/>
              </w:rPr>
            </w:pPr>
            <w:r>
              <w:rPr>
                <w:rFonts w:ascii="Arial" w:cs="Arial" w:eastAsia="Arial" w:hAnsi="Arial"/>
                <w:sz w:val="15"/>
                <w:szCs w:val="15"/>
                <w:color w:val="auto"/>
              </w:rPr>
              <w:t>48,958</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40"/>
              <w:spacing w:after="0"/>
              <w:rPr>
                <w:sz w:val="20"/>
                <w:szCs w:val="20"/>
                <w:color w:val="auto"/>
              </w:rPr>
            </w:pPr>
            <w:r>
              <w:rPr>
                <w:rFonts w:ascii="Arial" w:cs="Arial" w:eastAsia="Arial" w:hAnsi="Arial"/>
                <w:sz w:val="15"/>
                <w:szCs w:val="15"/>
                <w:color w:val="auto"/>
              </w:rPr>
              <w:t>Goodwill</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202,337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204,481</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4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5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40"/>
              <w:spacing w:after="0"/>
              <w:rPr>
                <w:sz w:val="20"/>
                <w:szCs w:val="20"/>
                <w:color w:val="auto"/>
              </w:rPr>
            </w:pPr>
            <w:r>
              <w:rPr>
                <w:rFonts w:ascii="Arial" w:cs="Arial" w:eastAsia="Arial" w:hAnsi="Arial"/>
                <w:sz w:val="15"/>
                <w:szCs w:val="15"/>
                <w:color w:val="auto"/>
              </w:rPr>
              <w:t>Other assets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vMerge w:val="restart"/>
          </w:tcPr>
          <w:p>
            <w:pPr>
              <w:jc w:val="right"/>
              <w:ind w:right="23"/>
              <w:spacing w:after="0"/>
              <w:rPr>
                <w:sz w:val="20"/>
                <w:szCs w:val="20"/>
                <w:color w:val="auto"/>
              </w:rPr>
            </w:pPr>
            <w:r>
              <w:rPr>
                <w:rFonts w:ascii="Arial" w:cs="Arial" w:eastAsia="Arial" w:hAnsi="Arial"/>
                <w:sz w:val="15"/>
                <w:szCs w:val="15"/>
                <w:color w:val="auto"/>
              </w:rPr>
              <w:t>33,863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vMerge w:val="restart"/>
          </w:tcPr>
          <w:p>
            <w:pPr>
              <w:jc w:val="right"/>
              <w:ind w:right="23"/>
              <w:spacing w:after="0"/>
              <w:rPr>
                <w:sz w:val="20"/>
                <w:szCs w:val="20"/>
                <w:color w:val="auto"/>
              </w:rPr>
            </w:pPr>
            <w:r>
              <w:rPr>
                <w:rFonts w:ascii="Arial" w:cs="Arial" w:eastAsia="Arial" w:hAnsi="Arial"/>
                <w:sz w:val="15"/>
                <w:szCs w:val="15"/>
                <w:color w:val="auto"/>
              </w:rPr>
              <w:t>36,369</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40"/>
              <w:spacing w:after="0"/>
              <w:rPr>
                <w:sz w:val="20"/>
                <w:szCs w:val="20"/>
                <w:color w:val="auto"/>
              </w:rPr>
            </w:pPr>
            <w:r>
              <w:rPr>
                <w:rFonts w:ascii="Arial" w:cs="Arial" w:eastAsia="Arial" w:hAnsi="Arial"/>
                <w:sz w:val="15"/>
                <w:szCs w:val="15"/>
                <w:color w:val="auto"/>
              </w:rPr>
              <w:t>Investment in equity affiliate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2,944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3,000</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200" w:type="dxa"/>
            <w:vAlign w:val="bottom"/>
            <w:tcBorders>
              <w:bottom w:val="single" w:sz="8" w:color="auto"/>
            </w:tcBorders>
            <w:shd w:val="clear" w:color="auto" w:fill="CCEEFF"/>
          </w:tcPr>
          <w:p>
            <w:pPr>
              <w:spacing w:after="0"/>
              <w:rPr>
                <w:sz w:val="5"/>
                <w:szCs w:val="5"/>
                <w:color w:val="auto"/>
              </w:rPr>
            </w:pPr>
          </w:p>
        </w:tc>
        <w:tc>
          <w:tcPr>
            <w:tcW w:w="14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5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7900" w:type="dxa"/>
            <w:vAlign w:val="bottom"/>
          </w:tcPr>
          <w:p>
            <w:pPr>
              <w:ind w:left="40"/>
              <w:spacing w:after="0"/>
              <w:rPr>
                <w:sz w:val="20"/>
                <w:szCs w:val="20"/>
                <w:color w:val="auto"/>
              </w:rPr>
            </w:pPr>
            <w:r>
              <w:rPr>
                <w:rFonts w:ascii="Arial" w:cs="Arial" w:eastAsia="Arial" w:hAnsi="Arial"/>
                <w:sz w:val="15"/>
                <w:szCs w:val="15"/>
                <w:b w:val="1"/>
                <w:bCs w:val="1"/>
                <w:color w:val="auto"/>
              </w:rPr>
              <w:t>Total assets</w:t>
            </w:r>
          </w:p>
        </w:tc>
        <w:tc>
          <w:tcPr>
            <w:tcW w:w="320" w:type="dxa"/>
            <w:vAlign w:val="bottom"/>
            <w:gridSpan w:val="2"/>
            <w:vMerge w:val="restart"/>
          </w:tcPr>
          <w:p>
            <w:pPr>
              <w:jc w:val="right"/>
              <w:ind w:right="100"/>
              <w:spacing w:after="0"/>
              <w:rPr>
                <w:sz w:val="20"/>
                <w:szCs w:val="20"/>
                <w:color w:val="auto"/>
              </w:rPr>
            </w:pPr>
            <w:r>
              <w:rPr>
                <w:rFonts w:ascii="Arial" w:cs="Arial" w:eastAsia="Arial" w:hAnsi="Arial"/>
                <w:sz w:val="15"/>
                <w:szCs w:val="15"/>
                <w:b w:val="1"/>
                <w:bCs w:val="1"/>
                <w:color w:val="auto"/>
              </w:rPr>
              <w:t>$</w:t>
            </w:r>
          </w:p>
        </w:tc>
        <w:tc>
          <w:tcPr>
            <w:tcW w:w="1400" w:type="dxa"/>
            <w:vAlign w:val="bottom"/>
            <w:vMerge w:val="restart"/>
          </w:tcPr>
          <w:p>
            <w:pPr>
              <w:jc w:val="right"/>
              <w:ind w:right="23"/>
              <w:spacing w:after="0"/>
              <w:rPr>
                <w:sz w:val="20"/>
                <w:szCs w:val="20"/>
                <w:color w:val="auto"/>
              </w:rPr>
            </w:pPr>
            <w:r>
              <w:rPr>
                <w:rFonts w:ascii="Arial" w:cs="Arial" w:eastAsia="Arial" w:hAnsi="Arial"/>
                <w:sz w:val="15"/>
                <w:szCs w:val="15"/>
                <w:b w:val="1"/>
                <w:bCs w:val="1"/>
                <w:color w:val="auto"/>
              </w:rPr>
              <w:t>798,270</w:t>
            </w:r>
          </w:p>
        </w:tc>
        <w:tc>
          <w:tcPr>
            <w:tcW w:w="120" w:type="dxa"/>
            <w:vAlign w:val="bottom"/>
          </w:tcPr>
          <w:p>
            <w:pPr>
              <w:spacing w:after="0"/>
              <w:rPr>
                <w:sz w:val="16"/>
                <w:szCs w:val="16"/>
                <w:color w:val="auto"/>
              </w:rPr>
            </w:pPr>
          </w:p>
        </w:tc>
        <w:tc>
          <w:tcPr>
            <w:tcW w:w="180" w:type="dxa"/>
            <w:vAlign w:val="bottom"/>
            <w:vMerge w:val="restart"/>
          </w:tcPr>
          <w:p>
            <w:pPr>
              <w:jc w:val="right"/>
              <w:ind w:right="3"/>
              <w:spacing w:after="0"/>
              <w:rPr>
                <w:sz w:val="20"/>
                <w:szCs w:val="20"/>
                <w:color w:val="auto"/>
              </w:rPr>
            </w:pPr>
            <w:r>
              <w:rPr>
                <w:rFonts w:ascii="Arial" w:cs="Arial" w:eastAsia="Arial" w:hAnsi="Arial"/>
                <w:sz w:val="15"/>
                <w:szCs w:val="15"/>
                <w:b w:val="1"/>
                <w:bCs w:val="1"/>
                <w:color w:val="auto"/>
                <w:w w:val="95"/>
              </w:rPr>
              <w:t>$</w:t>
            </w:r>
          </w:p>
        </w:tc>
        <w:tc>
          <w:tcPr>
            <w:tcW w:w="1500" w:type="dxa"/>
            <w:vAlign w:val="bottom"/>
            <w:vMerge w:val="restart"/>
          </w:tcPr>
          <w:p>
            <w:pPr>
              <w:jc w:val="right"/>
              <w:ind w:right="23"/>
              <w:spacing w:after="0"/>
              <w:rPr>
                <w:sz w:val="20"/>
                <w:szCs w:val="20"/>
                <w:color w:val="auto"/>
              </w:rPr>
            </w:pPr>
            <w:r>
              <w:rPr>
                <w:rFonts w:ascii="Arial" w:cs="Arial" w:eastAsia="Arial" w:hAnsi="Arial"/>
                <w:sz w:val="15"/>
                <w:szCs w:val="15"/>
                <w:b w:val="1"/>
                <w:bCs w:val="1"/>
                <w:color w:val="auto"/>
              </w:rPr>
              <w:t>824,775</w:t>
            </w:r>
          </w:p>
        </w:tc>
        <w:tc>
          <w:tcPr>
            <w:tcW w:w="0" w:type="dxa"/>
            <w:vAlign w:val="bottom"/>
          </w:tcPr>
          <w:p>
            <w:pPr>
              <w:spacing w:after="0"/>
              <w:rPr>
                <w:sz w:val="1"/>
                <w:szCs w:val="1"/>
                <w:color w:val="auto"/>
              </w:rPr>
            </w:pPr>
          </w:p>
        </w:tc>
      </w:tr>
      <w:tr>
        <w:trPr>
          <w:trHeight w:val="112"/>
        </w:trPr>
        <w:tc>
          <w:tcPr>
            <w:tcW w:w="7900" w:type="dxa"/>
            <w:vAlign w:val="bottom"/>
            <w:tcBorders>
              <w:bottom w:val="single" w:sz="8" w:color="CCEEFF"/>
            </w:tcBorders>
          </w:tcPr>
          <w:p>
            <w:pPr>
              <w:spacing w:after="0"/>
              <w:rPr>
                <w:sz w:val="9"/>
                <w:szCs w:val="9"/>
                <w:color w:val="auto"/>
              </w:rPr>
            </w:pPr>
          </w:p>
        </w:tc>
        <w:tc>
          <w:tcPr>
            <w:tcW w:w="320" w:type="dxa"/>
            <w:vAlign w:val="bottom"/>
            <w:tcBorders>
              <w:bottom w:val="single" w:sz="8" w:color="auto"/>
            </w:tcBorders>
            <w:gridSpan w:val="2"/>
            <w:vMerge w:val="continue"/>
          </w:tcPr>
          <w:p>
            <w:pPr>
              <w:spacing w:after="0"/>
              <w:rPr>
                <w:sz w:val="9"/>
                <w:szCs w:val="9"/>
                <w:color w:val="auto"/>
              </w:rPr>
            </w:pPr>
          </w:p>
        </w:tc>
        <w:tc>
          <w:tcPr>
            <w:tcW w:w="1400" w:type="dxa"/>
            <w:vAlign w:val="bottom"/>
            <w:tcBorders>
              <w:bottom w:val="single" w:sz="8" w:color="auto"/>
            </w:tcBorders>
            <w:vMerge w:val="continue"/>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vMerge w:val="continue"/>
          </w:tcPr>
          <w:p>
            <w:pPr>
              <w:spacing w:after="0"/>
              <w:rPr>
                <w:sz w:val="9"/>
                <w:szCs w:val="9"/>
                <w:color w:val="auto"/>
              </w:rPr>
            </w:pPr>
          </w:p>
        </w:tc>
        <w:tc>
          <w:tcPr>
            <w:tcW w:w="150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7900" w:type="dxa"/>
            <w:vAlign w:val="bottom"/>
            <w:shd w:val="clear" w:color="auto" w:fill="CCEEFF"/>
          </w:tcPr>
          <w:p>
            <w:pPr>
              <w:ind w:left="40"/>
              <w:spacing w:after="0" w:line="166" w:lineRule="exact"/>
              <w:rPr>
                <w:sz w:val="20"/>
                <w:szCs w:val="20"/>
                <w:color w:val="auto"/>
              </w:rPr>
            </w:pPr>
            <w:r>
              <w:rPr>
                <w:rFonts w:ascii="Arial" w:cs="Arial" w:eastAsia="Arial" w:hAnsi="Arial"/>
                <w:sz w:val="15"/>
                <w:szCs w:val="15"/>
                <w:b w:val="1"/>
                <w:bCs w:val="1"/>
                <w:color w:val="auto"/>
              </w:rPr>
              <w:t>Liabilities and Equity</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79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5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40"/>
              <w:spacing w:after="0"/>
              <w:rPr>
                <w:sz w:val="20"/>
                <w:szCs w:val="20"/>
                <w:color w:val="auto"/>
              </w:rPr>
            </w:pPr>
            <w:r>
              <w:rPr>
                <w:rFonts w:ascii="Arial" w:cs="Arial" w:eastAsia="Arial" w:hAnsi="Arial"/>
                <w:sz w:val="15"/>
                <w:szCs w:val="15"/>
                <w:b w:val="1"/>
                <w:bCs w:val="1"/>
                <w:color w:val="auto"/>
              </w:rPr>
              <w:t>Current liabilities: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Accounts payable</w:t>
            </w:r>
          </w:p>
        </w:tc>
        <w:tc>
          <w:tcPr>
            <w:tcW w:w="3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4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4,114</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5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5,918</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320" w:type="dxa"/>
            <w:vAlign w:val="bottom"/>
            <w:gridSpan w:val="2"/>
            <w:vMerge w:val="continue"/>
            <w:shd w:val="clear" w:color="auto" w:fill="CCEEFF"/>
          </w:tcPr>
          <w:p>
            <w:pPr>
              <w:spacing w:after="0"/>
              <w:rPr>
                <w:sz w:val="5"/>
                <w:szCs w:val="5"/>
                <w:color w:val="auto"/>
              </w:rPr>
            </w:pPr>
          </w:p>
        </w:tc>
        <w:tc>
          <w:tcPr>
            <w:tcW w:w="14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15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380"/>
              <w:spacing w:after="0"/>
              <w:rPr>
                <w:sz w:val="20"/>
                <w:szCs w:val="20"/>
                <w:color w:val="auto"/>
              </w:rPr>
            </w:pPr>
            <w:r>
              <w:rPr>
                <w:rFonts w:ascii="Arial" w:cs="Arial" w:eastAsia="Arial" w:hAnsi="Arial"/>
                <w:sz w:val="15"/>
                <w:szCs w:val="15"/>
                <w:color w:val="auto"/>
              </w:rPr>
              <w:t>Current portion of long-term borrowings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vMerge w:val="restart"/>
          </w:tcPr>
          <w:p>
            <w:pPr>
              <w:jc w:val="right"/>
              <w:ind w:right="23"/>
              <w:spacing w:after="0"/>
              <w:rPr>
                <w:sz w:val="20"/>
                <w:szCs w:val="20"/>
                <w:color w:val="auto"/>
              </w:rPr>
            </w:pPr>
            <w:r>
              <w:rPr>
                <w:rFonts w:ascii="Arial" w:cs="Arial" w:eastAsia="Arial" w:hAnsi="Arial"/>
                <w:sz w:val="15"/>
                <w:szCs w:val="15"/>
                <w:color w:val="auto"/>
              </w:rPr>
              <w:t>318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vMerge w:val="restart"/>
          </w:tcPr>
          <w:p>
            <w:pPr>
              <w:jc w:val="right"/>
              <w:ind w:right="23"/>
              <w:spacing w:after="0"/>
              <w:rPr>
                <w:sz w:val="20"/>
                <w:szCs w:val="20"/>
                <w:color w:val="auto"/>
              </w:rPr>
            </w:pPr>
            <w:r>
              <w:rPr>
                <w:rFonts w:ascii="Arial" w:cs="Arial" w:eastAsia="Arial" w:hAnsi="Arial"/>
                <w:sz w:val="15"/>
                <w:szCs w:val="15"/>
                <w:color w:val="auto"/>
              </w:rPr>
              <w:t>10,318</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Deferred revenue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11,504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10,716</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4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5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380"/>
              <w:spacing w:after="0"/>
              <w:rPr>
                <w:sz w:val="20"/>
                <w:szCs w:val="20"/>
                <w:color w:val="auto"/>
              </w:rPr>
            </w:pPr>
            <w:r>
              <w:rPr>
                <w:rFonts w:ascii="Arial" w:cs="Arial" w:eastAsia="Arial" w:hAnsi="Arial"/>
                <w:sz w:val="15"/>
                <w:szCs w:val="15"/>
                <w:color w:val="auto"/>
              </w:rPr>
              <w:t>Accrued employee costs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vMerge w:val="restart"/>
          </w:tcPr>
          <w:p>
            <w:pPr>
              <w:jc w:val="right"/>
              <w:ind w:right="23"/>
              <w:spacing w:after="0"/>
              <w:rPr>
                <w:sz w:val="20"/>
                <w:szCs w:val="20"/>
                <w:color w:val="auto"/>
              </w:rPr>
            </w:pPr>
            <w:r>
              <w:rPr>
                <w:rFonts w:ascii="Arial" w:cs="Arial" w:eastAsia="Arial" w:hAnsi="Arial"/>
                <w:sz w:val="15"/>
                <w:szCs w:val="15"/>
                <w:color w:val="auto"/>
              </w:rPr>
              <w:t>27,615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vMerge w:val="restart"/>
          </w:tcPr>
          <w:p>
            <w:pPr>
              <w:jc w:val="right"/>
              <w:ind w:right="23"/>
              <w:spacing w:after="0"/>
              <w:rPr>
                <w:sz w:val="20"/>
                <w:szCs w:val="20"/>
                <w:color w:val="auto"/>
              </w:rPr>
            </w:pPr>
            <w:r>
              <w:rPr>
                <w:rFonts w:ascii="Arial" w:cs="Arial" w:eastAsia="Arial" w:hAnsi="Arial"/>
                <w:sz w:val="15"/>
                <w:szCs w:val="15"/>
                <w:color w:val="auto"/>
              </w:rPr>
              <w:t>55,664</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Accrued expenses and other current liabilities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61,148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61,366</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4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5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380"/>
              <w:spacing w:after="0"/>
              <w:rPr>
                <w:sz w:val="20"/>
                <w:szCs w:val="20"/>
                <w:color w:val="auto"/>
              </w:rPr>
            </w:pPr>
            <w:r>
              <w:rPr>
                <w:rFonts w:ascii="Arial" w:cs="Arial" w:eastAsia="Arial" w:hAnsi="Arial"/>
                <w:sz w:val="15"/>
                <w:szCs w:val="15"/>
                <w:color w:val="auto"/>
              </w:rPr>
              <w:t>Current portion of capital lease obligations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vMerge w:val="restart"/>
          </w:tcPr>
          <w:p>
            <w:pPr>
              <w:jc w:val="right"/>
              <w:ind w:right="23"/>
              <w:spacing w:after="0"/>
              <w:rPr>
                <w:sz w:val="20"/>
                <w:szCs w:val="20"/>
                <w:color w:val="auto"/>
              </w:rPr>
            </w:pPr>
            <w:r>
              <w:rPr>
                <w:rFonts w:ascii="Arial" w:cs="Arial" w:eastAsia="Arial" w:hAnsi="Arial"/>
                <w:sz w:val="15"/>
                <w:szCs w:val="15"/>
                <w:color w:val="auto"/>
              </w:rPr>
              <w:t>246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vMerge w:val="restart"/>
          </w:tcPr>
          <w:p>
            <w:pPr>
              <w:jc w:val="right"/>
              <w:ind w:right="23"/>
              <w:spacing w:after="0"/>
              <w:rPr>
                <w:sz w:val="20"/>
                <w:szCs w:val="20"/>
                <w:color w:val="auto"/>
              </w:rPr>
            </w:pPr>
            <w:r>
              <w:rPr>
                <w:rFonts w:ascii="Arial" w:cs="Arial" w:eastAsia="Arial" w:hAnsi="Arial"/>
                <w:sz w:val="15"/>
                <w:szCs w:val="15"/>
                <w:color w:val="auto"/>
              </w:rPr>
              <w:t>267</w:t>
            </w:r>
          </w:p>
        </w:tc>
        <w:tc>
          <w:tcPr>
            <w:tcW w:w="0" w:type="dxa"/>
            <w:vAlign w:val="bottom"/>
          </w:tcPr>
          <w:p>
            <w:pPr>
              <w:spacing w:after="0"/>
              <w:rPr>
                <w:sz w:val="1"/>
                <w:szCs w:val="1"/>
                <w:color w:val="auto"/>
              </w:rPr>
            </w:pPr>
          </w:p>
        </w:tc>
      </w:tr>
      <w:tr>
        <w:trPr>
          <w:trHeight w:val="58"/>
        </w:trPr>
        <w:tc>
          <w:tcPr>
            <w:tcW w:w="79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90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Total current liabilities</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104,945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144,249</w:t>
            </w:r>
          </w:p>
        </w:tc>
        <w:tc>
          <w:tcPr>
            <w:tcW w:w="0" w:type="dxa"/>
            <w:vAlign w:val="bottom"/>
          </w:tcPr>
          <w:p>
            <w:pPr>
              <w:spacing w:after="0"/>
              <w:rPr>
                <w:sz w:val="1"/>
                <w:szCs w:val="1"/>
                <w:color w:val="auto"/>
              </w:rPr>
            </w:pPr>
          </w:p>
        </w:tc>
      </w:tr>
      <w:tr>
        <w:trPr>
          <w:trHeight w:val="76"/>
        </w:trPr>
        <w:tc>
          <w:tcPr>
            <w:tcW w:w="79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4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5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7900" w:type="dxa"/>
            <w:vAlign w:val="bottom"/>
          </w:tcPr>
          <w:p>
            <w:pPr>
              <w:ind w:left="40"/>
              <w:spacing w:after="0"/>
              <w:rPr>
                <w:sz w:val="20"/>
                <w:szCs w:val="20"/>
                <w:color w:val="auto"/>
              </w:rPr>
            </w:pPr>
            <w:r>
              <w:rPr>
                <w:rFonts w:ascii="Arial" w:cs="Arial" w:eastAsia="Arial" w:hAnsi="Arial"/>
                <w:sz w:val="15"/>
                <w:szCs w:val="15"/>
                <w:color w:val="auto"/>
              </w:rPr>
              <w:t>Long term borrowings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vMerge w:val="restart"/>
          </w:tcPr>
          <w:p>
            <w:pPr>
              <w:jc w:val="right"/>
              <w:ind w:right="23"/>
              <w:spacing w:after="0"/>
              <w:rPr>
                <w:sz w:val="20"/>
                <w:szCs w:val="20"/>
                <w:color w:val="auto"/>
              </w:rPr>
            </w:pPr>
            <w:r>
              <w:rPr>
                <w:rFonts w:ascii="Arial" w:cs="Arial" w:eastAsia="Arial" w:hAnsi="Arial"/>
                <w:sz w:val="15"/>
                <w:szCs w:val="15"/>
                <w:color w:val="auto"/>
              </w:rPr>
              <w:t>67,355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restart"/>
          </w:tcPr>
          <w:p>
            <w:pPr>
              <w:jc w:val="right"/>
              <w:ind w:right="23"/>
              <w:spacing w:after="0"/>
              <w:rPr>
                <w:sz w:val="20"/>
                <w:szCs w:val="20"/>
                <w:color w:val="auto"/>
              </w:rPr>
            </w:pPr>
            <w:r>
              <w:rPr>
                <w:rFonts w:ascii="Arial" w:cs="Arial" w:eastAsia="Arial" w:hAnsi="Arial"/>
                <w:sz w:val="15"/>
                <w:szCs w:val="15"/>
                <w:color w:val="auto"/>
              </w:rPr>
              <w:t>50,391</w:t>
            </w:r>
          </w:p>
        </w:tc>
        <w:tc>
          <w:tcPr>
            <w:tcW w:w="0" w:type="dxa"/>
            <w:vAlign w:val="bottom"/>
          </w:tcPr>
          <w:p>
            <w:pPr>
              <w:spacing w:after="0"/>
              <w:rPr>
                <w:sz w:val="1"/>
                <w:szCs w:val="1"/>
                <w:color w:val="auto"/>
              </w:rPr>
            </w:pPr>
          </w:p>
        </w:tc>
      </w:tr>
      <w:tr>
        <w:trPr>
          <w:trHeight w:val="72"/>
        </w:trPr>
        <w:tc>
          <w:tcPr>
            <w:tcW w:w="7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40"/>
              <w:spacing w:after="0"/>
              <w:rPr>
                <w:sz w:val="20"/>
                <w:szCs w:val="20"/>
                <w:color w:val="auto"/>
              </w:rPr>
            </w:pPr>
            <w:r>
              <w:rPr>
                <w:rFonts w:ascii="Arial" w:cs="Arial" w:eastAsia="Arial" w:hAnsi="Arial"/>
                <w:sz w:val="15"/>
                <w:szCs w:val="15"/>
                <w:color w:val="auto"/>
              </w:rPr>
              <w:t>Capital lease obligations, less current portion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282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331</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4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5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40"/>
              <w:spacing w:after="0"/>
              <w:rPr>
                <w:sz w:val="20"/>
                <w:szCs w:val="20"/>
                <w:color w:val="auto"/>
              </w:rPr>
            </w:pPr>
            <w:r>
              <w:rPr>
                <w:rFonts w:ascii="Arial" w:cs="Arial" w:eastAsia="Arial" w:hAnsi="Arial"/>
                <w:sz w:val="15"/>
                <w:szCs w:val="15"/>
                <w:color w:val="auto"/>
              </w:rPr>
              <w:t>Income taxes payable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vMerge w:val="restart"/>
          </w:tcPr>
          <w:p>
            <w:pPr>
              <w:jc w:val="right"/>
              <w:ind w:right="23"/>
              <w:spacing w:after="0"/>
              <w:rPr>
                <w:sz w:val="20"/>
                <w:szCs w:val="20"/>
                <w:color w:val="auto"/>
              </w:rPr>
            </w:pPr>
            <w:r>
              <w:rPr>
                <w:rFonts w:ascii="Arial" w:cs="Arial" w:eastAsia="Arial" w:hAnsi="Arial"/>
                <w:sz w:val="15"/>
                <w:szCs w:val="15"/>
                <w:color w:val="auto"/>
              </w:rPr>
              <w:t>8,721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vMerge w:val="restart"/>
          </w:tcPr>
          <w:p>
            <w:pPr>
              <w:jc w:val="right"/>
              <w:ind w:right="23"/>
              <w:spacing w:after="0"/>
              <w:rPr>
                <w:sz w:val="20"/>
                <w:szCs w:val="20"/>
                <w:color w:val="auto"/>
              </w:rPr>
            </w:pPr>
            <w:r>
              <w:rPr>
                <w:rFonts w:ascii="Arial" w:cs="Arial" w:eastAsia="Arial" w:hAnsi="Arial"/>
                <w:sz w:val="15"/>
                <w:szCs w:val="15"/>
                <w:color w:val="auto"/>
              </w:rPr>
              <w:t>13,557</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40"/>
              <w:spacing w:after="0"/>
              <w:rPr>
                <w:sz w:val="20"/>
                <w:szCs w:val="20"/>
                <w:color w:val="auto"/>
              </w:rPr>
            </w:pPr>
            <w:r>
              <w:rPr>
                <w:rFonts w:ascii="Arial" w:cs="Arial" w:eastAsia="Arial" w:hAnsi="Arial"/>
                <w:sz w:val="15"/>
                <w:szCs w:val="15"/>
                <w:color w:val="auto"/>
              </w:rPr>
              <w:t>Other non-current liabilities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15,262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16,202</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200" w:type="dxa"/>
            <w:vAlign w:val="bottom"/>
            <w:tcBorders>
              <w:bottom w:val="single" w:sz="8" w:color="auto"/>
            </w:tcBorders>
            <w:shd w:val="clear" w:color="auto" w:fill="CCEEFF"/>
          </w:tcPr>
          <w:p>
            <w:pPr>
              <w:spacing w:after="0"/>
              <w:rPr>
                <w:sz w:val="5"/>
                <w:szCs w:val="5"/>
                <w:color w:val="auto"/>
              </w:rPr>
            </w:pPr>
          </w:p>
        </w:tc>
        <w:tc>
          <w:tcPr>
            <w:tcW w:w="14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5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7900" w:type="dxa"/>
            <w:vAlign w:val="bottom"/>
          </w:tcPr>
          <w:p>
            <w:pPr>
              <w:ind w:left="40"/>
              <w:spacing w:after="0"/>
              <w:rPr>
                <w:sz w:val="20"/>
                <w:szCs w:val="20"/>
                <w:color w:val="auto"/>
              </w:rPr>
            </w:pPr>
            <w:r>
              <w:rPr>
                <w:rFonts w:ascii="Arial" w:cs="Arial" w:eastAsia="Arial" w:hAnsi="Arial"/>
                <w:sz w:val="15"/>
                <w:szCs w:val="15"/>
                <w:b w:val="1"/>
                <w:bCs w:val="1"/>
                <w:color w:val="auto"/>
              </w:rPr>
              <w:t>Total liabilities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vMerge w:val="restart"/>
          </w:tcPr>
          <w:p>
            <w:pPr>
              <w:jc w:val="right"/>
              <w:ind w:right="23"/>
              <w:spacing w:after="0"/>
              <w:rPr>
                <w:sz w:val="20"/>
                <w:szCs w:val="20"/>
                <w:color w:val="auto"/>
              </w:rPr>
            </w:pPr>
            <w:r>
              <w:rPr>
                <w:rFonts w:ascii="Arial" w:cs="Arial" w:eastAsia="Arial" w:hAnsi="Arial"/>
                <w:sz w:val="15"/>
                <w:szCs w:val="15"/>
                <w:b w:val="1"/>
                <w:bCs w:val="1"/>
                <w:color w:val="auto"/>
              </w:rPr>
              <w:t>196,565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restart"/>
          </w:tcPr>
          <w:p>
            <w:pPr>
              <w:jc w:val="right"/>
              <w:ind w:right="23"/>
              <w:spacing w:after="0"/>
              <w:rPr>
                <w:sz w:val="20"/>
                <w:szCs w:val="20"/>
                <w:color w:val="auto"/>
              </w:rPr>
            </w:pPr>
            <w:r>
              <w:rPr>
                <w:rFonts w:ascii="Arial" w:cs="Arial" w:eastAsia="Arial" w:hAnsi="Arial"/>
                <w:sz w:val="15"/>
                <w:szCs w:val="15"/>
                <w:b w:val="1"/>
                <w:bCs w:val="1"/>
                <w:color w:val="auto"/>
              </w:rPr>
              <w:t>224,730</w:t>
            </w:r>
          </w:p>
        </w:tc>
        <w:tc>
          <w:tcPr>
            <w:tcW w:w="0" w:type="dxa"/>
            <w:vAlign w:val="bottom"/>
          </w:tcPr>
          <w:p>
            <w:pPr>
              <w:spacing w:after="0"/>
              <w:rPr>
                <w:sz w:val="1"/>
                <w:szCs w:val="1"/>
                <w:color w:val="auto"/>
              </w:rPr>
            </w:pPr>
          </w:p>
        </w:tc>
      </w:tr>
      <w:tr>
        <w:trPr>
          <w:trHeight w:val="72"/>
        </w:trPr>
        <w:tc>
          <w:tcPr>
            <w:tcW w:w="79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790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Commitments and contingencies</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7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40"/>
              <w:spacing w:after="0"/>
              <w:rPr>
                <w:sz w:val="20"/>
                <w:szCs w:val="20"/>
                <w:color w:val="auto"/>
              </w:rPr>
            </w:pPr>
            <w:r>
              <w:rPr>
                <w:rFonts w:ascii="Arial" w:cs="Arial" w:eastAsia="Arial" w:hAnsi="Arial"/>
                <w:sz w:val="15"/>
                <w:szCs w:val="15"/>
                <w:color w:val="auto"/>
              </w:rPr>
              <w:t>Preferred stock, $0.001 par value; 15,000,000 shares authorized, none issued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500" w:type="dxa"/>
            <w:vAlign w:val="bottom"/>
            <w:vMerge w:val="restart"/>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ExlService Holdings, Inc. Stockholders’ equity:</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5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7900" w:type="dxa"/>
            <w:vAlign w:val="bottom"/>
          </w:tcPr>
          <w:p>
            <w:pPr>
              <w:ind w:left="380"/>
              <w:spacing w:after="0"/>
              <w:rPr>
                <w:sz w:val="20"/>
                <w:szCs w:val="20"/>
                <w:color w:val="auto"/>
              </w:rPr>
            </w:pPr>
            <w:r>
              <w:rPr>
                <w:rFonts w:ascii="Arial" w:cs="Arial" w:eastAsia="Arial" w:hAnsi="Arial"/>
                <w:sz w:val="15"/>
                <w:szCs w:val="15"/>
                <w:color w:val="auto"/>
                <w:w w:val="97"/>
              </w:rPr>
              <w:t>Common stock, $0.001 par value; 100,000,000 shares authorized, 37,568,973 shares issued and 34,442,962 shares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900" w:type="dxa"/>
            <w:vAlign w:val="bottom"/>
          </w:tcPr>
          <w:p>
            <w:pPr>
              <w:ind w:left="380"/>
              <w:spacing w:after="0" w:line="162" w:lineRule="exact"/>
              <w:rPr>
                <w:sz w:val="20"/>
                <w:szCs w:val="20"/>
                <w:color w:val="auto"/>
              </w:rPr>
            </w:pPr>
            <w:r>
              <w:rPr>
                <w:rFonts w:ascii="Arial" w:cs="Arial" w:eastAsia="Arial" w:hAnsi="Arial"/>
                <w:sz w:val="15"/>
                <w:szCs w:val="15"/>
                <w:color w:val="auto"/>
                <w:w w:val="93"/>
              </w:rPr>
              <w:t>outstanding as of March 31, 2018 and 36,790,751 shares issued and 33,888,733 shares outstanding as of December 31,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7900" w:type="dxa"/>
            <w:vAlign w:val="bottom"/>
          </w:tcPr>
          <w:p>
            <w:pPr>
              <w:ind w:left="380"/>
              <w:spacing w:after="0"/>
              <w:rPr>
                <w:sz w:val="20"/>
                <w:szCs w:val="20"/>
                <w:color w:val="auto"/>
              </w:rPr>
            </w:pPr>
            <w:r>
              <w:rPr>
                <w:rFonts w:ascii="Arial" w:cs="Arial" w:eastAsia="Arial" w:hAnsi="Arial"/>
                <w:sz w:val="15"/>
                <w:szCs w:val="15"/>
                <w:color w:val="auto"/>
              </w:rPr>
              <w:t>2017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ind w:right="23"/>
              <w:spacing w:after="0"/>
              <w:rPr>
                <w:sz w:val="20"/>
                <w:szCs w:val="20"/>
                <w:color w:val="auto"/>
              </w:rPr>
            </w:pPr>
            <w:r>
              <w:rPr>
                <w:rFonts w:ascii="Arial" w:cs="Arial" w:eastAsia="Arial" w:hAnsi="Arial"/>
                <w:sz w:val="15"/>
                <w:szCs w:val="15"/>
                <w:color w:val="auto"/>
              </w:rPr>
              <w:t>38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ind w:right="23"/>
              <w:spacing w:after="0"/>
              <w:rPr>
                <w:sz w:val="20"/>
                <w:szCs w:val="20"/>
                <w:color w:val="auto"/>
              </w:rPr>
            </w:pPr>
            <w:r>
              <w:rPr>
                <w:rFonts w:ascii="Arial" w:cs="Arial" w:eastAsia="Arial" w:hAnsi="Arial"/>
                <w:sz w:val="15"/>
                <w:szCs w:val="15"/>
                <w:color w:val="auto"/>
              </w:rPr>
              <w:t>37</w:t>
            </w: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Additional paid-in capital</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327,750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322,246</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4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5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380"/>
              <w:spacing w:after="0"/>
              <w:rPr>
                <w:sz w:val="20"/>
                <w:szCs w:val="20"/>
                <w:color w:val="auto"/>
              </w:rPr>
            </w:pPr>
            <w:r>
              <w:rPr>
                <w:rFonts w:ascii="Arial" w:cs="Arial" w:eastAsia="Arial" w:hAnsi="Arial"/>
                <w:sz w:val="15"/>
                <w:szCs w:val="15"/>
                <w:color w:val="auto"/>
              </w:rPr>
              <w:t>Retained earnings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vMerge w:val="restart"/>
          </w:tcPr>
          <w:p>
            <w:pPr>
              <w:jc w:val="right"/>
              <w:ind w:right="23"/>
              <w:spacing w:after="0"/>
              <w:rPr>
                <w:sz w:val="20"/>
                <w:szCs w:val="20"/>
                <w:color w:val="auto"/>
              </w:rPr>
            </w:pPr>
            <w:r>
              <w:rPr>
                <w:rFonts w:ascii="Arial" w:cs="Arial" w:eastAsia="Arial" w:hAnsi="Arial"/>
                <w:sz w:val="15"/>
                <w:szCs w:val="15"/>
                <w:color w:val="auto"/>
              </w:rPr>
              <w:t>450,676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vMerge w:val="restart"/>
          </w:tcPr>
          <w:p>
            <w:pPr>
              <w:jc w:val="right"/>
              <w:ind w:right="23"/>
              <w:spacing w:after="0"/>
              <w:rPr>
                <w:sz w:val="20"/>
                <w:szCs w:val="20"/>
                <w:color w:val="auto"/>
              </w:rPr>
            </w:pPr>
            <w:r>
              <w:rPr>
                <w:rFonts w:ascii="Arial" w:cs="Arial" w:eastAsia="Arial" w:hAnsi="Arial"/>
                <w:sz w:val="15"/>
                <w:szCs w:val="15"/>
                <w:color w:val="auto"/>
              </w:rPr>
              <w:t>427,064</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Accumulated other comprehensive loss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(59,670)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(45,710)</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200" w:type="dxa"/>
            <w:vAlign w:val="bottom"/>
            <w:tcBorders>
              <w:bottom w:val="single" w:sz="8" w:color="auto"/>
            </w:tcBorders>
            <w:shd w:val="clear" w:color="auto" w:fill="CCEEFF"/>
          </w:tcPr>
          <w:p>
            <w:pPr>
              <w:spacing w:after="0"/>
              <w:rPr>
                <w:sz w:val="5"/>
                <w:szCs w:val="5"/>
                <w:color w:val="auto"/>
              </w:rPr>
            </w:pPr>
          </w:p>
        </w:tc>
        <w:tc>
          <w:tcPr>
            <w:tcW w:w="14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5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7900" w:type="dxa"/>
            <w:vAlign w:val="bottom"/>
          </w:tcPr>
          <w:p>
            <w:pPr>
              <w:ind w:left="40"/>
              <w:spacing w:after="0"/>
              <w:rPr>
                <w:sz w:val="20"/>
                <w:szCs w:val="20"/>
                <w:color w:val="auto"/>
              </w:rPr>
            </w:pPr>
            <w:r>
              <w:rPr>
                <w:rFonts w:ascii="Arial" w:cs="Arial" w:eastAsia="Arial" w:hAnsi="Arial"/>
                <w:sz w:val="15"/>
                <w:szCs w:val="15"/>
                <w:b w:val="1"/>
                <w:bCs w:val="1"/>
                <w:color w:val="auto"/>
              </w:rPr>
              <w:t>Total including shares held in treasury</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vMerge w:val="restart"/>
          </w:tcPr>
          <w:p>
            <w:pPr>
              <w:jc w:val="right"/>
              <w:ind w:right="23"/>
              <w:spacing w:after="0"/>
              <w:rPr>
                <w:sz w:val="20"/>
                <w:szCs w:val="20"/>
                <w:color w:val="auto"/>
              </w:rPr>
            </w:pPr>
            <w:r>
              <w:rPr>
                <w:rFonts w:ascii="Arial" w:cs="Arial" w:eastAsia="Arial" w:hAnsi="Arial"/>
                <w:sz w:val="15"/>
                <w:szCs w:val="15"/>
                <w:b w:val="1"/>
                <w:bCs w:val="1"/>
                <w:color w:val="auto"/>
              </w:rPr>
              <w:t>718,794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restart"/>
          </w:tcPr>
          <w:p>
            <w:pPr>
              <w:jc w:val="right"/>
              <w:ind w:right="23"/>
              <w:spacing w:after="0"/>
              <w:rPr>
                <w:sz w:val="20"/>
                <w:szCs w:val="20"/>
                <w:color w:val="auto"/>
              </w:rPr>
            </w:pPr>
            <w:r>
              <w:rPr>
                <w:rFonts w:ascii="Arial" w:cs="Arial" w:eastAsia="Arial" w:hAnsi="Arial"/>
                <w:sz w:val="15"/>
                <w:szCs w:val="15"/>
                <w:b w:val="1"/>
                <w:bCs w:val="1"/>
                <w:color w:val="auto"/>
              </w:rPr>
              <w:t>703,637</w:t>
            </w:r>
          </w:p>
        </w:tc>
        <w:tc>
          <w:tcPr>
            <w:tcW w:w="0" w:type="dxa"/>
            <w:vAlign w:val="bottom"/>
          </w:tcPr>
          <w:p>
            <w:pPr>
              <w:spacing w:after="0"/>
              <w:rPr>
                <w:sz w:val="1"/>
                <w:szCs w:val="1"/>
                <w:color w:val="auto"/>
              </w:rPr>
            </w:pPr>
          </w:p>
        </w:tc>
      </w:tr>
      <w:tr>
        <w:trPr>
          <w:trHeight w:val="72"/>
        </w:trPr>
        <w:tc>
          <w:tcPr>
            <w:tcW w:w="79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7900" w:type="dxa"/>
            <w:vAlign w:val="bottom"/>
            <w:shd w:val="clear" w:color="auto" w:fill="CCEEFF"/>
          </w:tcPr>
          <w:p>
            <w:pPr>
              <w:ind w:left="40"/>
              <w:spacing w:after="0"/>
              <w:rPr>
                <w:sz w:val="20"/>
                <w:szCs w:val="20"/>
                <w:color w:val="auto"/>
              </w:rPr>
            </w:pPr>
            <w:r>
              <w:rPr>
                <w:rFonts w:ascii="Arial" w:cs="Arial" w:eastAsia="Arial" w:hAnsi="Arial"/>
                <w:sz w:val="15"/>
                <w:szCs w:val="15"/>
                <w:color w:val="auto"/>
                <w:w w:val="99"/>
              </w:rPr>
              <w:t>Less: 3,126,011 shares as of March 31, 2018 and 2,902,018 shares as of December 31, 2017, held in treasury, at cost</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(117,320)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(103,816)</w:t>
            </w:r>
          </w:p>
        </w:tc>
        <w:tc>
          <w:tcPr>
            <w:tcW w:w="0" w:type="dxa"/>
            <w:vAlign w:val="bottom"/>
          </w:tcPr>
          <w:p>
            <w:pPr>
              <w:spacing w:after="0"/>
              <w:rPr>
                <w:sz w:val="1"/>
                <w:szCs w:val="1"/>
                <w:color w:val="auto"/>
              </w:rPr>
            </w:pPr>
          </w:p>
        </w:tc>
      </w:tr>
      <w:tr>
        <w:trPr>
          <w:trHeight w:val="76"/>
        </w:trPr>
        <w:tc>
          <w:tcPr>
            <w:tcW w:w="79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4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5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7900" w:type="dxa"/>
            <w:vAlign w:val="bottom"/>
          </w:tcPr>
          <w:p>
            <w:pPr>
              <w:ind w:left="40"/>
              <w:spacing w:after="0"/>
              <w:rPr>
                <w:sz w:val="20"/>
                <w:szCs w:val="20"/>
                <w:color w:val="auto"/>
              </w:rPr>
            </w:pPr>
            <w:r>
              <w:rPr>
                <w:rFonts w:ascii="Arial" w:cs="Arial" w:eastAsia="Arial" w:hAnsi="Arial"/>
                <w:sz w:val="15"/>
                <w:szCs w:val="15"/>
                <w:b w:val="1"/>
                <w:bCs w:val="1"/>
                <w:color w:val="auto"/>
              </w:rPr>
              <w:t>Stockholders’ equity</w:t>
            </w:r>
          </w:p>
        </w:tc>
        <w:tc>
          <w:tcPr>
            <w:tcW w:w="320" w:type="dxa"/>
            <w:vAlign w:val="bottom"/>
            <w:gridSpan w:val="2"/>
            <w:vMerge w:val="restart"/>
          </w:tcPr>
          <w:p>
            <w:pPr>
              <w:jc w:val="right"/>
              <w:ind w:right="100"/>
              <w:spacing w:after="0"/>
              <w:rPr>
                <w:sz w:val="20"/>
                <w:szCs w:val="20"/>
                <w:color w:val="auto"/>
              </w:rPr>
            </w:pPr>
            <w:r>
              <w:rPr>
                <w:rFonts w:ascii="Arial" w:cs="Arial" w:eastAsia="Arial" w:hAnsi="Arial"/>
                <w:sz w:val="15"/>
                <w:szCs w:val="15"/>
                <w:b w:val="1"/>
                <w:bCs w:val="1"/>
                <w:color w:val="auto"/>
              </w:rPr>
              <w:t>$</w:t>
            </w:r>
          </w:p>
        </w:tc>
        <w:tc>
          <w:tcPr>
            <w:tcW w:w="1400" w:type="dxa"/>
            <w:vAlign w:val="bottom"/>
            <w:vMerge w:val="restart"/>
          </w:tcPr>
          <w:p>
            <w:pPr>
              <w:jc w:val="right"/>
              <w:ind w:right="23"/>
              <w:spacing w:after="0"/>
              <w:rPr>
                <w:sz w:val="20"/>
                <w:szCs w:val="20"/>
                <w:color w:val="auto"/>
              </w:rPr>
            </w:pPr>
            <w:r>
              <w:rPr>
                <w:rFonts w:ascii="Arial" w:cs="Arial" w:eastAsia="Arial" w:hAnsi="Arial"/>
                <w:sz w:val="15"/>
                <w:szCs w:val="15"/>
                <w:b w:val="1"/>
                <w:bCs w:val="1"/>
                <w:color w:val="auto"/>
              </w:rPr>
              <w:t>601,474</w:t>
            </w:r>
          </w:p>
        </w:tc>
        <w:tc>
          <w:tcPr>
            <w:tcW w:w="120" w:type="dxa"/>
            <w:vAlign w:val="bottom"/>
          </w:tcPr>
          <w:p>
            <w:pPr>
              <w:spacing w:after="0"/>
              <w:rPr>
                <w:sz w:val="16"/>
                <w:szCs w:val="16"/>
                <w:color w:val="auto"/>
              </w:rPr>
            </w:pPr>
          </w:p>
        </w:tc>
        <w:tc>
          <w:tcPr>
            <w:tcW w:w="180" w:type="dxa"/>
            <w:vAlign w:val="bottom"/>
            <w:vMerge w:val="restart"/>
          </w:tcPr>
          <w:p>
            <w:pPr>
              <w:jc w:val="right"/>
              <w:ind w:right="3"/>
              <w:spacing w:after="0"/>
              <w:rPr>
                <w:sz w:val="20"/>
                <w:szCs w:val="20"/>
                <w:color w:val="auto"/>
              </w:rPr>
            </w:pPr>
            <w:r>
              <w:rPr>
                <w:rFonts w:ascii="Arial" w:cs="Arial" w:eastAsia="Arial" w:hAnsi="Arial"/>
                <w:sz w:val="15"/>
                <w:szCs w:val="15"/>
                <w:b w:val="1"/>
                <w:bCs w:val="1"/>
                <w:color w:val="auto"/>
                <w:w w:val="95"/>
              </w:rPr>
              <w:t>$</w:t>
            </w:r>
          </w:p>
        </w:tc>
        <w:tc>
          <w:tcPr>
            <w:tcW w:w="1500" w:type="dxa"/>
            <w:vAlign w:val="bottom"/>
            <w:vMerge w:val="restart"/>
          </w:tcPr>
          <w:p>
            <w:pPr>
              <w:jc w:val="right"/>
              <w:ind w:right="23"/>
              <w:spacing w:after="0"/>
              <w:rPr>
                <w:sz w:val="20"/>
                <w:szCs w:val="20"/>
                <w:color w:val="auto"/>
              </w:rPr>
            </w:pPr>
            <w:r>
              <w:rPr>
                <w:rFonts w:ascii="Arial" w:cs="Arial" w:eastAsia="Arial" w:hAnsi="Arial"/>
                <w:sz w:val="15"/>
                <w:szCs w:val="15"/>
                <w:b w:val="1"/>
                <w:bCs w:val="1"/>
                <w:color w:val="auto"/>
              </w:rPr>
              <w:t>599,821</w:t>
            </w:r>
          </w:p>
        </w:tc>
        <w:tc>
          <w:tcPr>
            <w:tcW w:w="0" w:type="dxa"/>
            <w:vAlign w:val="bottom"/>
          </w:tcPr>
          <w:p>
            <w:pPr>
              <w:spacing w:after="0"/>
              <w:rPr>
                <w:sz w:val="1"/>
                <w:szCs w:val="1"/>
                <w:color w:val="auto"/>
              </w:rPr>
            </w:pPr>
          </w:p>
        </w:tc>
      </w:tr>
      <w:tr>
        <w:trPr>
          <w:trHeight w:val="72"/>
        </w:trPr>
        <w:tc>
          <w:tcPr>
            <w:tcW w:w="7900" w:type="dxa"/>
            <w:vAlign w:val="bottom"/>
          </w:tcPr>
          <w:p>
            <w:pPr>
              <w:spacing w:after="0"/>
              <w:rPr>
                <w:sz w:val="6"/>
                <w:szCs w:val="6"/>
                <w:color w:val="auto"/>
              </w:rPr>
            </w:pPr>
          </w:p>
        </w:tc>
        <w:tc>
          <w:tcPr>
            <w:tcW w:w="320" w:type="dxa"/>
            <w:vAlign w:val="bottom"/>
            <w:gridSpan w:val="2"/>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5"/>
                <w:szCs w:val="15"/>
                <w:color w:val="auto"/>
              </w:rPr>
              <w:t>Non-controlling interest</w:t>
            </w:r>
          </w:p>
        </w:tc>
        <w:tc>
          <w:tcPr>
            <w:tcW w:w="12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231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224</w:t>
            </w: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5"/>
                <w:szCs w:val="15"/>
                <w:b w:val="1"/>
                <w:bCs w:val="1"/>
                <w:color w:val="auto"/>
              </w:rPr>
              <w:t>Total equity</w:t>
            </w:r>
          </w:p>
        </w:tc>
        <w:tc>
          <w:tcPr>
            <w:tcW w:w="3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b w:val="1"/>
                <w:bCs w:val="1"/>
                <w:color w:val="auto"/>
              </w:rPr>
              <w:t>$</w:t>
            </w:r>
          </w:p>
        </w:tc>
        <w:tc>
          <w:tcPr>
            <w:tcW w:w="14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601,705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w w:val="95"/>
              </w:rPr>
              <w:t>$</w:t>
            </w:r>
          </w:p>
        </w:tc>
        <w:tc>
          <w:tcPr>
            <w:tcW w:w="15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600,045</w:t>
            </w:r>
          </w:p>
        </w:tc>
        <w:tc>
          <w:tcPr>
            <w:tcW w:w="0" w:type="dxa"/>
            <w:vAlign w:val="bottom"/>
          </w:tcPr>
          <w:p>
            <w:pPr>
              <w:spacing w:after="0"/>
              <w:rPr>
                <w:sz w:val="1"/>
                <w:szCs w:val="1"/>
                <w:color w:val="auto"/>
              </w:rPr>
            </w:pPr>
          </w:p>
        </w:tc>
      </w:tr>
      <w:tr>
        <w:trPr>
          <w:trHeight w:val="268"/>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Total liabilities and equity</w:t>
            </w:r>
          </w:p>
        </w:tc>
        <w:tc>
          <w:tcPr>
            <w:tcW w:w="3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rPr>
              <w:t>$</w:t>
            </w:r>
          </w:p>
        </w:tc>
        <w:tc>
          <w:tcPr>
            <w:tcW w:w="14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798,270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w w:val="95"/>
              </w:rPr>
              <w:t>$</w:t>
            </w:r>
          </w:p>
        </w:tc>
        <w:tc>
          <w:tcPr>
            <w:tcW w:w="15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824,775</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8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Financial Measures to GAAP Measures</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addition to its reported operating results in accordance with U.S. generally accepted accounting principles (GAAP), EXL has included in this release certain financial measures (adjusted operating income, adjusted operating income margin, adjusted EBITDA, adjusted EBITDA margin, adjusted net income, adjusted diluted earnings per share and information on a constant currency basis) that the Securities and Exchange Commission defines as “non-GAAP financial measures.” The non-GAAP financial measures disclosed by EXL should not be considered a substitute for, or superior to, financial measures calculated in accordance with GAAP, and the financial results calculated in accordance with GAAP and reconciliations from those financial statements should be carefully evaluated. EXL believes that providing these non-GAAP financial measures may help investors better understand EXL’s underlying financial performance. Management also believes that these non-GAAP financial measures, when read in conjunction with EXL’s reported results, can provide useful supplemental information for investors analyzing period to period comparisons of the Company’s results and comparisons of the Company’s results with the results of other companies. Additionally, management considers some of these non-GAAP financial measures to determine variable compensation of its employees. EXL believes that it is unreasonably difficult to provide its earnings per share financial guidance in accordance with GAAP for a number of reasons, including, without limitation, EXL’s inability to predict its future stock-based compensation expense under ASC Topic 718, the amortization of intangibles associated with further acquisitions and the currency fluctuations and associated tax impacts: as such EXL presents guidance with respect to adjusted diluted earnings per share. EXL also incurs significant non-cash charges for depreciation that may not be indicative of the Company’s ability to generate cash flow.</w:t>
      </w:r>
    </w:p>
    <w:p>
      <w:pPr>
        <w:spacing w:after="0" w:line="18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information provided on a constant currency basis reflects a comparison of current period results translated at the prior period currency rates. EXL’s primary exchange rate exposure is with the Indian Rupee, the U.K. pound sterling and the Philippine Peso. The average exchange rate of the U.S. Dollar against the Indian Rupee decreased from 66.46 during the quarter ended March 31, 2017 to 64.64 during the quarter ended March 31, 2018, representing appreciation of 2.7%. The average exchange rate of the U.S. Dollar against the Philippine Peso increased from 50.05 during the quarter ended March 31, 2017 to 51.85 during the quarter ended March 31, 2018, representing a depreciation of 3.6%. The average exchange rate of the British Pound against the U.S. Dollar increased from 1.24 during the quarter ended March 31, 2017 to 1.40 during the quarter ended March 31, 2018, representing appreciation of 12.9%. This information is provided because EXL believes that it provides useful comparative incremental information to investors regarding EXL’s operating performance.</w:t>
      </w:r>
    </w:p>
    <w:p>
      <w:pPr>
        <w:spacing w:after="0" w:line="19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shows the reconciliation of these non-GAAP financial measures for the three months ended March 31, 2018 and March 31, 2017, and the three months ended December 31, 2017:</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Operating Income and Adjusted EBITDA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157" w:lineRule="exact"/>
        <w:rPr>
          <w:sz w:val="20"/>
          <w:szCs w:val="20"/>
          <w:color w:val="auto"/>
        </w:rPr>
      </w:pPr>
    </w:p>
    <w:tbl>
      <w:tblPr>
        <w:tblLayout w:type="fixed"/>
        <w:tblInd w:w="240" w:type="dxa"/>
        <w:tblCellMar>
          <w:top w:w="0" w:type="dxa"/>
          <w:left w:w="0" w:type="dxa"/>
          <w:bottom w:w="0" w:type="dxa"/>
          <w:right w:w="0" w:type="dxa"/>
        </w:tblCellMar>
      </w:tblPr>
      <w:tr>
        <w:trPr>
          <w:trHeight w:val="210"/>
        </w:trPr>
        <w:tc>
          <w:tcPr>
            <w:tcW w:w="6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4"/>
          </w:tcPr>
          <w:p>
            <w:pPr>
              <w:spacing w:after="0"/>
              <w:rPr>
                <w:sz w:val="20"/>
                <w:szCs w:val="20"/>
                <w:color w:val="auto"/>
              </w:rPr>
            </w:pPr>
            <w:r>
              <w:rPr>
                <w:rFonts w:ascii="Arial" w:cs="Arial" w:eastAsia="Arial" w:hAnsi="Arial"/>
                <w:sz w:val="16"/>
                <w:szCs w:val="16"/>
                <w:b w:val="1"/>
                <w:bCs w:val="1"/>
                <w:color w:val="auto"/>
                <w:w w:val="92"/>
              </w:rPr>
              <w:t>Three Months Ended</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658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gridSpan w:val="3"/>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3"/>
          </w:tcPr>
          <w:p>
            <w:pPr>
              <w:ind w:left="760"/>
              <w:spacing w:after="0"/>
              <w:rPr>
                <w:sz w:val="20"/>
                <w:szCs w:val="20"/>
                <w:color w:val="auto"/>
              </w:rPr>
            </w:pPr>
            <w:r>
              <w:rPr>
                <w:rFonts w:ascii="Arial" w:cs="Arial" w:eastAsia="Arial" w:hAnsi="Arial"/>
                <w:sz w:val="16"/>
                <w:szCs w:val="16"/>
                <w:b w:val="1"/>
                <w:bCs w:val="1"/>
                <w:color w:val="auto"/>
              </w:rPr>
              <w:t>March 31,</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auto"/>
                <w:w w:val="96"/>
              </w:rPr>
              <w:t>December 31,</w:t>
            </w:r>
          </w:p>
        </w:tc>
        <w:tc>
          <w:tcPr>
            <w:tcW w:w="0" w:type="dxa"/>
            <w:vAlign w:val="bottom"/>
          </w:tcPr>
          <w:p>
            <w:pPr>
              <w:spacing w:after="0"/>
              <w:rPr>
                <w:sz w:val="1"/>
                <w:szCs w:val="1"/>
                <w:color w:val="auto"/>
              </w:rPr>
            </w:pPr>
          </w:p>
        </w:tc>
      </w:tr>
      <w:tr>
        <w:trPr>
          <w:trHeight w:val="47"/>
        </w:trPr>
        <w:tc>
          <w:tcPr>
            <w:tcW w:w="658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47"/>
        </w:trPr>
        <w:tc>
          <w:tcPr>
            <w:tcW w:w="65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Net Income/(loss) (GAAP)</w:t>
            </w:r>
          </w:p>
        </w:tc>
        <w:tc>
          <w:tcPr>
            <w:tcW w:w="3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580" w:type="dxa"/>
            <w:vAlign w:val="bottom"/>
            <w:vMerge w:val="continue"/>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23,158</w:t>
            </w:r>
          </w:p>
        </w:tc>
        <w:tc>
          <w:tcPr>
            <w:tcW w:w="120" w:type="dxa"/>
            <w:vAlign w:val="bottom"/>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16,788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Pr>
          <w:p>
            <w:pPr>
              <w:jc w:val="right"/>
              <w:ind w:right="39"/>
              <w:spacing w:after="0"/>
              <w:rPr>
                <w:sz w:val="20"/>
                <w:szCs w:val="20"/>
                <w:color w:val="auto"/>
              </w:rPr>
            </w:pPr>
            <w:r>
              <w:rPr>
                <w:rFonts w:ascii="Arial" w:cs="Arial" w:eastAsia="Arial" w:hAnsi="Arial"/>
                <w:sz w:val="16"/>
                <w:szCs w:val="16"/>
                <w:b w:val="1"/>
                <w:bCs w:val="1"/>
                <w:color w:val="auto"/>
              </w:rPr>
              <w:t>(9,355)</w:t>
            </w:r>
          </w:p>
        </w:tc>
        <w:tc>
          <w:tcPr>
            <w:tcW w:w="0" w:type="dxa"/>
            <w:vAlign w:val="bottom"/>
          </w:tcPr>
          <w:p>
            <w:pPr>
              <w:spacing w:after="0"/>
              <w:rPr>
                <w:sz w:val="1"/>
                <w:szCs w:val="1"/>
                <w:color w:val="auto"/>
              </w:rPr>
            </w:pPr>
          </w:p>
        </w:tc>
      </w:tr>
      <w:tr>
        <w:trPr>
          <w:trHeight w:val="33"/>
        </w:trPr>
        <w:tc>
          <w:tcPr>
            <w:tcW w:w="6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add: Income tax (benefit)/expense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(4,453)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3,560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28,944</w:t>
            </w:r>
          </w:p>
        </w:tc>
        <w:tc>
          <w:tcPr>
            <w:tcW w:w="0" w:type="dxa"/>
            <w:vAlign w:val="bottom"/>
          </w:tcPr>
          <w:p>
            <w:pPr>
              <w:spacing w:after="0"/>
              <w:rPr>
                <w:sz w:val="1"/>
                <w:szCs w:val="1"/>
                <w:color w:val="auto"/>
              </w:rPr>
            </w:pPr>
          </w:p>
        </w:tc>
      </w:tr>
      <w:tr>
        <w:trPr>
          <w:trHeight w:val="220"/>
        </w:trPr>
        <w:tc>
          <w:tcPr>
            <w:tcW w:w="6580" w:type="dxa"/>
            <w:vAlign w:val="bottom"/>
          </w:tcPr>
          <w:p>
            <w:pPr>
              <w:ind w:left="360"/>
              <w:spacing w:after="0"/>
              <w:rPr>
                <w:sz w:val="20"/>
                <w:szCs w:val="20"/>
                <w:color w:val="auto"/>
              </w:rPr>
            </w:pPr>
            <w:r>
              <w:rPr>
                <w:rFonts w:ascii="Arial" w:cs="Arial" w:eastAsia="Arial" w:hAnsi="Arial"/>
                <w:sz w:val="16"/>
                <w:szCs w:val="16"/>
                <w:color w:val="auto"/>
                <w:w w:val="96"/>
              </w:rPr>
              <w:t>subtract: Interest expense, foreign exchange gain, net, loss from equity-method investment</w:t>
            </w:r>
          </w:p>
        </w:tc>
        <w:tc>
          <w:tcPr>
            <w:tcW w:w="300" w:type="dxa"/>
            <w:vAlign w:val="bottom"/>
          </w:tcPr>
          <w:p>
            <w:pPr>
              <w:spacing w:after="0"/>
              <w:rPr>
                <w:sz w:val="19"/>
                <w:szCs w:val="19"/>
                <w:color w:val="auto"/>
              </w:rPr>
            </w:pPr>
          </w:p>
        </w:tc>
        <w:tc>
          <w:tcPr>
            <w:tcW w:w="1040" w:type="dxa"/>
            <w:vAlign w:val="bottom"/>
            <w:vMerge w:val="restart"/>
          </w:tcPr>
          <w:p>
            <w:pPr>
              <w:jc w:val="right"/>
              <w:ind w:right="19"/>
              <w:spacing w:after="0"/>
              <w:rPr>
                <w:sz w:val="20"/>
                <w:szCs w:val="20"/>
                <w:color w:val="auto"/>
              </w:rPr>
            </w:pPr>
            <w:r>
              <w:rPr>
                <w:rFonts w:ascii="Arial" w:cs="Arial" w:eastAsia="Arial" w:hAnsi="Arial"/>
                <w:sz w:val="16"/>
                <w:szCs w:val="16"/>
                <w:color w:val="auto"/>
              </w:rPr>
              <w:t>(3,555)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vMerge w:val="restart"/>
          </w:tcPr>
          <w:p>
            <w:pPr>
              <w:jc w:val="right"/>
              <w:ind w:right="39"/>
              <w:spacing w:after="0"/>
              <w:rPr>
                <w:sz w:val="20"/>
                <w:szCs w:val="20"/>
                <w:color w:val="auto"/>
              </w:rPr>
            </w:pPr>
            <w:r>
              <w:rPr>
                <w:rFonts w:ascii="Arial" w:cs="Arial" w:eastAsia="Arial" w:hAnsi="Arial"/>
                <w:sz w:val="16"/>
                <w:szCs w:val="16"/>
                <w:color w:val="auto"/>
              </w:rPr>
              <w:t>(3,136)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vMerge w:val="restart"/>
          </w:tcPr>
          <w:p>
            <w:pPr>
              <w:jc w:val="right"/>
              <w:ind w:right="39"/>
              <w:spacing w:after="0"/>
              <w:rPr>
                <w:sz w:val="20"/>
                <w:szCs w:val="20"/>
                <w:color w:val="auto"/>
              </w:rPr>
            </w:pPr>
            <w:r>
              <w:rPr>
                <w:rFonts w:ascii="Arial" w:cs="Arial" w:eastAsia="Arial" w:hAnsi="Arial"/>
                <w:sz w:val="16"/>
                <w:szCs w:val="16"/>
                <w:color w:val="auto"/>
              </w:rPr>
              <w:t>(3,289)</w:t>
            </w:r>
          </w:p>
        </w:tc>
        <w:tc>
          <w:tcPr>
            <w:tcW w:w="0" w:type="dxa"/>
            <w:vAlign w:val="bottom"/>
          </w:tcPr>
          <w:p>
            <w:pPr>
              <w:spacing w:after="0"/>
              <w:rPr>
                <w:sz w:val="1"/>
                <w:szCs w:val="1"/>
                <w:color w:val="auto"/>
              </w:rPr>
            </w:pPr>
          </w:p>
        </w:tc>
      </w:tr>
      <w:tr>
        <w:trPr>
          <w:trHeight w:val="98"/>
        </w:trPr>
        <w:tc>
          <w:tcPr>
            <w:tcW w:w="6580" w:type="dxa"/>
            <w:vAlign w:val="bottom"/>
            <w:vMerge w:val="restart"/>
          </w:tcPr>
          <w:p>
            <w:pPr>
              <w:ind w:left="360"/>
              <w:spacing w:after="0"/>
              <w:rPr>
                <w:sz w:val="20"/>
                <w:szCs w:val="20"/>
                <w:color w:val="auto"/>
              </w:rPr>
            </w:pPr>
            <w:r>
              <w:rPr>
                <w:rFonts w:ascii="Arial" w:cs="Arial" w:eastAsia="Arial" w:hAnsi="Arial"/>
                <w:sz w:val="16"/>
                <w:szCs w:val="16"/>
                <w:color w:val="auto"/>
              </w:rPr>
              <w:t>and other income, net</w:t>
            </w:r>
          </w:p>
        </w:tc>
        <w:tc>
          <w:tcPr>
            <w:tcW w:w="30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6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6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Income from operations (GAAP)</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15,150</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17,212</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16,300</w:t>
            </w:r>
          </w:p>
        </w:tc>
        <w:tc>
          <w:tcPr>
            <w:tcW w:w="0" w:type="dxa"/>
            <w:vAlign w:val="bottom"/>
          </w:tcPr>
          <w:p>
            <w:pPr>
              <w:spacing w:after="0"/>
              <w:rPr>
                <w:sz w:val="1"/>
                <w:szCs w:val="1"/>
                <w:color w:val="auto"/>
              </w:rPr>
            </w:pPr>
          </w:p>
        </w:tc>
      </w:tr>
      <w:tr>
        <w:trPr>
          <w:trHeight w:val="224"/>
        </w:trPr>
        <w:tc>
          <w:tcPr>
            <w:tcW w:w="6580" w:type="dxa"/>
            <w:vAlign w:val="bottom"/>
          </w:tcPr>
          <w:p>
            <w:pPr>
              <w:ind w:left="360"/>
              <w:spacing w:after="0"/>
              <w:rPr>
                <w:sz w:val="20"/>
                <w:szCs w:val="20"/>
                <w:color w:val="auto"/>
              </w:rPr>
            </w:pPr>
            <w:r>
              <w:rPr>
                <w:rFonts w:ascii="Arial" w:cs="Arial" w:eastAsia="Arial" w:hAnsi="Arial"/>
                <w:sz w:val="16"/>
                <w:szCs w:val="16"/>
                <w:color w:val="auto"/>
              </w:rPr>
              <w:t>add: Stock-based compensation expense (a)</w:t>
            </w:r>
          </w:p>
        </w:tc>
        <w:tc>
          <w:tcPr>
            <w:tcW w:w="300" w:type="dxa"/>
            <w:vAlign w:val="bottom"/>
          </w:tcPr>
          <w:p>
            <w:pPr>
              <w:spacing w:after="0"/>
              <w:rPr>
                <w:sz w:val="19"/>
                <w:szCs w:val="19"/>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5,074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5,956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6,270</w:t>
            </w:r>
          </w:p>
        </w:tc>
        <w:tc>
          <w:tcPr>
            <w:tcW w:w="0" w:type="dxa"/>
            <w:vAlign w:val="bottom"/>
          </w:tcPr>
          <w:p>
            <w:pPr>
              <w:spacing w:after="0"/>
              <w:rPr>
                <w:sz w:val="1"/>
                <w:szCs w:val="1"/>
                <w:color w:val="auto"/>
              </w:rPr>
            </w:pPr>
          </w:p>
        </w:tc>
      </w:tr>
      <w:tr>
        <w:trPr>
          <w:trHeight w:val="47"/>
        </w:trPr>
        <w:tc>
          <w:tcPr>
            <w:tcW w:w="6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add: Amortization of acquisition-related intangibles (b)</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3,947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3,498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3,483</w:t>
            </w:r>
          </w:p>
        </w:tc>
        <w:tc>
          <w:tcPr>
            <w:tcW w:w="0" w:type="dxa"/>
            <w:vAlign w:val="bottom"/>
          </w:tcPr>
          <w:p>
            <w:pPr>
              <w:spacing w:after="0"/>
              <w:rPr>
                <w:sz w:val="1"/>
                <w:szCs w:val="1"/>
                <w:color w:val="auto"/>
              </w:rPr>
            </w:pPr>
          </w:p>
        </w:tc>
      </w:tr>
      <w:tr>
        <w:trPr>
          <w:trHeight w:val="224"/>
        </w:trPr>
        <w:tc>
          <w:tcPr>
            <w:tcW w:w="6580" w:type="dxa"/>
            <w:vAlign w:val="bottom"/>
          </w:tcPr>
          <w:p>
            <w:pPr>
              <w:ind w:left="360"/>
              <w:spacing w:after="0"/>
              <w:rPr>
                <w:sz w:val="20"/>
                <w:szCs w:val="20"/>
                <w:color w:val="auto"/>
              </w:rPr>
            </w:pPr>
            <w:r>
              <w:rPr>
                <w:rFonts w:ascii="Arial" w:cs="Arial" w:eastAsia="Arial" w:hAnsi="Arial"/>
                <w:sz w:val="16"/>
                <w:szCs w:val="16"/>
                <w:color w:val="auto"/>
              </w:rPr>
              <w:t>add: Provision for litigation settlement (c)</w:t>
            </w:r>
          </w:p>
        </w:tc>
        <w:tc>
          <w:tcPr>
            <w:tcW w:w="300" w:type="dxa"/>
            <w:vAlign w:val="bottom"/>
          </w:tcPr>
          <w:p>
            <w:pPr>
              <w:spacing w:after="0"/>
              <w:rPr>
                <w:sz w:val="19"/>
                <w:szCs w:val="19"/>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2,400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65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operating income (Non-GAAP)</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26,571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26,666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26,053</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i w:val="1"/>
                <w:iCs w:val="1"/>
                <w:color w:val="auto"/>
              </w:rPr>
              <w:t>Adjusted operating income margin as a % of Revenues (Non-GAAP)</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5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i w:val="1"/>
                <w:iCs w:val="1"/>
                <w:color w:val="auto"/>
              </w:rPr>
              <w:t>12.8%</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i w:val="1"/>
                <w:iCs w:val="1"/>
                <w:color w:val="auto"/>
              </w:rPr>
              <w:t>14.6%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i w:val="1"/>
                <w:iCs w:val="1"/>
                <w:color w:val="auto"/>
              </w:rPr>
              <w:t>13.2%</w:t>
            </w:r>
          </w:p>
        </w:tc>
        <w:tc>
          <w:tcPr>
            <w:tcW w:w="0" w:type="dxa"/>
            <w:vAlign w:val="bottom"/>
          </w:tcPr>
          <w:p>
            <w:pPr>
              <w:spacing w:after="0"/>
              <w:rPr>
                <w:sz w:val="1"/>
                <w:szCs w:val="1"/>
                <w:color w:val="auto"/>
              </w:rPr>
            </w:pPr>
          </w:p>
        </w:tc>
      </w:tr>
      <w:tr>
        <w:trPr>
          <w:trHeight w:val="33"/>
        </w:trPr>
        <w:tc>
          <w:tcPr>
            <w:tcW w:w="6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add: Depreciation</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6,557</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5,874</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6,577</w:t>
            </w:r>
          </w:p>
        </w:tc>
        <w:tc>
          <w:tcPr>
            <w:tcW w:w="0" w:type="dxa"/>
            <w:vAlign w:val="bottom"/>
          </w:tcPr>
          <w:p>
            <w:pPr>
              <w:spacing w:after="0"/>
              <w:rPr>
                <w:sz w:val="1"/>
                <w:szCs w:val="1"/>
                <w:color w:val="auto"/>
              </w:rPr>
            </w:pPr>
          </w:p>
        </w:tc>
      </w:tr>
      <w:tr>
        <w:trPr>
          <w:trHeight w:val="217"/>
        </w:trPr>
        <w:tc>
          <w:tcPr>
            <w:tcW w:w="6580" w:type="dxa"/>
            <w:vAlign w:val="bottom"/>
          </w:tcPr>
          <w:p>
            <w:pPr>
              <w:ind w:left="20"/>
              <w:spacing w:after="0"/>
              <w:rPr>
                <w:sz w:val="20"/>
                <w:szCs w:val="20"/>
                <w:color w:val="auto"/>
              </w:rPr>
            </w:pPr>
            <w:r>
              <w:rPr>
                <w:rFonts w:ascii="Arial" w:cs="Arial" w:eastAsia="Arial" w:hAnsi="Arial"/>
                <w:sz w:val="16"/>
                <w:szCs w:val="16"/>
                <w:b w:val="1"/>
                <w:bCs w:val="1"/>
                <w:color w:val="auto"/>
              </w:rPr>
              <w:t>Adjusted EBITDA (Non-GAAP)</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33,128</w:t>
            </w:r>
          </w:p>
        </w:tc>
        <w:tc>
          <w:tcPr>
            <w:tcW w:w="120" w:type="dxa"/>
            <w:vAlign w:val="bottom"/>
          </w:tcPr>
          <w:p>
            <w:pPr>
              <w:spacing w:after="0"/>
              <w:rPr>
                <w:sz w:val="18"/>
                <w:szCs w:val="18"/>
                <w:color w:val="auto"/>
              </w:rPr>
            </w:pPr>
          </w:p>
        </w:tc>
        <w:tc>
          <w:tcPr>
            <w:tcW w:w="4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32,540</w:t>
            </w: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32,630</w:t>
            </w:r>
          </w:p>
        </w:tc>
        <w:tc>
          <w:tcPr>
            <w:tcW w:w="0" w:type="dxa"/>
            <w:vAlign w:val="bottom"/>
          </w:tcPr>
          <w:p>
            <w:pPr>
              <w:spacing w:after="0"/>
              <w:rPr>
                <w:sz w:val="1"/>
                <w:szCs w:val="1"/>
                <w:color w:val="auto"/>
              </w:rPr>
            </w:pPr>
          </w:p>
        </w:tc>
      </w:tr>
      <w:tr>
        <w:trPr>
          <w:trHeight w:val="73"/>
        </w:trPr>
        <w:tc>
          <w:tcPr>
            <w:tcW w:w="658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Adjusted EBITDA margin as a % of revenue (Non-GAAP)</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16.0%</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17.8%</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16.5%</w:t>
            </w:r>
          </w:p>
        </w:tc>
        <w:tc>
          <w:tcPr>
            <w:tcW w:w="0" w:type="dxa"/>
            <w:vAlign w:val="bottom"/>
          </w:tcPr>
          <w:p>
            <w:pPr>
              <w:spacing w:after="0"/>
              <w:rPr>
                <w:sz w:val="1"/>
                <w:szCs w:val="1"/>
                <w:color w:val="auto"/>
              </w:rPr>
            </w:pPr>
          </w:p>
        </w:tc>
      </w:tr>
      <w:tr>
        <w:trPr>
          <w:trHeight w:val="33"/>
        </w:trPr>
        <w:tc>
          <w:tcPr>
            <w:tcW w:w="65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 w:lineRule="exact"/>
        <w:rPr>
          <w:sz w:val="20"/>
          <w:szCs w:val="20"/>
          <w:color w:val="auto"/>
        </w:rPr>
      </w:pPr>
    </w:p>
    <w:p>
      <w:pPr>
        <w:ind w:left="480" w:hanging="222"/>
        <w:spacing w:after="0"/>
        <w:tabs>
          <w:tab w:leader="none" w:pos="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exclude stock-based compensation expense under ASC Topic 718.</w:t>
      </w:r>
    </w:p>
    <w:p>
      <w:pPr>
        <w:spacing w:after="0" w:line="22" w:lineRule="exact"/>
        <w:rPr>
          <w:rFonts w:ascii="Arial" w:cs="Arial" w:eastAsia="Arial" w:hAnsi="Arial"/>
          <w:sz w:val="16"/>
          <w:szCs w:val="16"/>
          <w:color w:val="auto"/>
        </w:rPr>
      </w:pPr>
    </w:p>
    <w:p>
      <w:pPr>
        <w:ind w:left="480" w:hanging="222"/>
        <w:spacing w:after="0"/>
        <w:tabs>
          <w:tab w:leader="none" w:pos="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exclude amortization of acquisition-related intangibles.</w:t>
      </w:r>
    </w:p>
    <w:p>
      <w:pPr>
        <w:spacing w:after="0" w:line="18" w:lineRule="exact"/>
        <w:rPr>
          <w:rFonts w:ascii="Arial" w:cs="Arial" w:eastAsia="Arial" w:hAnsi="Arial"/>
          <w:sz w:val="16"/>
          <w:szCs w:val="16"/>
          <w:color w:val="auto"/>
        </w:rPr>
      </w:pPr>
    </w:p>
    <w:p>
      <w:pPr>
        <w:ind w:left="480" w:hanging="222"/>
        <w:spacing w:after="0"/>
        <w:tabs>
          <w:tab w:leader="none" w:pos="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exclude provision for litigation settlement during the three months ended March 31, 2018.</w:t>
      </w:r>
    </w:p>
    <w:p>
      <w:pPr>
        <w:sectPr>
          <w:pgSz w:w="11900" w:h="16838" w:orient="portrait"/>
          <w:cols w:equalWidth="0" w:num="1">
            <w:col w:w="11420"/>
          </w:cols>
          <w:pgMar w:left="240" w:top="702" w:right="2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Reconciliation of Adjusted Net Income and Adjusted Diluted Earnings Per Share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(Amounts in thousands, except per share data)</w:t>
      </w:r>
    </w:p>
    <w:p>
      <w:pPr>
        <w:spacing w:after="0" w:line="157" w:lineRule="exact"/>
        <w:rPr>
          <w:sz w:val="20"/>
          <w:szCs w:val="20"/>
          <w:color w:val="auto"/>
        </w:rPr>
      </w:pPr>
    </w:p>
    <w:tbl>
      <w:tblPr>
        <w:tblLayout w:type="fixed"/>
        <w:tblInd w:w="320" w:type="dxa"/>
        <w:tblCellMar>
          <w:top w:w="0" w:type="dxa"/>
          <w:left w:w="0" w:type="dxa"/>
          <w:bottom w:w="0" w:type="dxa"/>
          <w:right w:w="0" w:type="dxa"/>
        </w:tblCellMar>
      </w:tblPr>
      <w:tr>
        <w:trPr>
          <w:trHeight w:val="210"/>
        </w:trPr>
        <w:tc>
          <w:tcPr>
            <w:tcW w:w="6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0" w:type="dxa"/>
            <w:vAlign w:val="bottom"/>
            <w:gridSpan w:val="4"/>
          </w:tcPr>
          <w:p>
            <w:pPr>
              <w:ind w:left="120"/>
              <w:spacing w:after="0"/>
              <w:rPr>
                <w:sz w:val="20"/>
                <w:szCs w:val="20"/>
                <w:color w:val="auto"/>
              </w:rPr>
            </w:pPr>
            <w:r>
              <w:rPr>
                <w:rFonts w:ascii="Arial" w:cs="Arial" w:eastAsia="Arial" w:hAnsi="Arial"/>
                <w:sz w:val="16"/>
                <w:szCs w:val="16"/>
                <w:b w:val="1"/>
                <w:bCs w:val="1"/>
                <w:color w:val="auto"/>
                <w:w w:val="92"/>
              </w:rPr>
              <w:t>Three Months Ended</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628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gridSpan w:val="3"/>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March 31,</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auto"/>
                <w:w w:val="96"/>
              </w:rPr>
              <w:t>December 31,</w:t>
            </w:r>
          </w:p>
        </w:tc>
        <w:tc>
          <w:tcPr>
            <w:tcW w:w="0" w:type="dxa"/>
            <w:vAlign w:val="bottom"/>
          </w:tcPr>
          <w:p>
            <w:pPr>
              <w:spacing w:after="0"/>
              <w:rPr>
                <w:sz w:val="1"/>
                <w:szCs w:val="1"/>
                <w:color w:val="auto"/>
              </w:rPr>
            </w:pPr>
          </w:p>
        </w:tc>
      </w:tr>
      <w:tr>
        <w:trPr>
          <w:trHeight w:val="47"/>
        </w:trPr>
        <w:tc>
          <w:tcPr>
            <w:tcW w:w="628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47"/>
        </w:trPr>
        <w:tc>
          <w:tcPr>
            <w:tcW w:w="62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Net income/(loss) (GAAP)</w:t>
            </w:r>
          </w:p>
        </w:tc>
        <w:tc>
          <w:tcPr>
            <w:tcW w:w="3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280" w:type="dxa"/>
            <w:vAlign w:val="bottom"/>
            <w:vMerge w:val="continue"/>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rPr>
              <w:t>23,158</w:t>
            </w:r>
          </w:p>
        </w:tc>
        <w:tc>
          <w:tcPr>
            <w:tcW w:w="5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16,788</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(9,355)</w:t>
            </w:r>
          </w:p>
        </w:tc>
        <w:tc>
          <w:tcPr>
            <w:tcW w:w="0" w:type="dxa"/>
            <w:vAlign w:val="bottom"/>
          </w:tcPr>
          <w:p>
            <w:pPr>
              <w:spacing w:after="0"/>
              <w:rPr>
                <w:sz w:val="1"/>
                <w:szCs w:val="1"/>
                <w:color w:val="auto"/>
              </w:rPr>
            </w:pPr>
          </w:p>
        </w:tc>
      </w:tr>
      <w:tr>
        <w:trPr>
          <w:trHeight w:val="33"/>
        </w:trPr>
        <w:tc>
          <w:tcPr>
            <w:tcW w:w="6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add: Stock-based compensation expense (a)</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5,074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6,270</w:t>
            </w:r>
          </w:p>
        </w:tc>
        <w:tc>
          <w:tcPr>
            <w:tcW w:w="0" w:type="dxa"/>
            <w:vAlign w:val="bottom"/>
          </w:tcPr>
          <w:p>
            <w:pPr>
              <w:spacing w:after="0"/>
              <w:rPr>
                <w:sz w:val="1"/>
                <w:szCs w:val="1"/>
                <w:color w:val="auto"/>
              </w:rPr>
            </w:pPr>
          </w:p>
        </w:tc>
      </w:tr>
      <w:tr>
        <w:trPr>
          <w:trHeight w:val="224"/>
        </w:trPr>
        <w:tc>
          <w:tcPr>
            <w:tcW w:w="6280" w:type="dxa"/>
            <w:vAlign w:val="bottom"/>
          </w:tcPr>
          <w:p>
            <w:pPr>
              <w:ind w:left="20"/>
              <w:spacing w:after="0"/>
              <w:rPr>
                <w:sz w:val="20"/>
                <w:szCs w:val="20"/>
                <w:color w:val="auto"/>
              </w:rPr>
            </w:pPr>
            <w:r>
              <w:rPr>
                <w:rFonts w:ascii="Arial" w:cs="Arial" w:eastAsia="Arial" w:hAnsi="Arial"/>
                <w:sz w:val="16"/>
                <w:szCs w:val="16"/>
                <w:color w:val="auto"/>
              </w:rPr>
              <w:t>add: Amortization of acquisition-related intangibles (b)</w:t>
            </w:r>
          </w:p>
        </w:tc>
        <w:tc>
          <w:tcPr>
            <w:tcW w:w="32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3,947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3,498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3,483</w:t>
            </w:r>
          </w:p>
        </w:tc>
        <w:tc>
          <w:tcPr>
            <w:tcW w:w="0" w:type="dxa"/>
            <w:vAlign w:val="bottom"/>
          </w:tcPr>
          <w:p>
            <w:pPr>
              <w:spacing w:after="0"/>
              <w:rPr>
                <w:sz w:val="1"/>
                <w:szCs w:val="1"/>
                <w:color w:val="auto"/>
              </w:rPr>
            </w:pPr>
          </w:p>
        </w:tc>
      </w:tr>
      <w:tr>
        <w:trPr>
          <w:trHeight w:val="47"/>
        </w:trPr>
        <w:tc>
          <w:tcPr>
            <w:tcW w:w="6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add: Effect of tax impact from Tax Reform Act (c)</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(4,836)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29,185</w:t>
            </w:r>
          </w:p>
        </w:tc>
        <w:tc>
          <w:tcPr>
            <w:tcW w:w="0" w:type="dxa"/>
            <w:vAlign w:val="bottom"/>
          </w:tcPr>
          <w:p>
            <w:pPr>
              <w:spacing w:after="0"/>
              <w:rPr>
                <w:sz w:val="1"/>
                <w:szCs w:val="1"/>
                <w:color w:val="auto"/>
              </w:rPr>
            </w:pPr>
          </w:p>
        </w:tc>
      </w:tr>
      <w:tr>
        <w:trPr>
          <w:trHeight w:val="224"/>
        </w:trPr>
        <w:tc>
          <w:tcPr>
            <w:tcW w:w="6280" w:type="dxa"/>
            <w:vAlign w:val="bottom"/>
          </w:tcPr>
          <w:p>
            <w:pPr>
              <w:ind w:left="20"/>
              <w:spacing w:after="0"/>
              <w:rPr>
                <w:sz w:val="20"/>
                <w:szCs w:val="20"/>
                <w:color w:val="auto"/>
              </w:rPr>
            </w:pPr>
            <w:r>
              <w:rPr>
                <w:rFonts w:ascii="Arial" w:cs="Arial" w:eastAsia="Arial" w:hAnsi="Arial"/>
                <w:sz w:val="16"/>
                <w:szCs w:val="16"/>
                <w:color w:val="auto"/>
              </w:rPr>
              <w:t>subtract: Tax impact on stock-based compensation expense (d)</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(5,913)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(4,260)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(5,063)</w:t>
            </w:r>
          </w:p>
        </w:tc>
        <w:tc>
          <w:tcPr>
            <w:tcW w:w="0" w:type="dxa"/>
            <w:vAlign w:val="bottom"/>
          </w:tcPr>
          <w:p>
            <w:pPr>
              <w:spacing w:after="0"/>
              <w:rPr>
                <w:sz w:val="1"/>
                <w:szCs w:val="1"/>
                <w:color w:val="auto"/>
              </w:rPr>
            </w:pPr>
          </w:p>
        </w:tc>
      </w:tr>
      <w:tr>
        <w:trPr>
          <w:trHeight w:val="47"/>
        </w:trPr>
        <w:tc>
          <w:tcPr>
            <w:tcW w:w="6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subtract: Tax impact on amortization of acquisition-related intangibles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(947)</w:t>
            </w:r>
          </w:p>
        </w:tc>
        <w:tc>
          <w:tcPr>
            <w:tcW w:w="0" w:type="dxa"/>
            <w:vAlign w:val="bottom"/>
          </w:tcPr>
          <w:p>
            <w:pPr>
              <w:spacing w:after="0"/>
              <w:rPr>
                <w:sz w:val="1"/>
                <w:szCs w:val="1"/>
                <w:color w:val="auto"/>
              </w:rPr>
            </w:pPr>
          </w:p>
        </w:tc>
      </w:tr>
      <w:tr>
        <w:trPr>
          <w:trHeight w:val="224"/>
        </w:trPr>
        <w:tc>
          <w:tcPr>
            <w:tcW w:w="6280" w:type="dxa"/>
            <w:vAlign w:val="bottom"/>
          </w:tcPr>
          <w:p>
            <w:pPr>
              <w:ind w:left="20"/>
              <w:spacing w:after="0"/>
              <w:rPr>
                <w:sz w:val="20"/>
                <w:szCs w:val="20"/>
                <w:color w:val="auto"/>
              </w:rPr>
            </w:pPr>
            <w:r>
              <w:rPr>
                <w:rFonts w:ascii="Arial" w:cs="Arial" w:eastAsia="Arial" w:hAnsi="Arial"/>
                <w:sz w:val="16"/>
                <w:szCs w:val="16"/>
                <w:color w:val="auto"/>
              </w:rPr>
              <w:t>add: Provision for litigation settlement, net of tax (e)</w:t>
            </w:r>
          </w:p>
        </w:tc>
        <w:tc>
          <w:tcPr>
            <w:tcW w:w="32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1,788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47"/>
        </w:trPr>
        <w:tc>
          <w:tcPr>
            <w:tcW w:w="628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net income (Non-GAAP)</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22,492</w:t>
            </w:r>
          </w:p>
        </w:tc>
        <w:tc>
          <w:tcPr>
            <w:tcW w:w="5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21,031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23,573</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Adjusted diluted earnings per share (Non-GAAP)</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280" w:type="dxa"/>
            <w:vAlign w:val="bottom"/>
            <w:vMerge w:val="continue"/>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rPr>
              <w:t>0.64</w:t>
            </w:r>
          </w:p>
        </w:tc>
        <w:tc>
          <w:tcPr>
            <w:tcW w:w="5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0.60</w:t>
            </w:r>
          </w:p>
        </w:tc>
        <w:tc>
          <w:tcPr>
            <w:tcW w:w="1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0.67</w:t>
            </w:r>
          </w:p>
        </w:tc>
        <w:tc>
          <w:tcPr>
            <w:tcW w:w="0" w:type="dxa"/>
            <w:vAlign w:val="bottom"/>
          </w:tcPr>
          <w:p>
            <w:pPr>
              <w:spacing w:after="0"/>
              <w:rPr>
                <w:sz w:val="1"/>
                <w:szCs w:val="1"/>
                <w:color w:val="auto"/>
              </w:rPr>
            </w:pPr>
          </w:p>
        </w:tc>
      </w:tr>
    </w:tbl>
    <w:p>
      <w:pPr>
        <w:spacing w:after="0" w:line="388" w:lineRule="exact"/>
        <w:rPr>
          <w:sz w:val="20"/>
          <w:szCs w:val="20"/>
          <w:color w:val="auto"/>
        </w:rPr>
      </w:pPr>
    </w:p>
    <w:p>
      <w:pPr>
        <w:ind w:left="220" w:hanging="212"/>
        <w:spacing w:after="0"/>
        <w:tabs>
          <w:tab w:leader="none" w:pos="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exclude stock-based compensation expense under ASC Topic 718.</w:t>
      </w:r>
    </w:p>
    <w:p>
      <w:pPr>
        <w:spacing w:after="0" w:line="302" w:lineRule="exact"/>
        <w:rPr>
          <w:rFonts w:ascii="Arial" w:cs="Arial" w:eastAsia="Arial" w:hAnsi="Arial"/>
          <w:sz w:val="16"/>
          <w:szCs w:val="16"/>
          <w:color w:val="auto"/>
        </w:rPr>
      </w:pPr>
    </w:p>
    <w:p>
      <w:pPr>
        <w:ind w:left="240" w:hanging="232"/>
        <w:spacing w:after="0"/>
        <w:tabs>
          <w:tab w:leader="none" w:pos="2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exclude amortization of acquisition-related intangibles.</w:t>
      </w:r>
    </w:p>
    <w:p>
      <w:pPr>
        <w:spacing w:after="0" w:line="302" w:lineRule="exact"/>
        <w:rPr>
          <w:rFonts w:ascii="Arial" w:cs="Arial" w:eastAsia="Arial" w:hAnsi="Arial"/>
          <w:sz w:val="16"/>
          <w:szCs w:val="16"/>
          <w:color w:val="auto"/>
        </w:rPr>
      </w:pPr>
    </w:p>
    <w:p>
      <w:pPr>
        <w:jc w:val="both"/>
        <w:ind w:firstLine="8"/>
        <w:spacing w:after="0" w:line="385" w:lineRule="auto"/>
        <w:tabs>
          <w:tab w:leader="none" w:pos="225" w:val="left"/>
        </w:tabs>
        <w:numPr>
          <w:ilvl w:val="0"/>
          <w:numId w:val="8"/>
        </w:numPr>
        <w:rPr>
          <w:rFonts w:ascii="Arial" w:cs="Arial" w:eastAsia="Arial" w:hAnsi="Arial"/>
          <w:sz w:val="15"/>
          <w:szCs w:val="15"/>
          <w:color w:val="auto"/>
        </w:rPr>
      </w:pPr>
      <w:r>
        <w:rPr>
          <w:rFonts w:ascii="Arial" w:cs="Arial" w:eastAsia="Arial" w:hAnsi="Arial"/>
          <w:sz w:val="15"/>
          <w:szCs w:val="15"/>
          <w:color w:val="auto"/>
        </w:rPr>
        <w:t>To include impact related to the Tax Reform Act. The Company recognized a one-time income tax expense of $29,185 during the three months ended December 31, 2017, comprised of a provisional deemed repatriation tax expense of $27,236 and a provisional net deferred tax expense of $1,949. During the three months ended March 31, 2018, the Company recorded adjustment of $4,836 reducing the provisional transition tax on the mandatory deemed repatriation of accumulated earnings and profits of foreign subsidiaries recognized during the year ended December 31, 2017. The one-time incremental income tax expense reflects certain assumptions based upon the Company’s interpretation of the Tax Reform Act and may change as the Company receive additional clarification and guidance and as the interpretation of the Tax Reform Act evolves over time. Any further changes would be reflected as a non-GAAP adjustment in the period in which they are recorded.</w:t>
      </w:r>
    </w:p>
    <w:p>
      <w:pPr>
        <w:spacing w:after="0" w:line="176" w:lineRule="exact"/>
        <w:rPr>
          <w:rFonts w:ascii="Arial" w:cs="Arial" w:eastAsia="Arial" w:hAnsi="Arial"/>
          <w:sz w:val="15"/>
          <w:szCs w:val="15"/>
          <w:color w:val="auto"/>
        </w:rPr>
      </w:pPr>
    </w:p>
    <w:p>
      <w:pPr>
        <w:ind w:firstLine="8"/>
        <w:spacing w:after="0" w:line="381" w:lineRule="auto"/>
        <w:tabs>
          <w:tab w:leader="none" w:pos="231" w:val="left"/>
        </w:tabs>
        <w:numPr>
          <w:ilvl w:val="0"/>
          <w:numId w:val="8"/>
        </w:numPr>
        <w:rPr>
          <w:rFonts w:ascii="Arial" w:cs="Arial" w:eastAsia="Arial" w:hAnsi="Arial"/>
          <w:sz w:val="16"/>
          <w:szCs w:val="16"/>
          <w:color w:val="auto"/>
        </w:rPr>
      </w:pPr>
      <w:r>
        <w:rPr>
          <w:rFonts w:ascii="Arial" w:cs="Arial" w:eastAsia="Arial" w:hAnsi="Arial"/>
          <w:sz w:val="16"/>
          <w:szCs w:val="16"/>
          <w:color w:val="auto"/>
        </w:rPr>
        <w:t>Tax impact include $4,827 and $2,057 during the three months ended March 31, 2018 and 2017 respectively, and $2,627 during the three months ended December 31, 2017 related to discrete benefit recognized in income tax expense on adoption of ASU No. 2016-09, Compensation - Stock Compensation.</w:t>
      </w:r>
    </w:p>
    <w:p>
      <w:pPr>
        <w:spacing w:after="0" w:line="23" w:lineRule="exact"/>
        <w:rPr>
          <w:rFonts w:ascii="Arial" w:cs="Arial" w:eastAsia="Arial" w:hAnsi="Arial"/>
          <w:sz w:val="16"/>
          <w:szCs w:val="16"/>
          <w:color w:val="auto"/>
        </w:rPr>
      </w:pPr>
    </w:p>
    <w:p>
      <w:pPr>
        <w:ind w:left="220" w:hanging="212"/>
        <w:spacing w:after="0"/>
        <w:tabs>
          <w:tab w:leader="none" w:pos="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exclude provision for litigation settlement during the three months ended March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Contact: Steven N. Barlow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ind w:right="9160" w:firstLine="8"/>
        <w:spacing w:after="0" w:line="323" w:lineRule="auto"/>
        <w:tabs>
          <w:tab w:leader="none" w:pos="435"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624-5913 </w:t>
      </w:r>
      <w:r>
        <w:rPr>
          <w:rFonts w:ascii="Arial" w:cs="Arial" w:eastAsia="Arial" w:hAnsi="Arial"/>
          <w:sz w:val="16"/>
          <w:szCs w:val="16"/>
          <w:u w:val="single" w:color="auto"/>
          <w:color w:val="0000FF"/>
        </w:rPr>
        <w:t>steven.barlow@exlservice.com</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o"/>
      <w:numFmt w:val="bullet"/>
      <w:start w:val="1"/>
    </w:lvl>
  </w:abstractNum>
  <w:abstractNum w:abstractNumId="1">
    <w:nsid w:val="3D1B58BA"/>
    <w:multiLevelType w:val="hybridMultilevel"/>
    <w:lvl w:ilvl="0">
      <w:lvlJc w:val="left"/>
      <w:lvlText w:val="o"/>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2019-12-07T00:21:32Z</dcterms:created>
  <dcterms:modified xsi:type="dcterms:W3CDTF">2019-12-07T00:21:32Z</dcterms:modified>
</cp:coreProperties>
</file>