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031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0319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800" w:type="dxa"/>
            <w:vAlign w:val="bottom"/>
            <w:gridSpan w:val="7"/>
            <w:vMerge w:val="restart"/>
          </w:tcPr>
          <w:p>
            <w:pPr>
              <w:jc w:val="right"/>
              <w:ind w:right="155"/>
              <w:spacing w:after="0"/>
              <w:rPr>
                <w:sz w:val="20"/>
                <w:szCs w:val="20"/>
                <w:color w:val="auto"/>
              </w:rPr>
            </w:pPr>
            <w:r>
              <w:rPr>
                <w:rFonts w:ascii="Arial" w:cs="Arial" w:eastAsia="Arial" w:hAnsi="Arial"/>
                <w:sz w:val="14"/>
                <w:szCs w:val="14"/>
                <w:color w:val="auto"/>
                <w:w w:val="99"/>
              </w:rPr>
              <w:t>4. If Amendment, Date of Original Filed (Month/Day/Year)</w:t>
            </w:r>
          </w:p>
        </w:tc>
        <w:tc>
          <w:tcPr>
            <w:tcW w:w="3800" w:type="dxa"/>
            <w:vAlign w:val="bottom"/>
            <w:gridSpan w:val="11"/>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gridSpan w:val="7"/>
            <w:vMerge w:val="continue"/>
          </w:tcPr>
          <w:p>
            <w:pPr>
              <w:spacing w:after="0"/>
              <w:rPr>
                <w:sz w:val="11"/>
                <w:szCs w:val="11"/>
                <w:color w:val="auto"/>
              </w:rPr>
            </w:pPr>
          </w:p>
        </w:tc>
        <w:tc>
          <w:tcPr>
            <w:tcW w:w="38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gridSpan w:val="3"/>
          </w:tcPr>
          <w:p>
            <w:pPr>
              <w:ind w:left="34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600" w:type="dxa"/>
            <w:vAlign w:val="bottom"/>
          </w:tcPr>
          <w:p>
            <w:pPr>
              <w:ind w:left="20"/>
              <w:spacing w:after="0"/>
              <w:rPr>
                <w:sz w:val="20"/>
                <w:szCs w:val="20"/>
                <w:color w:val="auto"/>
              </w:rPr>
            </w:pPr>
            <w:r>
              <w:rPr>
                <w:rFonts w:ascii="Arial" w:cs="Arial" w:eastAsia="Arial" w:hAnsi="Arial"/>
                <w:sz w:val="18"/>
                <w:szCs w:val="18"/>
                <w:color w:val="0000FF"/>
              </w:rPr>
              <w:t>10017</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520" w:type="dxa"/>
            <w:vAlign w:val="bottom"/>
            <w:gridSpan w:val="6"/>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3160" w:type="dxa"/>
            <w:vAlign w:val="bottom"/>
            <w:gridSpan w:val="9"/>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316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w w:val="94"/>
              </w:rPr>
              <w:t>Person</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780" w:type="dxa"/>
            <w:vAlign w:val="bottom"/>
            <w:tcBorders>
              <w:bottom w:val="single" w:sz="8" w:color="2C2C2C"/>
            </w:tcBorders>
            <w:gridSpan w:val="5"/>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4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gridSpan w:val="5"/>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40" w:type="dxa"/>
            <w:vAlign w:val="bottom"/>
            <w:tcBorders>
              <w:bottom w:val="single" w:sz="8" w:color="2C2C2C"/>
            </w:tcBorders>
            <w:gridSpan w:val="3"/>
          </w:tcPr>
          <w:p>
            <w:pPr>
              <w:jc w:val="right"/>
              <w:ind w:right="132"/>
              <w:spacing w:after="0"/>
              <w:rPr>
                <w:sz w:val="20"/>
                <w:szCs w:val="20"/>
                <w:color w:val="auto"/>
              </w:rPr>
            </w:pPr>
            <w:r>
              <w:rPr>
                <w:rFonts w:ascii="Arial" w:cs="Arial" w:eastAsia="Arial" w:hAnsi="Arial"/>
                <w:sz w:val="18"/>
                <w:szCs w:val="18"/>
                <w:color w:val="0000FF"/>
              </w:rPr>
              <w:t>02/26/2016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9,375</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1"/>
                <w:szCs w:val="11"/>
                <w:color w:val="008000"/>
              </w:rPr>
              <w:t>(1)</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296,185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40,219</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333,185</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gridSpan w:val="5"/>
            <w:vMerge w:val="restart"/>
          </w:tcPr>
          <w:p>
            <w:pPr>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(8)</w:t>
            </w:r>
          </w:p>
        </w:tc>
        <w:tc>
          <w:tcPr>
            <w:tcW w:w="720" w:type="dxa"/>
            <w:vAlign w:val="bottom"/>
            <w:vMerge w:val="restart"/>
          </w:tcPr>
          <w:p>
            <w:pPr>
              <w:ind w:left="240"/>
              <w:spacing w:after="0"/>
              <w:rPr>
                <w:sz w:val="20"/>
                <w:szCs w:val="20"/>
                <w:color w:val="auto"/>
              </w:rPr>
            </w:pPr>
            <w:r>
              <w:rPr>
                <w:rFonts w:ascii="Arial" w:cs="Arial" w:eastAsia="Arial" w:hAnsi="Arial"/>
                <w:sz w:val="11"/>
                <w:szCs w:val="11"/>
                <w:color w:val="008000"/>
              </w:rPr>
              <w:t>(8)</w:t>
            </w:r>
          </w:p>
        </w:tc>
        <w:tc>
          <w:tcPr>
            <w:tcW w:w="680" w:type="dxa"/>
            <w:vAlign w:val="bottom"/>
          </w:tcPr>
          <w:p>
            <w:pPr>
              <w:jc w:val="right"/>
              <w:ind w:right="155"/>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9,375</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0000FF"/>
              </w:rPr>
              <w:t>02/26/2016</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292"/>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00" w:type="dxa"/>
            <w:vAlign w:val="bottom"/>
          </w:tcPr>
          <w:p>
            <w:pPr>
              <w:ind w:left="400"/>
              <w:spacing w:after="0" w:line="149" w:lineRule="exact"/>
              <w:rPr>
                <w:sz w:val="20"/>
                <w:szCs w:val="20"/>
                <w:color w:val="auto"/>
              </w:rPr>
            </w:pPr>
            <w:r>
              <w:rPr>
                <w:rFonts w:ascii="Arial" w:cs="Arial" w:eastAsia="Arial" w:hAnsi="Arial"/>
                <w:sz w:val="14"/>
                <w:szCs w:val="14"/>
                <w:color w:val="0000FF"/>
              </w:rPr>
              <w:t>9,375</w:t>
            </w:r>
          </w:p>
        </w:tc>
        <w:tc>
          <w:tcPr>
            <w:tcW w:w="8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4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8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0000FF"/>
              </w:rPr>
              <w:t>28,125</w:t>
            </w:r>
          </w:p>
        </w:tc>
        <w:tc>
          <w:tcPr>
            <w:tcW w:w="680" w:type="dxa"/>
            <w:vAlign w:val="bottom"/>
          </w:tcPr>
          <w:p>
            <w:pPr>
              <w:ind w:left="40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right"/>
              <w:ind w:right="135"/>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convert into common stock, par value $0.001 per share on a one-for-one basis.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2013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37,500 restricted stock units, vesting in four equal annual installments beginning on the first anniversary of the grant date. 9,375 restricted stock units became vested on February 26, 2016, an additional 9,375 restricted stock units will vest on February 26, 2017, an additional 9,375 restricted stock units will vest on February 26, 2018, and the remaining balance i/n/o 9,375 restricted stock units will vest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03/01/2016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1"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2019-12-08T02:22:27Z</dcterms:created>
  <dcterms:modified xsi:type="dcterms:W3CDTF">2019-12-08T02:22:27Z</dcterms:modified>
</cp:coreProperties>
</file>