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1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2010</w:t>
      </w:r>
    </w:p>
    <w:p>
      <w:pPr>
        <w:spacing w:after="0" w:line="14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45"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5" w:lineRule="exact"/>
        <w:rPr>
          <w:sz w:val="24"/>
          <w:szCs w:val="24"/>
          <w:color w:val="auto"/>
        </w:rPr>
      </w:pPr>
    </w:p>
    <w:p>
      <w:pPr>
        <w:ind w:left="3380"/>
        <w:spacing w:after="0"/>
        <w:tabs>
          <w:tab w:leader="none" w:pos="6640" w:val="left"/>
        </w:tabs>
        <w:rPr>
          <w:sz w:val="20"/>
          <w:szCs w:val="20"/>
          <w:color w:val="auto"/>
        </w:rPr>
      </w:pPr>
      <w:r>
        <w:rPr>
          <w:rFonts w:ascii="Arial" w:cs="Arial" w:eastAsia="Arial" w:hAnsi="Arial"/>
          <w:sz w:val="18"/>
          <w:szCs w:val="18"/>
          <w:b w:val="1"/>
          <w:bCs w:val="1"/>
          <w:color w:val="auto"/>
        </w:rPr>
        <w:t>FOR THE TRANSITION PERIOD</w:t>
      </w:r>
      <w:r>
        <w:rPr>
          <w:sz w:val="20"/>
          <w:szCs w:val="20"/>
          <w:color w:val="auto"/>
        </w:rPr>
        <w:tab/>
      </w:r>
      <w:r>
        <w:rPr>
          <w:rFonts w:ascii="Arial" w:cs="Arial" w:eastAsia="Arial" w:hAnsi="Arial"/>
          <w:sz w:val="16"/>
          <w:szCs w:val="16"/>
          <w:b w:val="1"/>
          <w:bCs w:val="1"/>
          <w:color w:val="auto"/>
        </w:rPr>
        <w:t>FROM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3863340</wp:posOffset>
            </wp:positionH>
            <wp:positionV relativeFrom="paragraph">
              <wp:posOffset>-10160</wp:posOffset>
            </wp:positionV>
            <wp:extent cx="3346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4780915</wp:posOffset>
            </wp:positionH>
            <wp:positionV relativeFrom="paragraph">
              <wp:posOffset>-10160</wp:posOffset>
            </wp:positionV>
            <wp:extent cx="3346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2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001-33089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EXLSERVICE HOLDINGS, INC.</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980" w:type="dxa"/>
        <w:tblCellMar>
          <w:top w:w="0" w:type="dxa"/>
          <w:left w:w="0" w:type="dxa"/>
          <w:bottom w:w="0" w:type="dxa"/>
          <w:right w:w="0" w:type="dxa"/>
        </w:tblCellMar>
      </w:tblPr>
      <w:tr>
        <w:trPr>
          <w:trHeight w:val="218"/>
        </w:trPr>
        <w:tc>
          <w:tcPr>
            <w:tcW w:w="6720" w:type="dxa"/>
            <w:vAlign w:val="bottom"/>
          </w:tcPr>
          <w:p>
            <w:pPr>
              <w:jc w:val="center"/>
              <w:ind w:right="2880"/>
              <w:spacing w:after="0"/>
              <w:rPr>
                <w:sz w:val="20"/>
                <w:szCs w:val="20"/>
                <w:color w:val="auto"/>
              </w:rPr>
            </w:pPr>
            <w:r>
              <w:rPr>
                <w:rFonts w:ascii="Arial" w:cs="Arial" w:eastAsia="Arial" w:hAnsi="Arial"/>
                <w:sz w:val="18"/>
                <w:szCs w:val="18"/>
                <w:b w:val="1"/>
                <w:bCs w:val="1"/>
                <w:color w:val="auto"/>
                <w:w w:val="96"/>
              </w:rPr>
              <w:t>DELAWARE</w:t>
            </w:r>
          </w:p>
        </w:tc>
        <w:tc>
          <w:tcPr>
            <w:tcW w:w="1520" w:type="dxa"/>
            <w:vAlign w:val="bottom"/>
          </w:tcPr>
          <w:p>
            <w:pPr>
              <w:jc w:val="right"/>
              <w:ind w:right="44"/>
              <w:spacing w:after="0"/>
              <w:rPr>
                <w:sz w:val="20"/>
                <w:szCs w:val="20"/>
                <w:color w:val="auto"/>
              </w:rPr>
            </w:pPr>
            <w:r>
              <w:rPr>
                <w:rFonts w:ascii="Arial" w:cs="Arial" w:eastAsia="Arial" w:hAnsi="Arial"/>
                <w:sz w:val="18"/>
                <w:szCs w:val="18"/>
                <w:b w:val="1"/>
                <w:bCs w:val="1"/>
                <w:color w:val="auto"/>
              </w:rPr>
              <w:t>82-0572194</w:t>
            </w:r>
          </w:p>
        </w:tc>
      </w:tr>
      <w:tr>
        <w:trPr>
          <w:trHeight w:val="149"/>
        </w:trPr>
        <w:tc>
          <w:tcPr>
            <w:tcW w:w="6720" w:type="dxa"/>
            <w:vAlign w:val="bottom"/>
          </w:tcPr>
          <w:p>
            <w:pPr>
              <w:jc w:val="center"/>
              <w:ind w:right="2880"/>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520" w:type="dxa"/>
            <w:vAlign w:val="bottom"/>
          </w:tcPr>
          <w:p>
            <w:pPr>
              <w:jc w:val="center"/>
              <w:ind w:left="38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720" w:type="dxa"/>
            <w:vAlign w:val="bottom"/>
          </w:tcPr>
          <w:p>
            <w:pPr>
              <w:jc w:val="center"/>
              <w:ind w:right="2880"/>
              <w:spacing w:after="0"/>
              <w:rPr>
                <w:sz w:val="20"/>
                <w:szCs w:val="20"/>
                <w:color w:val="auto"/>
              </w:rPr>
            </w:pPr>
            <w:r>
              <w:rPr>
                <w:rFonts w:ascii="Arial" w:cs="Arial" w:eastAsia="Arial" w:hAnsi="Arial"/>
                <w:sz w:val="14"/>
                <w:szCs w:val="14"/>
                <w:b w:val="1"/>
                <w:bCs w:val="1"/>
                <w:color w:val="auto"/>
                <w:w w:val="88"/>
              </w:rPr>
              <w:t>incorporation or organization)</w:t>
            </w:r>
          </w:p>
        </w:tc>
        <w:tc>
          <w:tcPr>
            <w:tcW w:w="1520" w:type="dxa"/>
            <w:vAlign w:val="bottom"/>
          </w:tcPr>
          <w:p>
            <w:pPr>
              <w:jc w:val="center"/>
              <w:ind w:left="384"/>
              <w:spacing w:after="0"/>
              <w:rPr>
                <w:sz w:val="20"/>
                <w:szCs w:val="20"/>
                <w:color w:val="auto"/>
              </w:rPr>
            </w:pPr>
            <w:r>
              <w:rPr>
                <w:rFonts w:ascii="Arial" w:cs="Arial" w:eastAsia="Arial" w:hAnsi="Arial"/>
                <w:sz w:val="14"/>
                <w:szCs w:val="14"/>
                <w:b w:val="1"/>
                <w:bCs w:val="1"/>
                <w:color w:val="auto"/>
                <w:w w:val="89"/>
              </w:rPr>
              <w:t>Identification No.)</w:t>
            </w:r>
          </w:p>
        </w:tc>
      </w:tr>
      <w:tr>
        <w:trPr>
          <w:trHeight w:val="378"/>
        </w:trPr>
        <w:tc>
          <w:tcPr>
            <w:tcW w:w="6720" w:type="dxa"/>
            <w:vAlign w:val="bottom"/>
          </w:tcPr>
          <w:p>
            <w:pPr>
              <w:jc w:val="center"/>
              <w:ind w:right="2880"/>
              <w:spacing w:after="0"/>
              <w:rPr>
                <w:sz w:val="20"/>
                <w:szCs w:val="20"/>
                <w:color w:val="auto"/>
              </w:rPr>
            </w:pPr>
            <w:r>
              <w:rPr>
                <w:rFonts w:ascii="Arial" w:cs="Arial" w:eastAsia="Arial" w:hAnsi="Arial"/>
                <w:sz w:val="18"/>
                <w:szCs w:val="18"/>
                <w:b w:val="1"/>
                <w:bCs w:val="1"/>
                <w:color w:val="auto"/>
                <w:w w:val="95"/>
              </w:rPr>
              <w:t>280 PARK AVENUE, 38th FLOOR, NEW YORK,</w:t>
            </w:r>
          </w:p>
        </w:tc>
        <w:tc>
          <w:tcPr>
            <w:tcW w:w="1520" w:type="dxa"/>
            <w:vAlign w:val="bottom"/>
          </w:tcPr>
          <w:p>
            <w:pPr>
              <w:jc w:val="right"/>
              <w:ind w:right="244"/>
              <w:spacing w:after="0"/>
              <w:rPr>
                <w:sz w:val="20"/>
                <w:szCs w:val="20"/>
                <w:color w:val="auto"/>
              </w:rPr>
            </w:pPr>
            <w:r>
              <w:rPr>
                <w:rFonts w:ascii="Arial" w:cs="Arial" w:eastAsia="Arial" w:hAnsi="Arial"/>
                <w:sz w:val="18"/>
                <w:szCs w:val="18"/>
                <w:b w:val="1"/>
                <w:bCs w:val="1"/>
                <w:color w:val="auto"/>
              </w:rPr>
              <w:t>10017</w:t>
            </w:r>
          </w:p>
        </w:tc>
      </w:tr>
      <w:tr>
        <w:trPr>
          <w:trHeight w:val="218"/>
        </w:trPr>
        <w:tc>
          <w:tcPr>
            <w:tcW w:w="6720" w:type="dxa"/>
            <w:vAlign w:val="bottom"/>
          </w:tcPr>
          <w:p>
            <w:pPr>
              <w:jc w:val="center"/>
              <w:ind w:right="2880"/>
              <w:spacing w:after="0"/>
              <w:rPr>
                <w:sz w:val="20"/>
                <w:szCs w:val="20"/>
                <w:color w:val="auto"/>
              </w:rPr>
            </w:pPr>
            <w:r>
              <w:rPr>
                <w:rFonts w:ascii="Arial" w:cs="Arial" w:eastAsia="Arial" w:hAnsi="Arial"/>
                <w:sz w:val="18"/>
                <w:szCs w:val="18"/>
                <w:b w:val="1"/>
                <w:bCs w:val="1"/>
                <w:color w:val="auto"/>
              </w:rPr>
              <w:t>NEW YORK</w:t>
            </w:r>
          </w:p>
        </w:tc>
        <w:tc>
          <w:tcPr>
            <w:tcW w:w="1520" w:type="dxa"/>
            <w:vAlign w:val="bottom"/>
          </w:tcPr>
          <w:p>
            <w:pPr>
              <w:spacing w:after="0"/>
              <w:rPr>
                <w:sz w:val="18"/>
                <w:szCs w:val="18"/>
                <w:color w:val="auto"/>
              </w:rPr>
            </w:pPr>
          </w:p>
        </w:tc>
      </w:tr>
      <w:tr>
        <w:trPr>
          <w:trHeight w:val="174"/>
        </w:trPr>
        <w:tc>
          <w:tcPr>
            <w:tcW w:w="6720" w:type="dxa"/>
            <w:vAlign w:val="bottom"/>
          </w:tcPr>
          <w:p>
            <w:pPr>
              <w:jc w:val="center"/>
              <w:ind w:right="2880"/>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1520" w:type="dxa"/>
            <w:vAlign w:val="bottom"/>
          </w:tcPr>
          <w:p>
            <w:pPr>
              <w:jc w:val="center"/>
              <w:ind w:left="384"/>
              <w:spacing w:after="0"/>
              <w:rPr>
                <w:sz w:val="20"/>
                <w:szCs w:val="20"/>
                <w:color w:val="auto"/>
              </w:rPr>
            </w:pPr>
            <w:r>
              <w:rPr>
                <w:rFonts w:ascii="Arial" w:cs="Arial" w:eastAsia="Arial" w:hAnsi="Arial"/>
                <w:sz w:val="14"/>
                <w:szCs w:val="14"/>
                <w:b w:val="1"/>
                <w:bCs w:val="1"/>
                <w:color w:val="auto"/>
                <w:w w:val="86"/>
              </w:rPr>
              <w:t>(Zip code)</w:t>
            </w:r>
          </w:p>
        </w:tc>
      </w:tr>
      <w:tr>
        <w:trPr>
          <w:trHeight w:val="352"/>
        </w:trPr>
        <w:tc>
          <w:tcPr>
            <w:tcW w:w="6720" w:type="dxa"/>
            <w:vAlign w:val="bottom"/>
          </w:tcPr>
          <w:p>
            <w:pPr>
              <w:jc w:val="right"/>
              <w:ind w:right="1240"/>
              <w:spacing w:after="0"/>
              <w:rPr>
                <w:sz w:val="20"/>
                <w:szCs w:val="20"/>
                <w:color w:val="auto"/>
              </w:rPr>
            </w:pPr>
            <w:r>
              <w:rPr>
                <w:rFonts w:ascii="Arial" w:cs="Arial" w:eastAsia="Arial" w:hAnsi="Arial"/>
                <w:sz w:val="22"/>
                <w:szCs w:val="22"/>
                <w:b w:val="1"/>
                <w:bCs w:val="1"/>
                <w:color w:val="auto"/>
              </w:rPr>
              <w:t>(212) 277-7100</w:t>
            </w:r>
          </w:p>
        </w:tc>
        <w:tc>
          <w:tcPr>
            <w:tcW w:w="1520" w:type="dxa"/>
            <w:vAlign w:val="bottom"/>
          </w:tcPr>
          <w:p>
            <w:pPr>
              <w:spacing w:after="0"/>
              <w:rPr>
                <w:sz w:val="24"/>
                <w:szCs w:val="24"/>
                <w:color w:val="auto"/>
              </w:rPr>
            </w:pPr>
          </w:p>
        </w:tc>
      </w:tr>
      <w:tr>
        <w:trPr>
          <w:trHeight w:val="174"/>
        </w:trPr>
        <w:tc>
          <w:tcPr>
            <w:tcW w:w="6720" w:type="dxa"/>
            <w:vAlign w:val="bottom"/>
          </w:tcPr>
          <w:p>
            <w:pPr>
              <w:jc w:val="center"/>
              <w:ind w:left="2660"/>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52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5"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30" w:right="239" w:bottom="1440" w:gutter="0" w:footer="0" w:header="0"/>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220" w:space="720"/>
            <w:col w:w="1680" w:space="7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00" w:space="420"/>
            <w:col w:w="160" w:space="100"/>
            <w:col w:w="5960" w:space="720"/>
            <w:col w:w="1920" w:space="480"/>
            <w:col w:w="160"/>
          </w:cols>
          <w:pgMar w:left="240" w:top="230" w:right="239" w:bottom="1440" w:gutter="0" w:footer="0" w:header="0"/>
          <w:type w:val="continuous"/>
        </w:sectPr>
      </w:pPr>
    </w:p>
    <w:p>
      <w:pPr>
        <w:ind w:left="460"/>
        <w:spacing w:after="0" w:line="184" w:lineRule="exact"/>
        <w:tabs>
          <w:tab w:leader="none" w:pos="85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0" w:lineRule="exact"/>
        <w:rPr>
          <w:sz w:val="24"/>
          <w:szCs w:val="24"/>
          <w:color w:val="auto"/>
        </w:rPr>
      </w:pPr>
    </w:p>
    <w:p>
      <w:pPr>
        <w:sectPr>
          <w:pgSz w:w="11900" w:h="16838" w:orient="portrait"/>
          <w:cols w:equalWidth="0" w:num="3">
            <w:col w:w="9100" w:space="180"/>
            <w:col w:w="220" w:space="80"/>
            <w:col w:w="1840"/>
          </w:cols>
          <w:pgMar w:left="240" w:top="230" w:right="239" w:bottom="1440" w:gutter="0" w:footer="0" w:header="0"/>
          <w:type w:val="continuous"/>
        </w:sectPr>
      </w:pPr>
    </w:p>
    <w:p>
      <w:pPr>
        <w:ind w:right="20" w:firstLine="456"/>
        <w:spacing w:after="0" w:line="268" w:lineRule="auto"/>
        <w:rPr>
          <w:sz w:val="20"/>
          <w:szCs w:val="20"/>
          <w:color w:val="auto"/>
        </w:rPr>
      </w:pPr>
      <w:r>
        <w:rPr>
          <w:rFonts w:ascii="Arial" w:cs="Arial" w:eastAsia="Arial" w:hAnsi="Arial"/>
          <w:sz w:val="18"/>
          <w:szCs w:val="18"/>
          <w:color w:val="auto"/>
        </w:rPr>
        <w:t>As of October 31, 2010, there were 29,327,450 shares of the registrant’s common stock outstanding (excluding 252,502 shares held in treasury and 241,902 shares of restricted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5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PAGE</w:t>
      </w:r>
    </w:p>
    <w:p>
      <w:pPr>
        <w:spacing w:after="0" w:line="23" w:lineRule="exact"/>
        <w:rPr>
          <w:sz w:val="20"/>
          <w:szCs w:val="20"/>
          <w:color w:val="auto"/>
        </w:rPr>
      </w:pPr>
    </w:p>
    <w:p>
      <w:pPr>
        <w:spacing w:after="0"/>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ITEM</w:t>
      </w:r>
      <w:r>
        <w:rPr>
          <w:sz w:val="20"/>
          <w:szCs w:val="20"/>
          <w:color w:val="auto"/>
        </w:rPr>
        <w:tab/>
      </w:r>
      <w:hyperlink w:anchor="page3">
        <w:r>
          <w:rPr>
            <w:rFonts w:ascii="Arial" w:cs="Arial" w:eastAsia="Arial" w:hAnsi="Arial"/>
            <w:sz w:val="18"/>
            <w:szCs w:val="18"/>
            <w:u w:val="single" w:color="auto"/>
            <w:color w:val="0000EE"/>
          </w:rPr>
          <w:t>PART I. FINANCIAL INFORMATION</w:t>
        </w:r>
      </w:hyperlink>
    </w:p>
    <w:p>
      <w:pPr>
        <w:spacing w:after="0" w:line="117" w:lineRule="exact"/>
        <w:rPr>
          <w:sz w:val="20"/>
          <w:szCs w:val="20"/>
          <w:color w:val="auto"/>
        </w:rPr>
      </w:pPr>
    </w:p>
    <w:p>
      <w:pPr>
        <w:ind w:left="780" w:hanging="684"/>
        <w:spacing w:after="0"/>
        <w:tabs>
          <w:tab w:leader="none" w:pos="780" w:val="left"/>
        </w:tabs>
        <w:numPr>
          <w:ilvl w:val="0"/>
          <w:numId w:val="3"/>
        </w:numPr>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w:t>
        </w:r>
      </w:hyperlink>
    </w:p>
    <w:tbl>
      <w:tblPr>
        <w:tblLayout w:type="fixed"/>
        <w:tblInd w:w="0" w:type="dxa"/>
        <w:tblCellMar>
          <w:top w:w="0" w:type="dxa"/>
          <w:left w:w="0" w:type="dxa"/>
          <w:bottom w:w="0" w:type="dxa"/>
          <w:right w:w="0" w:type="dxa"/>
        </w:tblCellMar>
      </w:tblPr>
      <w:tr>
        <w:trPr>
          <w:trHeight w:val="193"/>
        </w:trPr>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80" w:type="dxa"/>
            <w:vAlign w:val="bottom"/>
            <w:tcBorders>
              <w:bottom w:val="single" w:sz="8" w:color="0000EE"/>
            </w:tcBorders>
            <w:gridSpan w:val="13"/>
          </w:tcPr>
          <w:p>
            <w:pPr>
              <w:spacing w:after="0" w:line="193" w:lineRule="exact"/>
              <w:rPr>
                <w:rFonts w:ascii="Arial" w:cs="Arial" w:eastAsia="Arial" w:hAnsi="Arial"/>
                <w:sz w:val="18"/>
                <w:szCs w:val="18"/>
                <w:color w:val="0000EE"/>
                <w:w w:val="86"/>
              </w:rPr>
            </w:pPr>
            <w:hyperlink w:anchor="page3">
              <w:r>
                <w:rPr>
                  <w:rFonts w:ascii="Arial" w:cs="Arial" w:eastAsia="Arial" w:hAnsi="Arial"/>
                  <w:sz w:val="18"/>
                  <w:szCs w:val="18"/>
                  <w:color w:val="0000EE"/>
                  <w:w w:val="86"/>
                </w:rPr>
                <w:t>Consolidated Balance Sheets as of September 30, 2010 (Unaudited) and December 31, 2009</w:t>
              </w:r>
            </w:hyperlink>
          </w:p>
        </w:tc>
        <w:tc>
          <w:tcPr>
            <w:tcW w:w="3140" w:type="dxa"/>
            <w:vAlign w:val="bottom"/>
            <w:gridSpan w:val="3"/>
          </w:tcPr>
          <w:p>
            <w:pPr>
              <w:spacing w:after="0"/>
              <w:rPr>
                <w:sz w:val="16"/>
                <w:szCs w:val="16"/>
                <w:color w:val="auto"/>
              </w:rPr>
            </w:pPr>
          </w:p>
        </w:tc>
        <w:tc>
          <w:tcPr>
            <w:tcW w:w="480" w:type="dxa"/>
            <w:vAlign w:val="bottom"/>
          </w:tcPr>
          <w:p>
            <w:pPr>
              <w:jc w:val="right"/>
              <w:spacing w:after="0" w:line="193" w:lineRule="exact"/>
              <w:rPr>
                <w:sz w:val="20"/>
                <w:szCs w:val="20"/>
                <w:color w:val="auto"/>
              </w:rPr>
            </w:pPr>
            <w:r>
              <w:rPr>
                <w:rFonts w:ascii="Arial" w:cs="Arial" w:eastAsia="Arial" w:hAnsi="Arial"/>
                <w:sz w:val="18"/>
                <w:szCs w:val="18"/>
                <w:color w:val="auto"/>
              </w:rPr>
              <w:t>3</w:t>
            </w:r>
          </w:p>
        </w:tc>
      </w:tr>
      <w:tr>
        <w:trPr>
          <w:trHeight w:val="196"/>
        </w:trPr>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320" w:type="dxa"/>
            <w:vAlign w:val="bottom"/>
            <w:tcBorders>
              <w:bottom w:val="single" w:sz="8" w:color="0000EE"/>
            </w:tcBorders>
            <w:gridSpan w:val="15"/>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Consolidated Statements of Income (Unaudited) for the Three Months Ended and Nine Months Ended September 30, 2010 and 2009</w:t>
              </w:r>
            </w:hyperlink>
          </w:p>
        </w:tc>
        <w:tc>
          <w:tcPr>
            <w:tcW w:w="300" w:type="dxa"/>
            <w:vAlign w:val="bottom"/>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4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Consolidated Statements of Cash Flows (Unaudited) for the Nine Months Ended September 30, 2010 and 2009</w:t>
              </w:r>
            </w:hyperlink>
          </w:p>
        </w:tc>
        <w:tc>
          <w:tcPr>
            <w:tcW w:w="1780" w:type="dxa"/>
            <w:vAlign w:val="bottom"/>
            <w:gridSpan w:val="2"/>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960" w:type="dxa"/>
            <w:vAlign w:val="bottom"/>
            <w:tcBorders>
              <w:bottom w:val="single" w:sz="8" w:color="0000EE"/>
            </w:tcBorders>
            <w:gridSpan w:val="11"/>
          </w:tcPr>
          <w:p>
            <w:pPr>
              <w:spacing w:after="0" w:line="19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Notes to Consolidated Financial Statements (Unaudited)</w:t>
              </w:r>
            </w:hyperlink>
          </w:p>
        </w:tc>
        <w:tc>
          <w:tcPr>
            <w:tcW w:w="5660" w:type="dxa"/>
            <w:vAlign w:val="bottom"/>
            <w:gridSpan w:val="5"/>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304"/>
        </w:trPr>
        <w:tc>
          <w:tcPr>
            <w:tcW w:w="740" w:type="dxa"/>
            <w:vAlign w:val="bottom"/>
          </w:tcPr>
          <w:p>
            <w:pPr>
              <w:jc w:val="center"/>
              <w:ind w:right="372"/>
              <w:spacing w:after="0"/>
              <w:rPr>
                <w:sz w:val="20"/>
                <w:szCs w:val="20"/>
                <w:color w:val="auto"/>
              </w:rPr>
            </w:pPr>
            <w:r>
              <w:rPr>
                <w:rFonts w:ascii="Arial" w:cs="Arial" w:eastAsia="Arial" w:hAnsi="Arial"/>
                <w:sz w:val="18"/>
                <w:szCs w:val="18"/>
                <w:color w:val="auto"/>
                <w:w w:val="79"/>
              </w:rPr>
              <w:t>2</w:t>
            </w:r>
          </w:p>
        </w:tc>
        <w:tc>
          <w:tcPr>
            <w:tcW w:w="40" w:type="dxa"/>
            <w:vAlign w:val="bottom"/>
          </w:tcPr>
          <w:p>
            <w:pPr>
              <w:spacing w:after="0"/>
              <w:rPr>
                <w:sz w:val="24"/>
                <w:szCs w:val="24"/>
                <w:color w:val="auto"/>
              </w:rPr>
            </w:pPr>
          </w:p>
        </w:tc>
        <w:tc>
          <w:tcPr>
            <w:tcW w:w="630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23">
              <w:r>
                <w:rPr>
                  <w:rFonts w:ascii="Arial" w:cs="Arial" w:eastAsia="Arial" w:hAnsi="Arial"/>
                  <w:sz w:val="18"/>
                  <w:szCs w:val="18"/>
                  <w:color w:val="0000EE"/>
                  <w:w w:val="88"/>
                </w:rPr>
                <w:t>Management’s Discussion and Analysis of Financial Condition and Results of Operations</w:t>
              </w:r>
            </w:hyperlink>
          </w:p>
        </w:tc>
        <w:tc>
          <w:tcPr>
            <w:tcW w:w="3760" w:type="dxa"/>
            <w:vAlign w:val="bottom"/>
            <w:gridSpan w:val="4"/>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04"/>
        </w:trPr>
        <w:tc>
          <w:tcPr>
            <w:tcW w:w="740" w:type="dxa"/>
            <w:vAlign w:val="bottom"/>
          </w:tcPr>
          <w:p>
            <w:pPr>
              <w:jc w:val="center"/>
              <w:ind w:right="372"/>
              <w:spacing w:after="0"/>
              <w:rPr>
                <w:sz w:val="20"/>
                <w:szCs w:val="20"/>
                <w:color w:val="auto"/>
              </w:rPr>
            </w:pPr>
            <w:r>
              <w:rPr>
                <w:rFonts w:ascii="Arial" w:cs="Arial" w:eastAsia="Arial" w:hAnsi="Arial"/>
                <w:sz w:val="18"/>
                <w:szCs w:val="18"/>
                <w:color w:val="auto"/>
                <w:w w:val="79"/>
              </w:rPr>
              <w:t>3</w:t>
            </w:r>
          </w:p>
        </w:tc>
        <w:tc>
          <w:tcPr>
            <w:tcW w:w="40" w:type="dxa"/>
            <w:vAlign w:val="bottom"/>
          </w:tcPr>
          <w:p>
            <w:pPr>
              <w:spacing w:after="0"/>
              <w:rPr>
                <w:sz w:val="24"/>
                <w:szCs w:val="24"/>
                <w:color w:val="auto"/>
              </w:rPr>
            </w:pPr>
          </w:p>
        </w:tc>
        <w:tc>
          <w:tcPr>
            <w:tcW w:w="426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Quantitative and Qualitative Disclosures About Market Risk</w:t>
              </w:r>
            </w:hyperlink>
          </w:p>
        </w:tc>
        <w:tc>
          <w:tcPr>
            <w:tcW w:w="5800" w:type="dxa"/>
            <w:vAlign w:val="bottom"/>
            <w:gridSpan w:val="6"/>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04"/>
        </w:trPr>
        <w:tc>
          <w:tcPr>
            <w:tcW w:w="740" w:type="dxa"/>
            <w:vAlign w:val="bottom"/>
          </w:tcPr>
          <w:p>
            <w:pPr>
              <w:jc w:val="center"/>
              <w:ind w:right="372"/>
              <w:spacing w:after="0"/>
              <w:rPr>
                <w:sz w:val="20"/>
                <w:szCs w:val="20"/>
                <w:color w:val="auto"/>
              </w:rPr>
            </w:pPr>
            <w:r>
              <w:rPr>
                <w:rFonts w:ascii="Arial" w:cs="Arial" w:eastAsia="Arial" w:hAnsi="Arial"/>
                <w:sz w:val="18"/>
                <w:szCs w:val="18"/>
                <w:color w:val="auto"/>
                <w:w w:val="79"/>
              </w:rPr>
              <w:t>4</w:t>
            </w:r>
          </w:p>
        </w:tc>
        <w:tc>
          <w:tcPr>
            <w:tcW w:w="40" w:type="dxa"/>
            <w:vAlign w:val="bottom"/>
          </w:tcPr>
          <w:p>
            <w:pPr>
              <w:spacing w:after="0"/>
              <w:rPr>
                <w:sz w:val="24"/>
                <w:szCs w:val="24"/>
                <w:color w:val="auto"/>
              </w:rPr>
            </w:pPr>
          </w:p>
        </w:tc>
        <w:tc>
          <w:tcPr>
            <w:tcW w:w="10060" w:type="dxa"/>
            <w:vAlign w:val="bottom"/>
            <w:gridSpan w:val="17"/>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Controls and Procedures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82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12"/>
        </w:trPr>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60" w:type="dxa"/>
            <w:vAlign w:val="bottom"/>
            <w:gridSpan w:val="17"/>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PART II. OTHER INFORMATION</w:t>
              </w:r>
            </w:hyperlink>
          </w:p>
        </w:tc>
        <w:tc>
          <w:tcPr>
            <w:tcW w:w="480" w:type="dxa"/>
            <w:vAlign w:val="bottom"/>
          </w:tcPr>
          <w:p>
            <w:pPr>
              <w:spacing w:after="0"/>
              <w:rPr>
                <w:sz w:val="24"/>
                <w:szCs w:val="24"/>
                <w:color w:val="auto"/>
              </w:rPr>
            </w:pPr>
          </w:p>
        </w:tc>
      </w:tr>
      <w:tr>
        <w:trPr>
          <w:trHeight w:val="304"/>
        </w:trPr>
        <w:tc>
          <w:tcPr>
            <w:tcW w:w="740" w:type="dxa"/>
            <w:vAlign w:val="bottom"/>
          </w:tcPr>
          <w:p>
            <w:pPr>
              <w:jc w:val="center"/>
              <w:ind w:right="372"/>
              <w:spacing w:after="0"/>
              <w:rPr>
                <w:sz w:val="20"/>
                <w:szCs w:val="20"/>
                <w:color w:val="auto"/>
              </w:rPr>
            </w:pPr>
            <w:r>
              <w:rPr>
                <w:rFonts w:ascii="Arial" w:cs="Arial" w:eastAsia="Arial" w:hAnsi="Arial"/>
                <w:sz w:val="18"/>
                <w:szCs w:val="18"/>
                <w:color w:val="auto"/>
                <w:w w:val="79"/>
              </w:rPr>
              <w:t>1</w:t>
            </w:r>
          </w:p>
        </w:tc>
        <w:tc>
          <w:tcPr>
            <w:tcW w:w="40" w:type="dxa"/>
            <w:vAlign w:val="bottom"/>
          </w:tcPr>
          <w:p>
            <w:pPr>
              <w:spacing w:after="0"/>
              <w:rPr>
                <w:sz w:val="24"/>
                <w:szCs w:val="24"/>
                <w:color w:val="auto"/>
              </w:rPr>
            </w:pPr>
          </w:p>
        </w:tc>
        <w:tc>
          <w:tcPr>
            <w:tcW w:w="130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5"/>
              </w:rPr>
            </w:pPr>
            <w:hyperlink w:anchor="page34">
              <w:r>
                <w:rPr>
                  <w:rFonts w:ascii="Arial" w:cs="Arial" w:eastAsia="Arial" w:hAnsi="Arial"/>
                  <w:sz w:val="18"/>
                  <w:szCs w:val="18"/>
                  <w:color w:val="0000EE"/>
                  <w:w w:val="85"/>
                </w:rPr>
                <w:t>Legal Proceedings</w:t>
              </w:r>
            </w:hyperlink>
          </w:p>
        </w:tc>
        <w:tc>
          <w:tcPr>
            <w:tcW w:w="1200" w:type="dxa"/>
            <w:vAlign w:val="bottom"/>
            <w:tcBorders>
              <w:top w:val="single" w:sz="8" w:color="0000EE"/>
            </w:tcBorders>
            <w:gridSpan w:val="4"/>
          </w:tcPr>
          <w:p>
            <w:pPr>
              <w:spacing w:after="0"/>
              <w:rPr>
                <w:sz w:val="24"/>
                <w:szCs w:val="24"/>
                <w:color w:val="auto"/>
              </w:rPr>
            </w:pPr>
          </w:p>
        </w:tc>
        <w:tc>
          <w:tcPr>
            <w:tcW w:w="7560" w:type="dxa"/>
            <w:vAlign w:val="bottom"/>
            <w:gridSpan w:val="8"/>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04"/>
        </w:trPr>
        <w:tc>
          <w:tcPr>
            <w:tcW w:w="780" w:type="dxa"/>
            <w:vAlign w:val="bottom"/>
            <w:gridSpan w:val="2"/>
          </w:tcPr>
          <w:p>
            <w:pPr>
              <w:jc w:val="center"/>
              <w:ind w:right="520"/>
              <w:spacing w:after="0"/>
              <w:rPr>
                <w:sz w:val="20"/>
                <w:szCs w:val="20"/>
                <w:color w:val="auto"/>
              </w:rPr>
            </w:pPr>
            <w:r>
              <w:rPr>
                <w:rFonts w:ascii="Arial" w:cs="Arial" w:eastAsia="Arial" w:hAnsi="Arial"/>
                <w:sz w:val="18"/>
                <w:szCs w:val="18"/>
                <w:color w:val="auto"/>
                <w:w w:val="96"/>
              </w:rPr>
              <w:t>1A.</w:t>
            </w:r>
          </w:p>
        </w:tc>
        <w:tc>
          <w:tcPr>
            <w:tcW w:w="10060" w:type="dxa"/>
            <w:vAlign w:val="bottom"/>
            <w:gridSpan w:val="17"/>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Risk Factors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82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04"/>
        </w:trPr>
        <w:tc>
          <w:tcPr>
            <w:tcW w:w="740" w:type="dxa"/>
            <w:vAlign w:val="bottom"/>
          </w:tcPr>
          <w:p>
            <w:pPr>
              <w:jc w:val="center"/>
              <w:ind w:right="372"/>
              <w:spacing w:after="0"/>
              <w:rPr>
                <w:sz w:val="20"/>
                <w:szCs w:val="20"/>
                <w:color w:val="auto"/>
              </w:rPr>
            </w:pPr>
            <w:r>
              <w:rPr>
                <w:rFonts w:ascii="Arial" w:cs="Arial" w:eastAsia="Arial" w:hAnsi="Arial"/>
                <w:sz w:val="18"/>
                <w:szCs w:val="18"/>
                <w:color w:val="auto"/>
                <w:w w:val="79"/>
              </w:rPr>
              <w:t>2</w:t>
            </w:r>
          </w:p>
        </w:tc>
        <w:tc>
          <w:tcPr>
            <w:tcW w:w="40" w:type="dxa"/>
            <w:vAlign w:val="bottom"/>
          </w:tcPr>
          <w:p>
            <w:pPr>
              <w:spacing w:after="0"/>
              <w:rPr>
                <w:sz w:val="24"/>
                <w:szCs w:val="24"/>
                <w:color w:val="auto"/>
              </w:rPr>
            </w:pPr>
          </w:p>
        </w:tc>
        <w:tc>
          <w:tcPr>
            <w:tcW w:w="4240" w:type="dxa"/>
            <w:vAlign w:val="bottom"/>
            <w:tcBorders>
              <w:bottom w:val="single" w:sz="8" w:color="0000EE"/>
            </w:tcBorders>
            <w:gridSpan w:val="10"/>
          </w:tcPr>
          <w:p>
            <w:pPr>
              <w:spacing w:after="0"/>
              <w:rPr>
                <w:rFonts w:ascii="Arial" w:cs="Arial" w:eastAsia="Arial" w:hAnsi="Arial"/>
                <w:sz w:val="18"/>
                <w:szCs w:val="18"/>
                <w:color w:val="0000EE"/>
                <w:w w:val="86"/>
              </w:rPr>
            </w:pPr>
            <w:hyperlink w:anchor="page34">
              <w:r>
                <w:rPr>
                  <w:rFonts w:ascii="Arial" w:cs="Arial" w:eastAsia="Arial" w:hAnsi="Arial"/>
                  <w:sz w:val="18"/>
                  <w:szCs w:val="18"/>
                  <w:color w:val="0000EE"/>
                  <w:w w:val="86"/>
                </w:rPr>
                <w:t>Unregistered Sales of Equity Securities and Use of Proceeds</w:t>
              </w:r>
            </w:hyperlink>
          </w:p>
        </w:tc>
        <w:tc>
          <w:tcPr>
            <w:tcW w:w="5820" w:type="dxa"/>
            <w:vAlign w:val="bottom"/>
            <w:gridSpan w:val="7"/>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04"/>
        </w:trPr>
        <w:tc>
          <w:tcPr>
            <w:tcW w:w="740" w:type="dxa"/>
            <w:vAlign w:val="bottom"/>
          </w:tcPr>
          <w:p>
            <w:pPr>
              <w:jc w:val="center"/>
              <w:ind w:right="372"/>
              <w:spacing w:after="0"/>
              <w:rPr>
                <w:sz w:val="20"/>
                <w:szCs w:val="20"/>
                <w:color w:val="auto"/>
              </w:rPr>
            </w:pPr>
            <w:r>
              <w:rPr>
                <w:rFonts w:ascii="Arial" w:cs="Arial" w:eastAsia="Arial" w:hAnsi="Arial"/>
                <w:sz w:val="18"/>
                <w:szCs w:val="18"/>
                <w:color w:val="auto"/>
                <w:w w:val="79"/>
              </w:rPr>
              <w:t>3</w:t>
            </w:r>
          </w:p>
        </w:tc>
        <w:tc>
          <w:tcPr>
            <w:tcW w:w="40" w:type="dxa"/>
            <w:vAlign w:val="bottom"/>
          </w:tcPr>
          <w:p>
            <w:pPr>
              <w:spacing w:after="0"/>
              <w:rPr>
                <w:sz w:val="24"/>
                <w:szCs w:val="24"/>
                <w:color w:val="auto"/>
              </w:rPr>
            </w:pPr>
          </w:p>
        </w:tc>
        <w:tc>
          <w:tcPr>
            <w:tcW w:w="10060" w:type="dxa"/>
            <w:vAlign w:val="bottom"/>
            <w:gridSpan w:val="17"/>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Defaults Upon Senior Securities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04"/>
        </w:trPr>
        <w:tc>
          <w:tcPr>
            <w:tcW w:w="740" w:type="dxa"/>
            <w:vAlign w:val="bottom"/>
          </w:tcPr>
          <w:p>
            <w:pPr>
              <w:jc w:val="center"/>
              <w:ind w:right="372"/>
              <w:spacing w:after="0"/>
              <w:rPr>
                <w:sz w:val="20"/>
                <w:szCs w:val="20"/>
                <w:color w:val="auto"/>
              </w:rPr>
            </w:pPr>
            <w:r>
              <w:rPr>
                <w:rFonts w:ascii="Arial" w:cs="Arial" w:eastAsia="Arial" w:hAnsi="Arial"/>
                <w:sz w:val="18"/>
                <w:szCs w:val="18"/>
                <w:color w:val="auto"/>
                <w:w w:val="79"/>
              </w:rPr>
              <w:t>4</w:t>
            </w:r>
          </w:p>
        </w:tc>
        <w:tc>
          <w:tcPr>
            <w:tcW w:w="40" w:type="dxa"/>
            <w:vAlign w:val="bottom"/>
          </w:tcPr>
          <w:p>
            <w:pPr>
              <w:spacing w:after="0"/>
              <w:rPr>
                <w:sz w:val="24"/>
                <w:szCs w:val="24"/>
                <w:color w:val="auto"/>
              </w:rPr>
            </w:pPr>
          </w:p>
        </w:tc>
        <w:tc>
          <w:tcPr>
            <w:tcW w:w="2260" w:type="dxa"/>
            <w:vAlign w:val="bottom"/>
            <w:tcBorders>
              <w:top w:val="single" w:sz="8" w:color="0000EE"/>
            </w:tcBorders>
            <w:gridSpan w:val="8"/>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(Removed and Reserved)</w:t>
              </w:r>
            </w:hyperlink>
          </w:p>
        </w:tc>
        <w:tc>
          <w:tcPr>
            <w:tcW w:w="7800" w:type="dxa"/>
            <w:vAlign w:val="bottom"/>
            <w:gridSpan w:val="9"/>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04"/>
        </w:trPr>
        <w:tc>
          <w:tcPr>
            <w:tcW w:w="740" w:type="dxa"/>
            <w:vAlign w:val="bottom"/>
          </w:tcPr>
          <w:p>
            <w:pPr>
              <w:jc w:val="center"/>
              <w:ind w:right="372"/>
              <w:spacing w:after="0"/>
              <w:rPr>
                <w:sz w:val="20"/>
                <w:szCs w:val="20"/>
                <w:color w:val="auto"/>
              </w:rPr>
            </w:pPr>
            <w:r>
              <w:rPr>
                <w:rFonts w:ascii="Arial" w:cs="Arial" w:eastAsia="Arial" w:hAnsi="Arial"/>
                <w:sz w:val="18"/>
                <w:szCs w:val="18"/>
                <w:color w:val="auto"/>
                <w:w w:val="79"/>
              </w:rPr>
              <w:t>5</w:t>
            </w:r>
          </w:p>
        </w:tc>
        <w:tc>
          <w:tcPr>
            <w:tcW w:w="40" w:type="dxa"/>
            <w:vAlign w:val="bottom"/>
          </w:tcPr>
          <w:p>
            <w:pPr>
              <w:spacing w:after="0"/>
              <w:rPr>
                <w:sz w:val="24"/>
                <w:szCs w:val="24"/>
                <w:color w:val="auto"/>
              </w:rPr>
            </w:pPr>
          </w:p>
        </w:tc>
        <w:tc>
          <w:tcPr>
            <w:tcW w:w="1780" w:type="dxa"/>
            <w:vAlign w:val="bottom"/>
            <w:tcBorders>
              <w:top w:val="single" w:sz="8" w:color="0000EE"/>
            </w:tcBorders>
            <w:gridSpan w:val="7"/>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Other Information</w:t>
              </w:r>
            </w:hyperlink>
          </w:p>
        </w:tc>
        <w:tc>
          <w:tcPr>
            <w:tcW w:w="8280" w:type="dxa"/>
            <w:vAlign w:val="bottom"/>
            <w:gridSpan w:val="10"/>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04"/>
        </w:trPr>
        <w:tc>
          <w:tcPr>
            <w:tcW w:w="740" w:type="dxa"/>
            <w:vAlign w:val="bottom"/>
          </w:tcPr>
          <w:p>
            <w:pPr>
              <w:jc w:val="center"/>
              <w:ind w:right="372"/>
              <w:spacing w:after="0"/>
              <w:rPr>
                <w:sz w:val="20"/>
                <w:szCs w:val="20"/>
                <w:color w:val="auto"/>
              </w:rPr>
            </w:pPr>
            <w:r>
              <w:rPr>
                <w:rFonts w:ascii="Arial" w:cs="Arial" w:eastAsia="Arial" w:hAnsi="Arial"/>
                <w:sz w:val="18"/>
                <w:szCs w:val="18"/>
                <w:color w:val="auto"/>
                <w:w w:val="79"/>
              </w:rPr>
              <w:t>6</w:t>
            </w:r>
          </w:p>
        </w:tc>
        <w:tc>
          <w:tcPr>
            <w:tcW w:w="40" w:type="dxa"/>
            <w:vAlign w:val="bottom"/>
          </w:tcPr>
          <w:p>
            <w:pPr>
              <w:spacing w:after="0"/>
              <w:rPr>
                <w:sz w:val="24"/>
                <w:szCs w:val="24"/>
                <w:color w:val="auto"/>
              </w:rPr>
            </w:pPr>
          </w:p>
        </w:tc>
        <w:tc>
          <w:tcPr>
            <w:tcW w:w="1280" w:type="dxa"/>
            <w:vAlign w:val="bottom"/>
            <w:tcBorders>
              <w:top w:val="single" w:sz="8" w:color="0000EE"/>
            </w:tcBorders>
            <w:gridSpan w:val="4"/>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Exhibits</w:t>
              </w:r>
            </w:hyperlink>
          </w:p>
        </w:tc>
        <w:tc>
          <w:tcPr>
            <w:tcW w:w="8780" w:type="dxa"/>
            <w:vAlign w:val="bottom"/>
            <w:gridSpan w:val="13"/>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04"/>
        </w:trPr>
        <w:tc>
          <w:tcPr>
            <w:tcW w:w="780" w:type="dxa"/>
            <w:vAlign w:val="bottom"/>
            <w:gridSpan w:val="2"/>
          </w:tcPr>
          <w:p>
            <w:pPr>
              <w:spacing w:after="0"/>
              <w:rPr>
                <w:rFonts w:ascii="Arial" w:cs="Arial" w:eastAsia="Arial" w:hAnsi="Arial"/>
                <w:sz w:val="18"/>
                <w:szCs w:val="18"/>
                <w:color w:val="0000EE"/>
                <w:w w:val="88"/>
              </w:rPr>
            </w:pPr>
            <w:hyperlink w:anchor="page36">
              <w:r>
                <w:rPr>
                  <w:rFonts w:ascii="Arial" w:cs="Arial" w:eastAsia="Arial" w:hAnsi="Arial"/>
                  <w:sz w:val="18"/>
                  <w:szCs w:val="18"/>
                  <w:color w:val="0000EE"/>
                  <w:w w:val="88"/>
                </w:rPr>
                <w:t>Signatures</w:t>
              </w:r>
            </w:hyperlink>
          </w:p>
        </w:tc>
        <w:tc>
          <w:tcPr>
            <w:tcW w:w="4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83"/>
        </w:trPr>
        <w:tc>
          <w:tcPr>
            <w:tcW w:w="7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6300" w:type="dxa"/>
            <w:vAlign w:val="bottom"/>
            <w:gridSpan w:val="13"/>
          </w:tcPr>
          <w:p>
            <w:pPr>
              <w:ind w:left="4900"/>
              <w:spacing w:after="0"/>
              <w:rPr>
                <w:sz w:val="20"/>
                <w:szCs w:val="20"/>
                <w:color w:val="auto"/>
              </w:rPr>
            </w:pPr>
            <w:r>
              <w:rPr>
                <w:rFonts w:ascii="Arial" w:cs="Arial" w:eastAsia="Arial" w:hAnsi="Arial"/>
                <w:sz w:val="18"/>
                <w:szCs w:val="18"/>
                <w:color w:val="auto"/>
              </w:rPr>
              <w:t>2</w:t>
            </w:r>
          </w:p>
        </w:tc>
        <w:tc>
          <w:tcPr>
            <w:tcW w:w="6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500" w:type="dxa"/>
            <w:vAlign w:val="bottom"/>
          </w:tcPr>
          <w:p>
            <w:pPr>
              <w:jc w:val="center"/>
              <w:ind w:left="1512"/>
              <w:spacing w:after="0"/>
              <w:rPr>
                <w:sz w:val="20"/>
                <w:szCs w:val="20"/>
                <w:color w:val="auto"/>
              </w:rPr>
            </w:pPr>
            <w:r>
              <w:rPr>
                <w:rFonts w:ascii="Arial" w:cs="Arial" w:eastAsia="Arial" w:hAnsi="Arial"/>
                <w:sz w:val="18"/>
                <w:szCs w:val="18"/>
                <w:b w:val="1"/>
                <w:bCs w:val="1"/>
                <w:color w:val="auto"/>
                <w:w w:val="99"/>
              </w:rPr>
              <w:t>PART I. FINANCIAL INFORMATION</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500" w:type="dxa"/>
            <w:vAlign w:val="bottom"/>
          </w:tcPr>
          <w:p>
            <w:pPr>
              <w:ind w:left="380"/>
              <w:spacing w:after="0"/>
              <w:rPr>
                <w:sz w:val="20"/>
                <w:szCs w:val="20"/>
                <w:color w:val="auto"/>
              </w:rPr>
            </w:pPr>
            <w:r>
              <w:rPr>
                <w:rFonts w:ascii="Arial" w:cs="Arial" w:eastAsia="Arial" w:hAnsi="Arial"/>
                <w:sz w:val="18"/>
                <w:szCs w:val="18"/>
                <w:b w:val="1"/>
                <w:bCs w:val="1"/>
                <w:color w:val="auto"/>
              </w:rPr>
              <w:t>FINANCIAL STATEMENTS</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500" w:type="dxa"/>
            <w:vAlign w:val="bottom"/>
          </w:tcPr>
          <w:p>
            <w:pPr>
              <w:jc w:val="center"/>
              <w:ind w:left="1512"/>
              <w:spacing w:after="0"/>
              <w:rPr>
                <w:sz w:val="20"/>
                <w:szCs w:val="20"/>
                <w:color w:val="auto"/>
              </w:rPr>
            </w:pPr>
            <w:r>
              <w:rPr>
                <w:rFonts w:ascii="Arial" w:cs="Arial" w:eastAsia="Arial" w:hAnsi="Arial"/>
                <w:sz w:val="18"/>
                <w:szCs w:val="18"/>
                <w:b w:val="1"/>
                <w:bCs w:val="1"/>
                <w:color w:val="auto"/>
                <w:w w:val="99"/>
              </w:rPr>
              <w:t>EXLSERVICE HOLDINGS, INC.</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500" w:type="dxa"/>
            <w:vAlign w:val="bottom"/>
          </w:tcPr>
          <w:p>
            <w:pPr>
              <w:jc w:val="center"/>
              <w:ind w:left="1532"/>
              <w:spacing w:after="0"/>
              <w:rPr>
                <w:sz w:val="20"/>
                <w:szCs w:val="20"/>
                <w:color w:val="auto"/>
              </w:rPr>
            </w:pPr>
            <w:r>
              <w:rPr>
                <w:rFonts w:ascii="Arial" w:cs="Arial" w:eastAsia="Arial" w:hAnsi="Arial"/>
                <w:sz w:val="18"/>
                <w:szCs w:val="18"/>
                <w:b w:val="1"/>
                <w:bCs w:val="1"/>
                <w:color w:val="auto"/>
                <w:w w:val="96"/>
              </w:rPr>
              <w:t>CONSOLIDATED BALANCE SHEETS</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500" w:type="dxa"/>
            <w:vAlign w:val="bottom"/>
          </w:tcPr>
          <w:p>
            <w:pPr>
              <w:jc w:val="center"/>
              <w:ind w:left="1512"/>
              <w:spacing w:after="0"/>
              <w:rPr>
                <w:sz w:val="20"/>
                <w:szCs w:val="20"/>
                <w:color w:val="auto"/>
              </w:rPr>
            </w:pPr>
            <w:r>
              <w:rPr>
                <w:rFonts w:ascii="Arial" w:cs="Arial" w:eastAsia="Arial" w:hAnsi="Arial"/>
                <w:sz w:val="18"/>
                <w:szCs w:val="18"/>
                <w:b w:val="1"/>
                <w:bCs w:val="1"/>
                <w:color w:val="auto"/>
                <w:w w:val="86"/>
              </w:rPr>
              <w:t>(In thousands, except share and per share amounts)</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500" w:type="dxa"/>
            <w:vAlign w:val="bottom"/>
          </w:tcPr>
          <w:p>
            <w:pPr>
              <w:spacing w:after="0"/>
              <w:rPr>
                <w:sz w:val="24"/>
                <w:szCs w:val="2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5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2010</w:t>
            </w:r>
          </w:p>
        </w:tc>
        <w:tc>
          <w:tcPr>
            <w:tcW w:w="5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500" w:type="dxa"/>
            <w:vAlign w:val="bottom"/>
          </w:tcPr>
          <w:p>
            <w:pPr>
              <w:spacing w:after="0"/>
              <w:rPr>
                <w:sz w:val="12"/>
                <w:szCs w:val="12"/>
                <w:color w:val="auto"/>
              </w:rPr>
            </w:pPr>
          </w:p>
        </w:tc>
        <w:tc>
          <w:tcPr>
            <w:tcW w:w="8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(Unaudited)</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102,608</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132,215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Short-term investments</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2,385</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Restricted cash</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Accounts receivable, net of allowance for doubtful accounts of $422 at September 30, 2010 and $262 at</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December 31, 2009</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42,006</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34,856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tax assets, net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6,251</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Advance income-tax, net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1,578</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6,363</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160" w:type="dxa"/>
            <w:vAlign w:val="bottom"/>
            <w:gridSpan w:val="3"/>
          </w:tcPr>
          <w:p>
            <w:pPr>
              <w:spacing w:after="0"/>
              <w:rPr>
                <w:sz w:val="20"/>
                <w:szCs w:val="20"/>
                <w:color w:val="auto"/>
              </w:rPr>
            </w:pPr>
            <w:r>
              <w:rPr>
                <w:rFonts w:ascii="Arial" w:cs="Arial" w:eastAsia="Arial" w:hAnsi="Arial"/>
                <w:sz w:val="18"/>
                <w:szCs w:val="18"/>
                <w:color w:val="auto"/>
              </w:rPr>
              <w:t>Total current assets</w:t>
            </w: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161,499</w:t>
            </w:r>
          </w:p>
        </w:tc>
        <w:tc>
          <w:tcPr>
            <w:tcW w:w="5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181,546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Fixed assets, net of accumulated depreciation of $45,403 at September 30, 2010 and $35,812 at December 31, 2009</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31,470</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3,531</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assets, net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9,993</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Intangible assets, net of amortization</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19,223</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43,289</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16,526</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285,531</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249,620</w:t>
            </w:r>
          </w:p>
        </w:tc>
        <w:tc>
          <w:tcPr>
            <w:tcW w:w="0" w:type="dxa"/>
            <w:vAlign w:val="bottom"/>
          </w:tcPr>
          <w:p>
            <w:pPr>
              <w:spacing w:after="0"/>
              <w:rPr>
                <w:sz w:val="1"/>
                <w:szCs w:val="1"/>
                <w:color w:val="auto"/>
              </w:rPr>
            </w:pPr>
          </w:p>
        </w:tc>
      </w:tr>
      <w:tr>
        <w:trPr>
          <w:trHeight w:val="20"/>
        </w:trPr>
        <w:tc>
          <w:tcPr>
            <w:tcW w:w="91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16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2,867</w:t>
            </w:r>
          </w:p>
        </w:tc>
        <w:tc>
          <w:tcPr>
            <w:tcW w:w="5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4,683</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Accrued employee cost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21,578</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taxes payable</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14,171</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43,299</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160" w:type="dxa"/>
            <w:vAlign w:val="bottom"/>
            <w:gridSpan w:val="3"/>
          </w:tcPr>
          <w:p>
            <w:pPr>
              <w:spacing w:after="0"/>
              <w:rPr>
                <w:sz w:val="20"/>
                <w:szCs w:val="20"/>
                <w:color w:val="auto"/>
              </w:rPr>
            </w:pPr>
            <w:r>
              <w:rPr>
                <w:rFonts w:ascii="Arial" w:cs="Arial" w:eastAsia="Arial" w:hAnsi="Arial"/>
                <w:sz w:val="18"/>
                <w:szCs w:val="18"/>
                <w:color w:val="auto"/>
              </w:rPr>
              <w:t>Non-current liabilities</w:t>
            </w: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5,908</w:t>
            </w:r>
          </w:p>
        </w:tc>
        <w:tc>
          <w:tcPr>
            <w:tcW w:w="5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49,207</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43,902</w:t>
            </w:r>
          </w:p>
        </w:tc>
        <w:tc>
          <w:tcPr>
            <w:tcW w:w="0" w:type="dxa"/>
            <w:vAlign w:val="bottom"/>
          </w:tcPr>
          <w:p>
            <w:pPr>
              <w:spacing w:after="0"/>
              <w:rPr>
                <w:sz w:val="1"/>
                <w:szCs w:val="1"/>
                <w:color w:val="auto"/>
              </w:rPr>
            </w:pPr>
          </w:p>
        </w:tc>
      </w:tr>
      <w:tr>
        <w:trPr>
          <w:trHeight w:val="221"/>
        </w:trPr>
        <w:tc>
          <w:tcPr>
            <w:tcW w:w="9160" w:type="dxa"/>
            <w:vAlign w:val="bottom"/>
            <w:gridSpan w:val="3"/>
          </w:tcPr>
          <w:p>
            <w:pPr>
              <w:spacing w:after="0"/>
              <w:rPr>
                <w:sz w:val="20"/>
                <w:szCs w:val="20"/>
                <w:color w:val="auto"/>
              </w:rPr>
            </w:pPr>
            <w:r>
              <w:rPr>
                <w:rFonts w:ascii="Arial" w:cs="Arial" w:eastAsia="Arial" w:hAnsi="Arial"/>
                <w:sz w:val="18"/>
                <w:szCs w:val="18"/>
                <w:color w:val="auto"/>
              </w:rPr>
              <w:t>Commitments and contingencies</w:t>
            </w: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stock, $0.001 par value; 15,000,000 shares authorized, none issued</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3"/>
              </w:rPr>
              <w:t>Common stock, $0.001 par value; 100,000,000 shares authorized, 29,532,439 shares issued and 29,279,937 shares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w w:val="96"/>
              </w:rPr>
              <w:t>outstanding as of September 30, 2010 and 29,278,103 shares issued and 29,031,073 shares outstanding as of</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2009</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132,464</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124,493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103,970</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85,674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Accumulated other comprehensive income/(loss)</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909</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237,373</w:t>
            </w:r>
          </w:p>
        </w:tc>
        <w:tc>
          <w:tcPr>
            <w:tcW w:w="5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206,681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w w:val="91"/>
              </w:rPr>
              <w:t>Less: 252,502 shares as of September 30, 2010 and 247,030 shares as of December 31, 2009, held in treasury, at cost</w:t>
            </w:r>
          </w:p>
        </w:tc>
        <w:tc>
          <w:tcPr>
            <w:tcW w:w="16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(1,069)</w:t>
            </w:r>
          </w:p>
        </w:tc>
        <w:tc>
          <w:tcPr>
            <w:tcW w:w="16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ExlService Holdings, Inc. stockholders’ equity</w:t>
            </w: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236,304</w:t>
            </w:r>
          </w:p>
        </w:tc>
        <w:tc>
          <w:tcPr>
            <w:tcW w:w="5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205,705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Noncontrolling interest</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236,324</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205,718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160" w:type="dxa"/>
            <w:vAlign w:val="bottom"/>
            <w:gridSpan w:val="3"/>
          </w:tcPr>
          <w:p>
            <w:pPr>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285,531</w:t>
            </w:r>
          </w:p>
        </w:tc>
        <w:tc>
          <w:tcPr>
            <w:tcW w:w="5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249,620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459" w:right="2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5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CONSOLIDATED STATEMENTS OF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w w:val="86"/>
              </w:rPr>
              <w:t>Three months ended September 30,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87"/>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2010</w:t>
            </w: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2009</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2010</w:t>
            </w:r>
          </w:p>
        </w:tc>
        <w:tc>
          <w:tcPr>
            <w:tcW w:w="4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67,585</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48,186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182,713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131,557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Cost of revenues (exclusive of depreciation and amortization)</w:t>
            </w: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40,584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28,803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109,516</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27,001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19,383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73,197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52,571</w:t>
            </w:r>
          </w:p>
        </w:tc>
        <w:tc>
          <w:tcPr>
            <w:tcW w:w="0" w:type="dxa"/>
            <w:vAlign w:val="bottom"/>
          </w:tcPr>
          <w:p>
            <w:pPr>
              <w:spacing w:after="0"/>
              <w:rPr>
                <w:sz w:val="1"/>
                <w:szCs w:val="1"/>
                <w:color w:val="auto"/>
              </w:rPr>
            </w:pPr>
          </w:p>
        </w:tc>
      </w:tr>
      <w:tr>
        <w:trPr>
          <w:trHeight w:val="222"/>
        </w:trPr>
        <w:tc>
          <w:tcPr>
            <w:tcW w:w="57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4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 expenses</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10,469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7,770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29,238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Selling and marketing expenses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5,331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3,516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14,080</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4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11,148</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4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4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20,018</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14,204</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54,466</w:t>
            </w:r>
          </w:p>
        </w:tc>
        <w:tc>
          <w:tcPr>
            <w:tcW w:w="4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6,983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5,179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18,731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Other income/(expense):</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exchange gain/(loss)</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(1,995)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2,452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Interest and other income, net</w:t>
            </w: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994</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8,188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3,453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22,177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Income tax provision</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(541)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3,881</w:t>
            </w:r>
          </w:p>
        </w:tc>
        <w:tc>
          <w:tcPr>
            <w:tcW w:w="1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4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18,296</w:t>
            </w: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Loss from discontinued operations, net of taxes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7,804</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3,994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18,296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8,129</w:t>
            </w: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4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0.27</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0.63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Diluted</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0.26</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0.14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0.60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w w:val="94"/>
              </w:rPr>
              <w:t>Weighted-average number of shares used in computing earnings per share:</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Basic</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29,302,862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w w:val="90"/>
              </w:rPr>
              <w:t>28,930,344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w w:val="86"/>
              </w:rPr>
              <w:t>29,221,668</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28,893,515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30,385,308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0"/>
              </w:rPr>
              <w:t>29,368,390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30,248,648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29,202,856</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5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CONSOLIDATED STATEMENTS OF CASH FLOW</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8"/>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6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3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18,296</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 net of taxes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11,148</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420"/>
              <w:spacing w:after="0"/>
              <w:rPr>
                <w:sz w:val="20"/>
                <w:szCs w:val="20"/>
                <w:color w:val="auto"/>
              </w:rPr>
            </w:pPr>
            <w:r>
              <w:rPr>
                <w:rFonts w:ascii="Arial" w:cs="Arial" w:eastAsia="Arial" w:hAnsi="Arial"/>
                <w:sz w:val="18"/>
                <w:szCs w:val="18"/>
                <w:color w:val="auto"/>
              </w:rPr>
              <w:t>Share-based compensation expense</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6,352</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Non-employee stock options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420"/>
              <w:spacing w:after="0"/>
              <w:rPr>
                <w:sz w:val="20"/>
                <w:szCs w:val="20"/>
                <w:color w:val="auto"/>
              </w:rPr>
            </w:pPr>
            <w:r>
              <w:rPr>
                <w:rFonts w:ascii="Arial" w:cs="Arial" w:eastAsia="Arial" w:hAnsi="Arial"/>
                <w:sz w:val="18"/>
                <w:szCs w:val="18"/>
                <w:color w:val="auto"/>
              </w:rPr>
              <w:t>Unrealized foreign exchange gain</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599</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(2,583)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420"/>
              <w:spacing w:after="0"/>
              <w:rPr>
                <w:sz w:val="20"/>
                <w:szCs w:val="20"/>
                <w:color w:val="auto"/>
              </w:rPr>
            </w:pPr>
            <w:r>
              <w:rPr>
                <w:rFonts w:ascii="Arial" w:cs="Arial" w:eastAsia="Arial" w:hAnsi="Arial"/>
                <w:sz w:val="18"/>
                <w:szCs w:val="18"/>
                <w:color w:val="auto"/>
              </w:rPr>
              <w:t>Noncontrolling interest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Change in operating assets and liabilities (net of effect of acquisitions):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420"/>
              <w:spacing w:after="0"/>
              <w:rPr>
                <w:sz w:val="20"/>
                <w:szCs w:val="20"/>
                <w:color w:val="auto"/>
              </w:rPr>
            </w:pPr>
            <w:r>
              <w:rPr>
                <w:rFonts w:ascii="Arial" w:cs="Arial" w:eastAsia="Arial" w:hAnsi="Arial"/>
                <w:sz w:val="18"/>
                <w:szCs w:val="18"/>
                <w:color w:val="auto"/>
              </w:rPr>
              <w:t>Restricted cash</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238</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(6,021)</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102</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(527)</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(3,191)</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employee costs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420"/>
              <w:spacing w:after="0"/>
              <w:rPr>
                <w:sz w:val="20"/>
                <w:szCs w:val="20"/>
                <w:color w:val="auto"/>
              </w:rPr>
            </w:pPr>
            <w:r>
              <w:rPr>
                <w:rFonts w:ascii="Arial" w:cs="Arial" w:eastAsia="Arial" w:hAnsi="Arial"/>
                <w:sz w:val="18"/>
                <w:szCs w:val="18"/>
                <w:color w:val="auto"/>
              </w:rPr>
              <w:t>Accrued expenses and other liabilities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156</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payable</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(2,092)</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40" w:type="dxa"/>
            <w:vAlign w:val="bottom"/>
          </w:tcPr>
          <w:p>
            <w:pPr>
              <w:ind w:left="420"/>
              <w:spacing w:after="0"/>
              <w:rPr>
                <w:sz w:val="20"/>
                <w:szCs w:val="20"/>
                <w:color w:val="auto"/>
              </w:rPr>
            </w:pPr>
            <w:r>
              <w:rPr>
                <w:rFonts w:ascii="Arial" w:cs="Arial" w:eastAsia="Arial" w:hAnsi="Arial"/>
                <w:sz w:val="18"/>
                <w:szCs w:val="18"/>
                <w:color w:val="auto"/>
              </w:rPr>
              <w:t>Other assets</w:t>
            </w:r>
          </w:p>
        </w:tc>
        <w:tc>
          <w:tcPr>
            <w:tcW w:w="8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(3,050)</w:t>
            </w:r>
          </w:p>
        </w:tc>
        <w:tc>
          <w:tcPr>
            <w:tcW w:w="8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23,696</w:t>
            </w:r>
          </w:p>
        </w:tc>
        <w:tc>
          <w:tcPr>
            <w:tcW w:w="3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966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Purchase of fixed assets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(14,830)</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Business acquisition (net of cash acquired)</w:t>
            </w: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(42,144)</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Purchase of short-term investments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(335)</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Proceeds from redemption of short-term investments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2,050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discontinued operations</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660" w:type="dxa"/>
            <w:vAlign w:val="bottom"/>
            <w:gridSpan w:val="2"/>
          </w:tcPr>
          <w:p>
            <w:pPr>
              <w:spacing w:after="0"/>
              <w:rPr>
                <w:sz w:val="20"/>
                <w:szCs w:val="20"/>
                <w:color w:val="auto"/>
              </w:rPr>
            </w:pPr>
            <w:r>
              <w:rPr>
                <w:rFonts w:ascii="Arial" w:cs="Arial" w:eastAsia="Arial" w:hAnsi="Arial"/>
                <w:sz w:val="18"/>
                <w:szCs w:val="18"/>
                <w:color w:val="auto"/>
              </w:rPr>
              <w:t>Net cash used for investing activities</w:t>
            </w:r>
          </w:p>
        </w:tc>
        <w:tc>
          <w:tcPr>
            <w:tcW w:w="8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(55,259)</w:t>
            </w:r>
          </w:p>
        </w:tc>
        <w:tc>
          <w:tcPr>
            <w:tcW w:w="8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(11,906)</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96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Principal payments on capital lease obligations</w:t>
            </w: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(91)</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stock options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Acquisition of treasury stock</w:t>
            </w:r>
          </w:p>
        </w:tc>
        <w:tc>
          <w:tcPr>
            <w:tcW w:w="8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(93)</w:t>
            </w:r>
          </w:p>
        </w:tc>
        <w:tc>
          <w:tcPr>
            <w:tcW w:w="8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1,403</w:t>
            </w:r>
          </w:p>
        </w:tc>
        <w:tc>
          <w:tcPr>
            <w:tcW w:w="3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66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w:t>
            </w:r>
          </w:p>
        </w:tc>
        <w:tc>
          <w:tcPr>
            <w:tcW w:w="3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Net increase/(decrease) in cash and cash equivalents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(29,607)</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132,215</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112,174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102,608</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117,510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September 30, 2010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Organization</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ExlService Holdings, Inc. (“ExlService Holdings”) is organized as a corporation under the laws of the State of Delaware. ExlService Holdings, together with its subsidiaries (collectively, the “Company”), is a leading provider of outsourcing services and transformation services. The Company’s clients are located principally in the United States and the United Kingdom.</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right="180" w:firstLine="456"/>
        <w:spacing w:after="0" w:line="323" w:lineRule="auto"/>
        <w:rPr>
          <w:sz w:val="20"/>
          <w:szCs w:val="20"/>
          <w:color w:val="auto"/>
        </w:rPr>
      </w:pPr>
      <w:r>
        <w:rPr>
          <w:rFonts w:ascii="Arial" w:cs="Arial" w:eastAsia="Arial" w:hAnsi="Arial"/>
          <w:sz w:val="15"/>
          <w:szCs w:val="15"/>
          <w:color w:val="auto"/>
        </w:rPr>
        <w:t>The unaudited interim consolidated financial statements have been prepared in accordance with generally accepted accounting principles for interim financial information and with the instructions to Form 10-Q and Article 10 of Regulation S-X. Accordingly, they do not include all of the information and footnotes required by generally accepted accounting principles for annual financial statements and therefore should be read in conjunction with the audited consolidated financial statements and footnotes thereto included in the Company’s Annual Report on Form 10-K for the fiscal year ended December 31, 2009.</w:t>
      </w:r>
    </w:p>
    <w:p>
      <w:pPr>
        <w:spacing w:after="0" w:line="9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unaudited interim consolidated financial statements reflect all adjustments (of a normal and recurring nature) which management considers necessary for a fair presentation of such statements for these periods. The unaudited consolidated statements of income for the interim periods presented are not necessarily indicative of the results for the full year or for any subsequent period.</w:t>
      </w:r>
    </w:p>
    <w:p>
      <w:pPr>
        <w:spacing w:after="0" w:line="215" w:lineRule="exact"/>
        <w:rPr>
          <w:sz w:val="20"/>
          <w:szCs w:val="20"/>
          <w:color w:val="auto"/>
        </w:rPr>
      </w:pPr>
    </w:p>
    <w:p>
      <w:pPr>
        <w:ind w:left="240" w:right="7840" w:hanging="232"/>
        <w:spacing w:after="0" w:line="347" w:lineRule="auto"/>
        <w:tabs>
          <w:tab w:leader="none" w:pos="187"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Principles of Consolidation</w:t>
      </w:r>
    </w:p>
    <w:p>
      <w:pPr>
        <w:spacing w:after="0" w:line="2"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accompanying unaudited consolidated financial statements include the financial statements of ExlService Holdings and all of its subsidiaries. All intercompany balances and transactions have been eliminated in consolidation.</w:t>
      </w:r>
    </w:p>
    <w:p>
      <w:pPr>
        <w:spacing w:after="0" w:line="132"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The non-controlling interest represents the minority partner’s interest in the operation of exlService.com (India) Private Limited (“Exl India”) and the profits associated with the minority partner’s interest in those operations, in the unaudited consolidated balance sheet and unaudited consolidated statement of income, respectively. The non-controlling partner’s interest in the operations for the three and nine months ended September 30, 2010 was insignificant and is included under the general and administrative expenses in the unaudited consolidated statements of income.</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The preparation of the unaudited consolidated financial statements in conformity with U.S. generally accepted accounting principles requires management to make estimates and assumptions that affect the reported amounts of assets and liabilities and disclosure of contingent assets and liabilities at the date of the unaudited consolidated financial statements and the unaudited consolidated statements of income during the reporting period. Estimates are based upon management’s best assessment of the current business environment. Actual results could differ from those estimates. The significant estimates and assumptions that affect the financial statements include, but are not limited to, allowance for doubtful receivables, future obligations under employee benefit plans, deferred tax valuation allowances, income-tax uncertainties and other contingencies, valuation of derivative financial instruments, stock-based compensation expense, depreciation and amortization periods, recoverability of long-term assets including goodwill and intangibles, and estimates to complete fixed price contracts.</w:t>
      </w:r>
    </w:p>
    <w:p>
      <w:pPr>
        <w:spacing w:after="0" w:line="9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20"/>
          </w:cols>
          <w:pgMar w:left="240" w:top="459"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2010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Company derives its revenues from outsourcing and transformation services. Revenues from outsourcing services are recognized primarily on a time-and-material, cost-plus or unit-priced basis; revenues from transformation services are recognized primarily on a time-and material, fixed price or contingent fee basis. The services provided within our contracts generally contain one unit of accounting. Revenues are recognized under our contracts generally when persuasive evidence of an arrangement exists, the sales price is fixed or determinable, services have been performed and collection of amounts billed is reasonably assured.</w:t>
      </w:r>
    </w:p>
    <w:p>
      <w:pPr>
        <w:spacing w:after="0" w:line="14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Revenues under time-and-material contracts are recognized as the services are performed. Revenues are recognized on cost-plus contracts on the basis of contractually agreed direct and indirect costs incurred on a client contract plus an agreed upon profit mark-up. Revenues are recognized on unit-price based contracts based on the number of specified units of work (such as the number of e-mail responses) delivered to a client. Such revenues are recognized as the related services are provided in accordance with the client contract. When the terms of the client contract specify service level parameters that must be met (such as turnaround time or accuracy), we monitor such service level parameters to determine if any service credits or penalties have been incurred. Revenues are recognized net of any service credits that are due to a client. We have experienced minimal service credits and penalties to date.</w:t>
      </w:r>
    </w:p>
    <w:p>
      <w:pPr>
        <w:spacing w:after="0" w:line="120"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Revenues from software licensing arrangements are recognized at the later of time of delivery or expiration of significant termination rights. Revenues from fixed-term maintenance and support contracts are recognized ratably on a monthly basis over the period of the contract. Revenues from contracts for software modification are generally fixed price contracts and are recognized under the proportional performance method as described below.</w:t>
      </w:r>
    </w:p>
    <w:p>
      <w:pPr>
        <w:spacing w:after="0" w:line="107"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Revenues are recognized on fixed-price contracts using the proportional performance method. We estimate the proportional performance of a contract by comparing the actual number of hours or days worked to the estimated total number of hours or days required to complete each engagement. The use of the proportional performance method requires significant judgment relative to estimating the number of hours or days required to complete the contracted scope of work, including assumptions and estimates relative to the length of time to complete the project and the nature and complexity of the work to be performed. We regularly monitor our estimates for completion of a project and record changes in the period in which a change in an estimate is determined. If a change in an estimate results in a projected loss on a project, such loss is recognized in the period in which it is first identified.</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Revenues on contingent fee based contracts are recognized when the related contingency has been met to the client’s satisfaction.</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January 2010, the Financial Accounting Standards Board (“FASB”) issued Update No. 2010-6, “</w:t>
      </w:r>
      <w:r>
        <w:rPr>
          <w:rFonts w:ascii="Arial" w:cs="Arial" w:eastAsia="Arial" w:hAnsi="Arial"/>
          <w:sz w:val="16"/>
          <w:szCs w:val="16"/>
          <w:i w:val="1"/>
          <w:iCs w:val="1"/>
          <w:color w:val="auto"/>
        </w:rPr>
        <w:t>Improving Disclosures about Fair Value Measurement</w:t>
      </w:r>
      <w:r>
        <w:rPr>
          <w:rFonts w:ascii="Arial" w:cs="Arial" w:eastAsia="Arial" w:hAnsi="Arial"/>
          <w:sz w:val="16"/>
          <w:szCs w:val="16"/>
          <w:color w:val="auto"/>
        </w:rPr>
        <w:t>” (“ASU 2010-6”) to amend the disclosure requirements related to recurring and nonrecurring fair value measurements. The guidance requires new disclosures on the transfers of assets and liabilities between Level 1 (quoted prices in active market for identical assets or liabilities) and Level 2 (significant other observable inputs) of the fair value measurement hierarchy, including the reasons and the timing of the transfers. Additionally, the guidance requires a roll forward of activities on purchases, sales, issuance and settlements of the assets and liabilities measured using significant unobservable inputs (Level 3 fair value measurements). This guidance is effective for interim and annual reporting periods beginning after December 15, 2009, except for the disclosures regarding Level 3 fair value measurements which are effective for fiscal years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beginning after December 15, 2010. The adoption of this new guidance did not have a material impact on the Company’s unaudited consolidated financial statements. See Note 6 for further details.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w:t>
      </w:r>
    </w:p>
    <w:p>
      <w:pPr>
        <w:spacing w:after="0" w:line="9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Basic earnings per share is computed by dividing net income to common stockholders by the weighted average number of common shares outstanding during each period. Diluted earnings per share is computed using the weighted average number of common shares plus the potentially dilutive effect of common stock equivalents issued and outstanding at the reporting date, using the treasury stock method. Stock options, restricted stock and restricted stock units that are anti-dilutive are excluded from the computation of weighted average shares outstanding.</w:t>
      </w:r>
    </w:p>
    <w:p>
      <w:pPr>
        <w:spacing w:after="0" w:line="113" w:lineRule="exact"/>
        <w:rPr>
          <w:sz w:val="20"/>
          <w:szCs w:val="20"/>
          <w:color w:val="auto"/>
        </w:rPr>
      </w:pPr>
    </w:p>
    <w:p>
      <w:pPr>
        <w:ind w:right="20" w:firstLine="456"/>
        <w:spacing w:after="0" w:line="310" w:lineRule="auto"/>
        <w:rPr>
          <w:sz w:val="20"/>
          <w:szCs w:val="20"/>
          <w:color w:val="auto"/>
        </w:rPr>
      </w:pPr>
      <w:r>
        <w:rPr>
          <w:rFonts w:ascii="Arial" w:cs="Arial" w:eastAsia="Arial" w:hAnsi="Arial"/>
          <w:sz w:val="15"/>
          <w:szCs w:val="15"/>
          <w:color w:val="auto"/>
        </w:rPr>
        <w:t>Any cash or in-kind dividends declared, if any, with respect to unvested shares of restricted stock and restricted stock units are withheld by the Company and paid to the holder of such shares of restricted stock and restricted stock units, without interest, only if and when such shares of restricted stock and restricted stock units vest. Any unvested shares of restricted stock and restricted stock units are immediately forfeited without consideration upon the termination of holder’s employment with the Company or its affiliates. Accordingly, the Company’s unvested restricted stock and restricted stock units do not include non-forfeitable rights to dividends or dividend equivalents and are therefore not considered as participating securities for purposes of earnings per share calculations pursuant to the two-class method. However, the Company’s vested restricted stock units against which the underlying common stock has not been issued, contain non-forfeitable rights to dividends or dividend equivalents and are therefore, after vesting, considered as participating securities for the purposes of computing basic earnings per share pursuant to the two-class method. Application of this treatment had an insignificant effect on the computation of basic earnings per share.</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0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w w:val="90"/>
              </w:rPr>
              <w:t>Three months ended September 30,</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4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0"/>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2010</w:t>
            </w:r>
          </w:p>
        </w:tc>
        <w:tc>
          <w:tcPr>
            <w:tcW w:w="6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Net income</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Continuing operations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7,804</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3,994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18,296</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Discontinued operations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7,804</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3,994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18,296</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8,129</w:t>
            </w: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Denominators:</w:t>
            </w: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8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weighted average common shares outstanding</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29,302,862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28,930,344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29,221,668</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28,893,515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Dilutive effect of share based awards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1,082,446</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438,046</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1,026,980</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309,341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common shares outstanding</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30,385,308</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29,368,390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30,248,648</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29,202,856</w:t>
            </w: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spacing w:after="0"/>
              <w:rPr>
                <w:sz w:val="20"/>
                <w:szCs w:val="20"/>
                <w:color w:val="auto"/>
              </w:rPr>
            </w:pPr>
            <w:r>
              <w:rPr>
                <w:rFonts w:ascii="Arial" w:cs="Arial" w:eastAsia="Arial" w:hAnsi="Arial"/>
                <w:sz w:val="18"/>
                <w:szCs w:val="18"/>
                <w:color w:val="auto"/>
                <w:w w:val="93"/>
              </w:rPr>
              <w:t>Weighted average common shares considered anti-dilutive in computing</w:t>
            </w: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0"/>
        </w:trPr>
        <w:tc>
          <w:tcPr>
            <w:tcW w:w="538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diluted earnings per share</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546,088</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1,380,775</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768,689</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2,698,600</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Segment Information</w:t>
      </w:r>
    </w:p>
    <w:p>
      <w:pPr>
        <w:spacing w:after="0" w:line="96"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The Company is organized around its outsourcing services and transformation services segments. The Company’s recent acquisitions of the American Express Global Travel Service Center (“GTSC”) and Professional Data Management Again, Inc. (“PDMA”) are classified as part of the outsourcing services segment.</w:t>
      </w:r>
    </w:p>
    <w:p>
      <w:pPr>
        <w:spacing w:after="0" w:line="14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chief operating decision maker generally reviews financial information at the consolidated statement of income level but does not review any information except for revenues and cost of revenues of the individual segments. Therefore, the Company does not allocate or evaluate depreciation, amortization, interest expense or income, capital expenditures and income taxes to its operating segments. Consequently, it is not practical to show assets, capital expenditures, depreciation or amortization by segment.</w:t>
      </w:r>
    </w:p>
    <w:p>
      <w:pPr>
        <w:spacing w:after="0" w:line="143" w:lineRule="exact"/>
        <w:rPr>
          <w:sz w:val="20"/>
          <w:szCs w:val="20"/>
          <w:color w:val="auto"/>
        </w:rPr>
      </w:pPr>
    </w:p>
    <w:p>
      <w:pPr>
        <w:ind w:right="1040" w:firstLine="456"/>
        <w:spacing w:after="0" w:line="268" w:lineRule="auto"/>
        <w:rPr>
          <w:sz w:val="20"/>
          <w:szCs w:val="20"/>
          <w:color w:val="auto"/>
        </w:rPr>
      </w:pPr>
      <w:r>
        <w:rPr>
          <w:rFonts w:ascii="Arial" w:cs="Arial" w:eastAsia="Arial" w:hAnsi="Arial"/>
          <w:sz w:val="18"/>
          <w:szCs w:val="18"/>
          <w:color w:val="auto"/>
        </w:rPr>
        <w:t>Revenues and cost of revenues for each of the three months ended September 30, 2010 and 2009 for the Company’s outsourcing services and transformation services segments, respectively,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00" w:type="dxa"/>
            <w:vAlign w:val="bottom"/>
            <w:gridSpan w:val="8"/>
          </w:tcPr>
          <w:p>
            <w:pPr>
              <w:jc w:val="right"/>
              <w:ind w:right="520"/>
              <w:spacing w:after="0"/>
              <w:rPr>
                <w:sz w:val="20"/>
                <w:szCs w:val="20"/>
                <w:color w:val="auto"/>
              </w:rPr>
            </w:pPr>
            <w:r>
              <w:rPr>
                <w:rFonts w:ascii="Arial" w:cs="Arial" w:eastAsia="Arial" w:hAnsi="Arial"/>
                <w:sz w:val="14"/>
                <w:szCs w:val="14"/>
                <w:b w:val="1"/>
                <w:bCs w:val="1"/>
                <w:color w:val="auto"/>
                <w:w w:val="93"/>
              </w:rPr>
              <w:t>Three months ended September 30, 2010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20" w:type="dxa"/>
            <w:vAlign w:val="bottom"/>
            <w:gridSpan w:val="8"/>
          </w:tcPr>
          <w:p>
            <w:pPr>
              <w:jc w:val="right"/>
              <w:ind w:right="440"/>
              <w:spacing w:after="0"/>
              <w:rPr>
                <w:sz w:val="20"/>
                <w:szCs w:val="20"/>
                <w:color w:val="auto"/>
              </w:rPr>
            </w:pPr>
            <w:r>
              <w:rPr>
                <w:rFonts w:ascii="Arial" w:cs="Arial" w:eastAsia="Arial" w:hAnsi="Arial"/>
                <w:sz w:val="14"/>
                <w:szCs w:val="14"/>
                <w:b w:val="1"/>
                <w:bCs w:val="1"/>
                <w:color w:val="auto"/>
                <w:w w:val="93"/>
              </w:rPr>
              <w:t>Three months ended September 30, 2009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7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4"/>
              </w:rPr>
              <w:t>Outsourcing</w:t>
            </w:r>
          </w:p>
        </w:tc>
        <w:tc>
          <w:tcPr>
            <w:tcW w:w="4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7"/>
              </w:rPr>
              <w:t>Transformation</w:t>
            </w:r>
          </w:p>
        </w:tc>
        <w:tc>
          <w:tcPr>
            <w:tcW w:w="3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Borders>
              <w:top w:val="single" w:sz="8" w:color="auto"/>
            </w:tcBorders>
            <w:gridSpan w:val="3"/>
          </w:tcPr>
          <w:p>
            <w:pPr>
              <w:jc w:val="right"/>
              <w:ind w:right="400"/>
              <w:spacing w:after="0" w:line="129" w:lineRule="exact"/>
              <w:rPr>
                <w:sz w:val="20"/>
                <w:szCs w:val="20"/>
                <w:color w:val="auto"/>
              </w:rPr>
            </w:pPr>
            <w:r>
              <w:rPr>
                <w:rFonts w:ascii="Arial" w:cs="Arial" w:eastAsia="Arial" w:hAnsi="Arial"/>
                <w:sz w:val="14"/>
                <w:szCs w:val="14"/>
                <w:b w:val="1"/>
                <w:bCs w:val="1"/>
                <w:color w:val="auto"/>
                <w:w w:val="84"/>
              </w:rPr>
              <w:t>Outsourcing</w:t>
            </w:r>
          </w:p>
        </w:tc>
        <w:tc>
          <w:tcPr>
            <w:tcW w:w="132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Transformation</w:t>
            </w: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w w:val="83"/>
              </w:rPr>
              <w:t>Services</w:t>
            </w:r>
          </w:p>
        </w:tc>
        <w:tc>
          <w:tcPr>
            <w:tcW w:w="4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w w:val="90"/>
              </w:rPr>
              <w:t>Services</w:t>
            </w: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95"/>
              </w:rPr>
              <w:t>Total</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Services</w:t>
            </w:r>
          </w:p>
        </w:tc>
        <w:tc>
          <w:tcPr>
            <w:tcW w:w="4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w w:val="90"/>
              </w:rPr>
              <w:t>Services</w:t>
            </w:r>
          </w:p>
        </w:tc>
        <w:tc>
          <w:tcPr>
            <w:tcW w:w="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50,468</w:t>
            </w: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3"/>
              </w:rPr>
              <w:t>67,585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37,673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10,513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48,186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w w:val="99"/>
              </w:rPr>
              <w:t>Cost of revenues (exclusive of depreciation and amortization)</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29,606</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10,978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w w:val="83"/>
              </w:rPr>
              <w:t>40,584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22,230</w:t>
            </w:r>
          </w:p>
        </w:tc>
        <w:tc>
          <w:tcPr>
            <w:tcW w:w="16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6,573</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28,803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20,862</w:t>
            </w: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3"/>
              </w:rPr>
              <w:t>27,001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15,443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3,940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19,383</w:t>
            </w:r>
          </w:p>
        </w:tc>
        <w:tc>
          <w:tcPr>
            <w:tcW w:w="0" w:type="dxa"/>
            <w:vAlign w:val="bottom"/>
          </w:tcPr>
          <w:p>
            <w:pPr>
              <w:spacing w:after="0"/>
              <w:rPr>
                <w:sz w:val="1"/>
                <w:szCs w:val="1"/>
                <w:color w:val="auto"/>
              </w:rPr>
            </w:pPr>
          </w:p>
        </w:tc>
      </w:tr>
      <w:tr>
        <w:trPr>
          <w:trHeight w:val="20"/>
        </w:trPr>
        <w:tc>
          <w:tcPr>
            <w:tcW w:w="490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w w:val="83"/>
              </w:rPr>
              <w:t>20,018</w:t>
            </w: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w w:val="87"/>
              </w:rPr>
              <w:t>14,204</w:t>
            </w:r>
          </w:p>
        </w:tc>
        <w:tc>
          <w:tcPr>
            <w:tcW w:w="0" w:type="dxa"/>
            <w:vAlign w:val="bottom"/>
          </w:tcPr>
          <w:p>
            <w:pPr>
              <w:spacing w:after="0" w:line="20" w:lineRule="exact"/>
              <w:rPr>
                <w:sz w:val="1"/>
                <w:szCs w:val="1"/>
                <w:color w:val="auto"/>
              </w:rPr>
            </w:pPr>
          </w:p>
        </w:tc>
      </w:tr>
      <w:tr>
        <w:trPr>
          <w:trHeight w:val="208"/>
        </w:trPr>
        <w:tc>
          <w:tcPr>
            <w:tcW w:w="4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Income tax provision/(benefit)</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384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7,804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Revenues and cost of revenues for each of the nine months ended September 30, 2010 and 2009 for the Company’s outsourcing services and transformation services segments, respectively,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20" w:type="dxa"/>
            <w:vAlign w:val="bottom"/>
            <w:gridSpan w:val="7"/>
          </w:tcPr>
          <w:p>
            <w:pPr>
              <w:jc w:val="right"/>
              <w:ind w:right="234"/>
              <w:spacing w:after="0"/>
              <w:rPr>
                <w:sz w:val="20"/>
                <w:szCs w:val="20"/>
                <w:color w:val="auto"/>
              </w:rPr>
            </w:pPr>
            <w:r>
              <w:rPr>
                <w:rFonts w:ascii="Arial" w:cs="Arial" w:eastAsia="Arial" w:hAnsi="Arial"/>
                <w:sz w:val="14"/>
                <w:szCs w:val="14"/>
                <w:b w:val="1"/>
                <w:bCs w:val="1"/>
                <w:color w:val="auto"/>
                <w:w w:val="93"/>
              </w:rPr>
              <w:t>Nine months ended September 30, 2010</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20" w:type="dxa"/>
            <w:vAlign w:val="bottom"/>
            <w:gridSpan w:val="9"/>
          </w:tcPr>
          <w:p>
            <w:pPr>
              <w:jc w:val="right"/>
              <w:ind w:right="440"/>
              <w:spacing w:after="0"/>
              <w:rPr>
                <w:sz w:val="20"/>
                <w:szCs w:val="20"/>
                <w:color w:val="auto"/>
              </w:rPr>
            </w:pPr>
            <w:r>
              <w:rPr>
                <w:rFonts w:ascii="Arial" w:cs="Arial" w:eastAsia="Arial" w:hAnsi="Arial"/>
                <w:sz w:val="14"/>
                <w:szCs w:val="14"/>
                <w:b w:val="1"/>
                <w:bCs w:val="1"/>
                <w:color w:val="auto"/>
                <w:w w:val="92"/>
              </w:rPr>
              <w:t>Nine months ended September 30, 2009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7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4"/>
              </w:rPr>
              <w:t>Outsourcing</w:t>
            </w:r>
          </w:p>
        </w:tc>
        <w:tc>
          <w:tcPr>
            <w:tcW w:w="3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7"/>
              </w:rPr>
              <w:t>Transformation</w:t>
            </w:r>
          </w:p>
        </w:tc>
        <w:tc>
          <w:tcPr>
            <w:tcW w:w="3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4"/>
              </w:rPr>
              <w:t>Outsourcing</w:t>
            </w:r>
          </w:p>
        </w:tc>
        <w:tc>
          <w:tcPr>
            <w:tcW w:w="3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Transformation</w:t>
            </w: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w w:val="83"/>
              </w:rPr>
              <w:t>Services</w:t>
            </w: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w w:val="90"/>
              </w:rPr>
              <w:t>Services</w:t>
            </w: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w w:val="83"/>
              </w:rPr>
              <w:t>Services</w:t>
            </w: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w w:val="90"/>
              </w:rPr>
              <w:t>Services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138,618</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44,095</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182,713</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105,573</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25,984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131,557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Cost of revenues (exclusive of depreciation and amortization)</w:t>
            </w: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81,786</w:t>
            </w: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27,730</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109,516</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60,549</w:t>
            </w: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18,437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56,832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16,365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73,197</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45,024</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7,547</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52,571</w:t>
            </w:r>
          </w:p>
        </w:tc>
        <w:tc>
          <w:tcPr>
            <w:tcW w:w="0" w:type="dxa"/>
            <w:vAlign w:val="bottom"/>
          </w:tcPr>
          <w:p>
            <w:pPr>
              <w:spacing w:after="0"/>
              <w:rPr>
                <w:sz w:val="1"/>
                <w:szCs w:val="1"/>
                <w:color w:val="auto"/>
              </w:rPr>
            </w:pPr>
          </w:p>
        </w:tc>
      </w:tr>
      <w:tr>
        <w:trPr>
          <w:trHeight w:val="20"/>
        </w:trPr>
        <w:tc>
          <w:tcPr>
            <w:tcW w:w="5180" w:type="dxa"/>
            <w:vAlign w:val="bottom"/>
            <w:gridSpan w:val="2"/>
            <w:vMerge w:val="restart"/>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vMerge w:val="restart"/>
          </w:tcPr>
          <w:p>
            <w:pPr>
              <w:jc w:val="right"/>
              <w:spacing w:after="0"/>
              <w:rPr>
                <w:sz w:val="20"/>
                <w:szCs w:val="20"/>
                <w:color w:val="auto"/>
              </w:rPr>
            </w:pPr>
            <w:r>
              <w:rPr>
                <w:rFonts w:ascii="Arial" w:cs="Arial" w:eastAsia="Arial" w:hAnsi="Arial"/>
                <w:sz w:val="18"/>
                <w:szCs w:val="18"/>
                <w:color w:val="auto"/>
              </w:rPr>
              <w:t>54,466</w:t>
            </w: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vMerge w:val="restart"/>
          </w:tcPr>
          <w:p>
            <w:pPr>
              <w:jc w:val="right"/>
              <w:spacing w:after="0"/>
              <w:rPr>
                <w:sz w:val="20"/>
                <w:szCs w:val="20"/>
                <w:color w:val="auto"/>
              </w:rPr>
            </w:pPr>
            <w:r>
              <w:rPr>
                <w:rFonts w:ascii="Arial" w:cs="Arial" w:eastAsia="Arial" w:hAnsi="Arial"/>
                <w:sz w:val="18"/>
                <w:szCs w:val="18"/>
                <w:color w:val="auto"/>
              </w:rPr>
              <w:t>40,314</w:t>
            </w: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1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Income tax provision/(benefit)</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3,881</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18,296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Loss from discontinued operations, net of taxes</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18,296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vMerge w:val="restart"/>
          </w:tcPr>
          <w:p>
            <w:pPr>
              <w:jc w:val="right"/>
              <w:ind w:right="59"/>
              <w:spacing w:after="0"/>
              <w:rPr>
                <w:sz w:val="20"/>
                <w:szCs w:val="20"/>
                <w:color w:val="auto"/>
              </w:rPr>
            </w:pPr>
            <w:r>
              <w:rPr>
                <w:rFonts w:ascii="Arial" w:cs="Arial" w:eastAsia="Arial" w:hAnsi="Arial"/>
                <w:sz w:val="18"/>
                <w:szCs w:val="18"/>
                <w:color w:val="auto"/>
              </w:rPr>
              <w:t>9</w:t>
            </w: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Business Combinations, Goodwill and Intangible Assets</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On March 1, 2010, the Company acquired the operations of the GTSC, a business unit of American Express located in Gurgaon, India, that provides the travel-related business process outsourcing services of American Express. The purchase price for the GTSC, which was paid in cash, was approximately $29,122. The Company paid a premium for the GTSC acquisition to provide services to the travel vertical, deepen the Company’s relationship with one of its key clients and to expand its capability set in analytics, exception processing and transaction processing.</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On May 1, 2010, the Company acquired a 100% stake in PDMA, maker of the LifePRO</w:t>
      </w:r>
      <w:r>
        <w:rPr>
          <w:rFonts w:ascii="Arial" w:cs="Arial" w:eastAsia="Arial" w:hAnsi="Arial"/>
          <w:sz w:val="11"/>
          <w:szCs w:val="11"/>
          <w:color w:val="auto"/>
        </w:rPr>
        <w:t>®</w:t>
      </w:r>
      <w:r>
        <w:rPr>
          <w:rFonts w:ascii="Arial" w:cs="Arial" w:eastAsia="Arial" w:hAnsi="Arial"/>
          <w:sz w:val="18"/>
          <w:szCs w:val="18"/>
          <w:color w:val="auto"/>
        </w:rPr>
        <w:t xml:space="preserve"> insurance policy administration system used by approximately 40 life, health and annuity insurers globally. The purchase price for PDMA, which was paid in cash, was approximately $14,061 (including cash acquired of $1,039), net of working capital adjustments. The Company paid a premium for the PDMA acquisition to expand its capability in providing end-to-end policy administration solution for clients along a wide range of insurance products.</w:t>
      </w:r>
    </w:p>
    <w:p>
      <w:pPr>
        <w:spacing w:after="0" w:line="17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2"/>
              </w:rPr>
              <w:t>GTSC</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PDMA</w:t>
            </w:r>
          </w:p>
        </w:tc>
        <w:tc>
          <w:tcPr>
            <w:tcW w:w="120" w:type="dxa"/>
            <w:vAlign w:val="bottom"/>
          </w:tcPr>
          <w:p>
            <w:pPr>
              <w:spacing w:after="0"/>
              <w:rPr>
                <w:sz w:val="14"/>
                <w:szCs w:val="14"/>
                <w:color w:val="auto"/>
              </w:rPr>
            </w:pPr>
          </w:p>
        </w:tc>
      </w:tr>
      <w:tr>
        <w:trPr>
          <w:trHeight w:val="210"/>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Tangible fixed assets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2,855</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2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Current assets and liabilities, net of cash</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(1,461)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(1,715)</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Customer related intangible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10,328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5,200</w:t>
            </w:r>
          </w:p>
        </w:tc>
        <w:tc>
          <w:tcPr>
            <w:tcW w:w="12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Leasehold benefits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972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12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Non-compete agreement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Trade names and trademarks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2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Goodwill</w:t>
            </w:r>
            <w:r>
              <w:rPr>
                <w:rFonts w:ascii="Arial" w:cs="Arial" w:eastAsia="Arial" w:hAnsi="Arial"/>
                <w:sz w:val="11"/>
                <w:szCs w:val="11"/>
                <w:color w:val="auto"/>
              </w:rPr>
              <w:t>(1)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16,097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7,157</w:t>
            </w:r>
          </w:p>
        </w:tc>
        <w:tc>
          <w:tcPr>
            <w:tcW w:w="12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 net</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r>
      <w:tr>
        <w:trPr>
          <w:trHeight w:val="222"/>
        </w:trPr>
        <w:tc>
          <w:tcPr>
            <w:tcW w:w="688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29,122</w:t>
            </w:r>
          </w:p>
        </w:tc>
        <w:tc>
          <w:tcPr>
            <w:tcW w:w="28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14,061</w:t>
            </w:r>
          </w:p>
        </w:tc>
        <w:tc>
          <w:tcPr>
            <w:tcW w:w="120" w:type="dxa"/>
            <w:vAlign w:val="bottom"/>
          </w:tcPr>
          <w:p>
            <w:pPr>
              <w:spacing w:after="0"/>
              <w:rPr>
                <w:sz w:val="19"/>
                <w:szCs w:val="19"/>
                <w:color w:val="auto"/>
              </w:rPr>
            </w:pPr>
          </w:p>
        </w:tc>
      </w:tr>
      <w:tr>
        <w:trPr>
          <w:trHeight w:val="20"/>
        </w:trPr>
        <w:tc>
          <w:tcPr>
            <w:tcW w:w="68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$900 deposited in an escrow account in connection with the PDMA acquisition.</w:t>
      </w:r>
    </w:p>
    <w:p>
      <w:pPr>
        <w:spacing w:after="0" w:line="17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Under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(“ASC No. 805”), the preliminary allocation of the purchase price to the tangible and intangible assets and liabilities acquired may change up to a period of one year from the date of acquisition. The customer relationship and leasehold benefits from the GTSC acquisition are being amortized over a life of ten years and the remaining period of the lease (approximately three years), respectively. The customer relationship and developed technology from the PDMA acquisition are being amortized over a life of ten years each and the non-compete agreement is being amortized over a period of two years. The Company has considered the estimated useful life of trade names and trademarks to be indefinite and will test these for impairment at least annually.</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September 30, 2010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details of the Company’s goodwill balance as of September 30, 2010:</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Outsourcing</w:t>
            </w:r>
          </w:p>
        </w:tc>
        <w:tc>
          <w:tcPr>
            <w:tcW w:w="12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87"/>
              </w:rPr>
              <w:t>Transformation</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114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Services</w:t>
            </w:r>
          </w:p>
        </w:tc>
        <w:tc>
          <w:tcPr>
            <w:tcW w:w="6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Services</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4"/>
                <w:szCs w:val="14"/>
                <w:color w:val="auto"/>
              </w:rPr>
            </w:pPr>
          </w:p>
        </w:tc>
      </w:tr>
      <w:tr>
        <w:trPr>
          <w:trHeight w:val="210"/>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January 1, 2009</w:t>
            </w:r>
          </w:p>
        </w:tc>
        <w:tc>
          <w:tcPr>
            <w:tcW w:w="1560" w:type="dxa"/>
            <w:vAlign w:val="bottom"/>
            <w:gridSpan w:val="2"/>
            <w:shd w:val="clear" w:color="auto" w:fill="CCEEFF"/>
          </w:tcPr>
          <w:p>
            <w:pPr>
              <w:ind w:left="146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772</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16,785</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17,557</w:t>
            </w:r>
          </w:p>
        </w:tc>
      </w:tr>
      <w:tr>
        <w:trPr>
          <w:trHeight w:val="216"/>
        </w:trPr>
        <w:tc>
          <w:tcPr>
            <w:tcW w:w="4360" w:type="dxa"/>
            <w:vAlign w:val="bottom"/>
            <w:gridSpan w:val="2"/>
          </w:tcPr>
          <w:p>
            <w:pPr>
              <w:ind w:left="440"/>
              <w:spacing w:after="0"/>
              <w:rPr>
                <w:sz w:val="20"/>
                <w:szCs w:val="20"/>
                <w:color w:val="auto"/>
              </w:rPr>
            </w:pPr>
            <w:r>
              <w:rPr>
                <w:rFonts w:ascii="Arial" w:cs="Arial" w:eastAsia="Arial" w:hAnsi="Arial"/>
                <w:sz w:val="18"/>
                <w:szCs w:val="18"/>
                <w:color w:val="auto"/>
              </w:rPr>
              <w:t>Goodwill arising from acquisition</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2,062</w:t>
            </w:r>
          </w:p>
        </w:tc>
        <w:tc>
          <w:tcPr>
            <w:tcW w:w="160" w:type="dxa"/>
            <w:vAlign w:val="bottom"/>
          </w:tcPr>
          <w:p>
            <w:pPr>
              <w:spacing w:after="0"/>
              <w:rPr>
                <w:sz w:val="18"/>
                <w:szCs w:val="18"/>
                <w:color w:val="auto"/>
              </w:rPr>
            </w:pPr>
          </w:p>
        </w:tc>
        <w:tc>
          <w:tcPr>
            <w:tcW w:w="10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2,062</w:t>
            </w:r>
          </w:p>
        </w:tc>
      </w:tr>
      <w:tr>
        <w:trPr>
          <w:trHeight w:val="27"/>
        </w:trPr>
        <w:tc>
          <w:tcPr>
            <w:tcW w:w="11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2009</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2,834</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16,785</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19,619</w:t>
            </w:r>
          </w:p>
        </w:tc>
      </w:tr>
      <w:tr>
        <w:trPr>
          <w:trHeight w:val="216"/>
        </w:trPr>
        <w:tc>
          <w:tcPr>
            <w:tcW w:w="4360" w:type="dxa"/>
            <w:vAlign w:val="bottom"/>
            <w:gridSpan w:val="2"/>
          </w:tcPr>
          <w:p>
            <w:pPr>
              <w:ind w:left="440"/>
              <w:spacing w:after="0"/>
              <w:rPr>
                <w:sz w:val="20"/>
                <w:szCs w:val="20"/>
                <w:color w:val="auto"/>
              </w:rPr>
            </w:pPr>
            <w:r>
              <w:rPr>
                <w:rFonts w:ascii="Arial" w:cs="Arial" w:eastAsia="Arial" w:hAnsi="Arial"/>
                <w:sz w:val="18"/>
                <w:szCs w:val="18"/>
                <w:color w:val="auto"/>
              </w:rPr>
              <w:t>Goodwill arising from acquisitions</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28,557</w:t>
            </w:r>
          </w:p>
        </w:tc>
        <w:tc>
          <w:tcPr>
            <w:tcW w:w="160" w:type="dxa"/>
            <w:vAlign w:val="bottom"/>
          </w:tcPr>
          <w:p>
            <w:pPr>
              <w:spacing w:after="0"/>
              <w:rPr>
                <w:sz w:val="18"/>
                <w:szCs w:val="18"/>
                <w:color w:val="auto"/>
              </w:rPr>
            </w:pPr>
          </w:p>
        </w:tc>
        <w:tc>
          <w:tcPr>
            <w:tcW w:w="10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28,557</w:t>
            </w:r>
          </w:p>
        </w:tc>
      </w:tr>
      <w:tr>
        <w:trPr>
          <w:trHeight w:val="216"/>
        </w:trPr>
        <w:tc>
          <w:tcPr>
            <w:tcW w:w="4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Purchase accounting adjustments</w:t>
            </w:r>
            <w:r>
              <w:rPr>
                <w:rFonts w:ascii="Arial" w:cs="Arial" w:eastAsia="Arial" w:hAnsi="Arial"/>
                <w:sz w:val="11"/>
                <w:szCs w:val="11"/>
                <w:color w:val="auto"/>
              </w:rPr>
              <w:t>(1)</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(5,303)</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(5,303)</w:t>
            </w:r>
          </w:p>
        </w:tc>
      </w:tr>
      <w:tr>
        <w:trPr>
          <w:trHeight w:val="216"/>
        </w:trPr>
        <w:tc>
          <w:tcPr>
            <w:tcW w:w="4360" w:type="dxa"/>
            <w:vAlign w:val="bottom"/>
            <w:gridSpan w:val="2"/>
          </w:tcPr>
          <w:p>
            <w:pPr>
              <w:ind w:left="440"/>
              <w:spacing w:after="0"/>
              <w:rPr>
                <w:sz w:val="20"/>
                <w:szCs w:val="20"/>
                <w:color w:val="auto"/>
              </w:rPr>
            </w:pPr>
            <w:r>
              <w:rPr>
                <w:rFonts w:ascii="Arial" w:cs="Arial" w:eastAsia="Arial" w:hAnsi="Arial"/>
                <w:sz w:val="18"/>
                <w:szCs w:val="18"/>
                <w:color w:val="auto"/>
              </w:rPr>
              <w:t>Currency translation adjustments</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416</w:t>
            </w:r>
          </w:p>
        </w:tc>
        <w:tc>
          <w:tcPr>
            <w:tcW w:w="160" w:type="dxa"/>
            <w:vAlign w:val="bottom"/>
          </w:tcPr>
          <w:p>
            <w:pPr>
              <w:spacing w:after="0"/>
              <w:rPr>
                <w:sz w:val="18"/>
                <w:szCs w:val="18"/>
                <w:color w:val="auto"/>
              </w:rPr>
            </w:pPr>
          </w:p>
        </w:tc>
        <w:tc>
          <w:tcPr>
            <w:tcW w:w="10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416</w:t>
            </w:r>
          </w:p>
        </w:tc>
      </w:tr>
      <w:tr>
        <w:trPr>
          <w:trHeight w:val="27"/>
        </w:trPr>
        <w:tc>
          <w:tcPr>
            <w:tcW w:w="11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September 30, 2010</w:t>
            </w:r>
          </w:p>
        </w:tc>
        <w:tc>
          <w:tcPr>
            <w:tcW w:w="1560" w:type="dxa"/>
            <w:vAlign w:val="bottom"/>
            <w:gridSpan w:val="2"/>
            <w:shd w:val="clear" w:color="auto" w:fill="CCEEFF"/>
          </w:tcPr>
          <w:p>
            <w:pPr>
              <w:ind w:left="146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26,504</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16,785</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43,289</w:t>
            </w:r>
          </w:p>
        </w:tc>
      </w:tr>
      <w:tr>
        <w:trPr>
          <w:trHeight w:val="20"/>
        </w:trPr>
        <w:tc>
          <w:tcPr>
            <w:tcW w:w="11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1140" w:type="dxa"/>
            <w:vAlign w:val="bottom"/>
            <w:tcBorders>
              <w:bottom w:val="single" w:sz="8" w:color="auto"/>
            </w:tcBorders>
          </w:tcPr>
          <w:p>
            <w:pPr>
              <w:spacing w:after="0"/>
              <w:rPr>
                <w:sz w:val="8"/>
                <w:szCs w:val="8"/>
                <w:color w:val="auto"/>
              </w:rPr>
            </w:pPr>
          </w:p>
        </w:tc>
        <w:tc>
          <w:tcPr>
            <w:tcW w:w="32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1480" w:hanging="567"/>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 adjustments related to the GTSC and PDMA acquisitions.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regarding the Company’s intangible assets is set forth below:</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As of September 30, 2010</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6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center"/>
              <w:ind w:right="39"/>
              <w:spacing w:after="0" w:line="129" w:lineRule="exact"/>
              <w:rPr>
                <w:sz w:val="20"/>
                <w:szCs w:val="20"/>
                <w:color w:val="auto"/>
              </w:rPr>
            </w:pPr>
            <w:r>
              <w:rPr>
                <w:rFonts w:ascii="Arial" w:cs="Arial" w:eastAsia="Arial" w:hAnsi="Arial"/>
                <w:sz w:val="14"/>
                <w:szCs w:val="14"/>
                <w:b w:val="1"/>
                <w:bCs w:val="1"/>
                <w:color w:val="auto"/>
                <w:w w:val="83"/>
              </w:rPr>
              <w:t>Gross</w:t>
            </w: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606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Carrying</w:t>
            </w:r>
          </w:p>
        </w:tc>
        <w:tc>
          <w:tcPr>
            <w:tcW w:w="580" w:type="dxa"/>
            <w:vAlign w:val="bottom"/>
          </w:tcPr>
          <w:p>
            <w:pPr>
              <w:spacing w:after="0"/>
              <w:rPr>
                <w:sz w:val="12"/>
                <w:szCs w:val="12"/>
                <w:color w:val="auto"/>
              </w:rPr>
            </w:pPr>
          </w:p>
        </w:tc>
        <w:tc>
          <w:tcPr>
            <w:tcW w:w="12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9"/>
              </w:rPr>
              <w:t>Net Carrying</w:t>
            </w:r>
          </w:p>
        </w:tc>
      </w:tr>
      <w:tr>
        <w:trPr>
          <w:trHeight w:val="161"/>
        </w:trPr>
        <w:tc>
          <w:tcPr>
            <w:tcW w:w="6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19"/>
              <w:spacing w:after="0"/>
              <w:rPr>
                <w:sz w:val="20"/>
                <w:szCs w:val="20"/>
                <w:color w:val="auto"/>
              </w:rPr>
            </w:pPr>
            <w:r>
              <w:rPr>
                <w:rFonts w:ascii="Arial" w:cs="Arial" w:eastAsia="Arial" w:hAnsi="Arial"/>
                <w:sz w:val="14"/>
                <w:szCs w:val="14"/>
                <w:b w:val="1"/>
                <w:bCs w:val="1"/>
                <w:color w:val="auto"/>
                <w:w w:val="90"/>
              </w:rPr>
              <w:t>Amount</w:t>
            </w:r>
          </w:p>
        </w:tc>
        <w:tc>
          <w:tcPr>
            <w:tcW w:w="580" w:type="dxa"/>
            <w:vAlign w:val="bottom"/>
          </w:tcPr>
          <w:p>
            <w:pPr>
              <w:spacing w:after="0"/>
              <w:rPr>
                <w:sz w:val="14"/>
                <w:szCs w:val="14"/>
                <w:color w:val="auto"/>
              </w:rPr>
            </w:pP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r>
      <w:tr>
        <w:trPr>
          <w:trHeight w:val="20"/>
        </w:trPr>
        <w:tc>
          <w:tcPr>
            <w:tcW w:w="6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16,595</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(1,250)</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15,345</w:t>
            </w: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Leasehold benefits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997</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818</w:t>
            </w: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Non-compete agreements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200</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Trade names and trademarks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5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00" w:type="dxa"/>
            <w:vAlign w:val="bottom"/>
            <w:shd w:val="clear" w:color="auto" w:fill="CCEEFF"/>
          </w:tcPr>
          <w:p>
            <w:pPr>
              <w:spacing w:after="0"/>
              <w:rPr>
                <w:sz w:val="18"/>
                <w:szCs w:val="18"/>
                <w:color w:val="auto"/>
              </w:rPr>
            </w:pPr>
          </w:p>
        </w:tc>
      </w:tr>
      <w:tr>
        <w:trPr>
          <w:trHeight w:val="222"/>
        </w:trPr>
        <w:tc>
          <w:tcPr>
            <w:tcW w:w="60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20,792</w:t>
            </w:r>
          </w:p>
        </w:tc>
        <w:tc>
          <w:tcPr>
            <w:tcW w:w="58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(1,569)</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19,223</w:t>
            </w:r>
          </w:p>
        </w:tc>
        <w:tc>
          <w:tcPr>
            <w:tcW w:w="100" w:type="dxa"/>
            <w:vAlign w:val="bottom"/>
          </w:tcPr>
          <w:p>
            <w:pPr>
              <w:spacing w:after="0"/>
              <w:rPr>
                <w:sz w:val="19"/>
                <w:szCs w:val="19"/>
                <w:color w:val="auto"/>
              </w:rPr>
            </w:pPr>
          </w:p>
        </w:tc>
      </w:tr>
      <w:tr>
        <w:trPr>
          <w:trHeight w:val="20"/>
        </w:trPr>
        <w:tc>
          <w:tcPr>
            <w:tcW w:w="6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60"/>
        </w:trPr>
        <w:tc>
          <w:tcPr>
            <w:tcW w:w="60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rPr>
              <w:t>As of December 31, 2009</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9"/>
        </w:trPr>
        <w:tc>
          <w:tcPr>
            <w:tcW w:w="6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center"/>
              <w:ind w:right="39"/>
              <w:spacing w:after="0" w:line="129" w:lineRule="exact"/>
              <w:rPr>
                <w:sz w:val="20"/>
                <w:szCs w:val="20"/>
                <w:color w:val="auto"/>
              </w:rPr>
            </w:pPr>
            <w:r>
              <w:rPr>
                <w:rFonts w:ascii="Arial" w:cs="Arial" w:eastAsia="Arial" w:hAnsi="Arial"/>
                <w:sz w:val="14"/>
                <w:szCs w:val="14"/>
                <w:b w:val="1"/>
                <w:bCs w:val="1"/>
                <w:color w:val="auto"/>
                <w:w w:val="83"/>
              </w:rPr>
              <w:t>Gross</w:t>
            </w: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606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Carrying</w:t>
            </w:r>
          </w:p>
        </w:tc>
        <w:tc>
          <w:tcPr>
            <w:tcW w:w="580" w:type="dxa"/>
            <w:vAlign w:val="bottom"/>
          </w:tcPr>
          <w:p>
            <w:pPr>
              <w:spacing w:after="0"/>
              <w:rPr>
                <w:sz w:val="12"/>
                <w:szCs w:val="12"/>
                <w:color w:val="auto"/>
              </w:rPr>
            </w:pPr>
          </w:p>
        </w:tc>
        <w:tc>
          <w:tcPr>
            <w:tcW w:w="12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9"/>
              </w:rPr>
              <w:t>Net Carrying</w:t>
            </w:r>
          </w:p>
        </w:tc>
      </w:tr>
      <w:tr>
        <w:trPr>
          <w:trHeight w:val="161"/>
        </w:trPr>
        <w:tc>
          <w:tcPr>
            <w:tcW w:w="6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19"/>
              <w:spacing w:after="0"/>
              <w:rPr>
                <w:sz w:val="20"/>
                <w:szCs w:val="20"/>
                <w:color w:val="auto"/>
              </w:rPr>
            </w:pPr>
            <w:r>
              <w:rPr>
                <w:rFonts w:ascii="Arial" w:cs="Arial" w:eastAsia="Arial" w:hAnsi="Arial"/>
                <w:sz w:val="14"/>
                <w:szCs w:val="14"/>
                <w:b w:val="1"/>
                <w:bCs w:val="1"/>
                <w:color w:val="auto"/>
                <w:w w:val="90"/>
              </w:rPr>
              <w:t>Amount</w:t>
            </w:r>
          </w:p>
        </w:tc>
        <w:tc>
          <w:tcPr>
            <w:tcW w:w="580" w:type="dxa"/>
            <w:vAlign w:val="bottom"/>
          </w:tcPr>
          <w:p>
            <w:pPr>
              <w:spacing w:after="0"/>
              <w:rPr>
                <w:sz w:val="14"/>
                <w:szCs w:val="14"/>
                <w:color w:val="auto"/>
              </w:rPr>
            </w:pP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r>
      <w:tr>
        <w:trPr>
          <w:trHeight w:val="20"/>
        </w:trPr>
        <w:tc>
          <w:tcPr>
            <w:tcW w:w="6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(167)</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100" w:type="dxa"/>
            <w:vAlign w:val="bottom"/>
            <w:shd w:val="clear" w:color="auto" w:fill="CCEEFF"/>
          </w:tcPr>
          <w:p>
            <w:pPr>
              <w:spacing w:after="0"/>
              <w:rPr>
                <w:sz w:val="18"/>
                <w:szCs w:val="18"/>
                <w:color w:val="auto"/>
              </w:rPr>
            </w:pPr>
          </w:p>
        </w:tc>
      </w:tr>
      <w:tr>
        <w:trPr>
          <w:trHeight w:val="20"/>
        </w:trPr>
        <w:tc>
          <w:tcPr>
            <w:tcW w:w="6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60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794</w:t>
            </w:r>
          </w:p>
        </w:tc>
        <w:tc>
          <w:tcPr>
            <w:tcW w:w="58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(167)</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627</w:t>
            </w:r>
          </w:p>
        </w:tc>
        <w:tc>
          <w:tcPr>
            <w:tcW w:w="100" w:type="dxa"/>
            <w:vAlign w:val="bottom"/>
          </w:tcPr>
          <w:p>
            <w:pPr>
              <w:spacing w:after="0"/>
              <w:rPr>
                <w:sz w:val="19"/>
                <w:szCs w:val="19"/>
                <w:color w:val="auto"/>
              </w:rPr>
            </w:pPr>
          </w:p>
        </w:tc>
      </w:tr>
      <w:tr>
        <w:trPr>
          <w:trHeight w:val="20"/>
        </w:trPr>
        <w:tc>
          <w:tcPr>
            <w:tcW w:w="6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Amortization expense for the three months ended September 30, 2010 and 2009 was $688 and $84, respectively. Amortization expense for the nine months ended September 30, 2010 and 2009 was $1,388 and $84, respectively. The estimated amortization of intangible assets for the years ending September 30, 2011, 2012, 2013, 2014 and 2015 is $2,477, $2,243, $1,995, $1,790 and $1,790, respectively.</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(“ASC No. 820”) defines fair value as the price that would be received upon sale of an asset or paid upon transfer of a liability in an orderly transaction between market participants at the measurement date and in the principal or most advantageous market for that asset or liability. The fair value should be calculated based on assumptions that market participants would use in pricing the asset or liability, not on assumptions specific to the entity. In addition, the fair value of liabilities should include consideration of non-performance risk, including the Company’s own credit risk.</w:t>
      </w:r>
    </w:p>
    <w:p>
      <w:pPr>
        <w:spacing w:after="0" w:line="143"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ASC No. 820 establishes a three-level hierarchy of fair value measurements based on whether the inputs to those measurements are observable or unobservable. Observable inputs reflect market data obtained from independent sources, while unobservable inputs reflect the Company’s market assumptions. The fair-value hierarchy requires the use of observable market data when available and consists of the following levels:</w:t>
      </w:r>
    </w:p>
    <w:p>
      <w:pPr>
        <w:spacing w:after="0" w:line="147" w:lineRule="exact"/>
        <w:rPr>
          <w:sz w:val="20"/>
          <w:szCs w:val="20"/>
          <w:color w:val="auto"/>
        </w:rPr>
      </w:pPr>
    </w:p>
    <w:tbl>
      <w:tblPr>
        <w:tblLayout w:type="fixed"/>
        <w:tblInd w:w="1120" w:type="dxa"/>
        <w:tblCellMar>
          <w:top w:w="0" w:type="dxa"/>
          <w:left w:w="0" w:type="dxa"/>
          <w:bottom w:w="0" w:type="dxa"/>
          <w:right w:w="0" w:type="dxa"/>
        </w:tblCellMar>
      </w:tblPr>
      <w:tr>
        <w:trPr>
          <w:trHeight w:val="222"/>
        </w:trPr>
        <w:tc>
          <w:tcPr>
            <w:tcW w:w="620" w:type="dxa"/>
            <w:vAlign w:val="bottom"/>
          </w:tcPr>
          <w:p>
            <w:pPr>
              <w:spacing w:after="0"/>
              <w:rPr>
                <w:sz w:val="20"/>
                <w:szCs w:val="20"/>
                <w:color w:val="auto"/>
              </w:rPr>
            </w:pPr>
            <w:r>
              <w:rPr>
                <w:rFonts w:ascii="Arial" w:cs="Arial" w:eastAsia="Arial" w:hAnsi="Arial"/>
                <w:sz w:val="18"/>
                <w:szCs w:val="18"/>
                <w:color w:val="auto"/>
              </w:rPr>
              <w:t>Level 1</w:t>
            </w:r>
          </w:p>
        </w:tc>
        <w:tc>
          <w:tcPr>
            <w:tcW w:w="9260" w:type="dxa"/>
            <w:vAlign w:val="bottom"/>
            <w:gridSpan w:val="2"/>
          </w:tcPr>
          <w:p>
            <w:pPr>
              <w:ind w:left="60"/>
              <w:spacing w:after="0"/>
              <w:rPr>
                <w:sz w:val="20"/>
                <w:szCs w:val="20"/>
                <w:color w:val="auto"/>
              </w:rPr>
            </w:pPr>
            <w:r>
              <w:rPr>
                <w:rFonts w:ascii="Arial" w:cs="Arial" w:eastAsia="Arial" w:hAnsi="Arial"/>
                <w:sz w:val="18"/>
                <w:szCs w:val="18"/>
                <w:color w:val="auto"/>
              </w:rPr>
              <w:t>– Quoted prices for identical instruments in active markets;</w:t>
            </w:r>
          </w:p>
        </w:tc>
      </w:tr>
      <w:tr>
        <w:trPr>
          <w:trHeight w:val="318"/>
        </w:trPr>
        <w:tc>
          <w:tcPr>
            <w:tcW w:w="620" w:type="dxa"/>
            <w:vAlign w:val="bottom"/>
          </w:tcPr>
          <w:p>
            <w:pPr>
              <w:spacing w:after="0"/>
              <w:rPr>
                <w:sz w:val="20"/>
                <w:szCs w:val="20"/>
                <w:color w:val="auto"/>
              </w:rPr>
            </w:pPr>
            <w:r>
              <w:rPr>
                <w:rFonts w:ascii="Arial" w:cs="Arial" w:eastAsia="Arial" w:hAnsi="Arial"/>
                <w:sz w:val="18"/>
                <w:szCs w:val="18"/>
                <w:color w:val="auto"/>
              </w:rPr>
              <w:t>Level 2</w:t>
            </w:r>
          </w:p>
        </w:tc>
        <w:tc>
          <w:tcPr>
            <w:tcW w:w="200" w:type="dxa"/>
            <w:vAlign w:val="bottom"/>
          </w:tcPr>
          <w:p>
            <w:pPr>
              <w:ind w:left="60"/>
              <w:spacing w:after="0"/>
              <w:rPr>
                <w:sz w:val="20"/>
                <w:szCs w:val="20"/>
                <w:color w:val="auto"/>
              </w:rPr>
            </w:pPr>
            <w:r>
              <w:rPr>
                <w:rFonts w:ascii="Arial" w:cs="Arial" w:eastAsia="Arial" w:hAnsi="Arial"/>
                <w:sz w:val="18"/>
                <w:szCs w:val="18"/>
                <w:color w:val="auto"/>
              </w:rPr>
              <w:t>–</w:t>
            </w:r>
          </w:p>
        </w:tc>
        <w:tc>
          <w:tcPr>
            <w:tcW w:w="9060" w:type="dxa"/>
            <w:vAlign w:val="bottom"/>
          </w:tcPr>
          <w:p>
            <w:pPr>
              <w:ind w:left="60"/>
              <w:spacing w:after="0"/>
              <w:rPr>
                <w:sz w:val="20"/>
                <w:szCs w:val="20"/>
                <w:color w:val="auto"/>
              </w:rPr>
            </w:pPr>
            <w:r>
              <w:rPr>
                <w:rFonts w:ascii="Arial" w:cs="Arial" w:eastAsia="Arial" w:hAnsi="Arial"/>
                <w:sz w:val="18"/>
                <w:szCs w:val="18"/>
                <w:color w:val="auto"/>
                <w:w w:val="89"/>
              </w:rPr>
              <w:t>Quoted prices for similar instruments in active markets; quoted prices for identical or similar instruments in markets that are not</w:t>
            </w:r>
          </w:p>
        </w:tc>
      </w:tr>
      <w:tr>
        <w:trPr>
          <w:trHeight w:val="222"/>
        </w:trPr>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60" w:type="dxa"/>
            <w:vAlign w:val="bottom"/>
          </w:tcPr>
          <w:p>
            <w:pPr>
              <w:ind w:left="60"/>
              <w:spacing w:after="0"/>
              <w:rPr>
                <w:sz w:val="20"/>
                <w:szCs w:val="20"/>
                <w:color w:val="auto"/>
              </w:rPr>
            </w:pPr>
            <w:r>
              <w:rPr>
                <w:rFonts w:ascii="Arial" w:cs="Arial" w:eastAsia="Arial" w:hAnsi="Arial"/>
                <w:sz w:val="18"/>
                <w:szCs w:val="18"/>
                <w:color w:val="auto"/>
              </w:rPr>
              <w:t>active; and model-derived valuations in which all significant inputs are observable in active markets; and</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Level 3</w:t>
            </w:r>
          </w:p>
        </w:tc>
        <w:tc>
          <w:tcPr>
            <w:tcW w:w="200" w:type="dxa"/>
            <w:vAlign w:val="bottom"/>
          </w:tcPr>
          <w:p>
            <w:pPr>
              <w:ind w:left="60"/>
              <w:spacing w:after="0"/>
              <w:rPr>
                <w:sz w:val="20"/>
                <w:szCs w:val="20"/>
                <w:color w:val="auto"/>
              </w:rPr>
            </w:pPr>
            <w:r>
              <w:rPr>
                <w:rFonts w:ascii="Arial" w:cs="Arial" w:eastAsia="Arial" w:hAnsi="Arial"/>
                <w:sz w:val="18"/>
                <w:szCs w:val="18"/>
                <w:color w:val="auto"/>
              </w:rPr>
              <w:t>–</w:t>
            </w:r>
          </w:p>
        </w:tc>
        <w:tc>
          <w:tcPr>
            <w:tcW w:w="9060" w:type="dxa"/>
            <w:vAlign w:val="bottom"/>
          </w:tcPr>
          <w:p>
            <w:pPr>
              <w:ind w:left="60"/>
              <w:spacing w:after="0"/>
              <w:rPr>
                <w:sz w:val="20"/>
                <w:szCs w:val="20"/>
                <w:color w:val="auto"/>
              </w:rPr>
            </w:pPr>
            <w:r>
              <w:rPr>
                <w:rFonts w:ascii="Arial" w:cs="Arial" w:eastAsia="Arial" w:hAnsi="Arial"/>
                <w:sz w:val="18"/>
                <w:szCs w:val="18"/>
                <w:color w:val="auto"/>
              </w:rPr>
              <w:t>Valuations derived from valuation techniques in which one or more significant inputs are unobservable.</w:t>
            </w:r>
          </w:p>
        </w:tc>
      </w:tr>
    </w:tbl>
    <w:p>
      <w:pPr>
        <w:spacing w:after="0" w:line="156"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The following table sets forth the Company’s assets and liabilities that were accounted for at fair value as of September 30, 2010. The table excludes short-term investments, accounts receivable, accounts payable and accrued expenses for which fair values approximate their carrying amounts.</w:t>
      </w:r>
    </w:p>
    <w:p>
      <w:pPr>
        <w:spacing w:after="0" w:line="12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8"/>
              </w:rPr>
              <w:t>Level 1</w:t>
            </w:r>
          </w:p>
        </w:tc>
        <w:tc>
          <w:tcPr>
            <w:tcW w:w="380" w:type="dxa"/>
            <w:vAlign w:val="bottom"/>
          </w:tcPr>
          <w:p>
            <w:pPr>
              <w:spacing w:after="0"/>
              <w:rPr>
                <w:sz w:val="14"/>
                <w:szCs w:val="14"/>
                <w:color w:val="auto"/>
              </w:rPr>
            </w:pPr>
          </w:p>
        </w:tc>
        <w:tc>
          <w:tcPr>
            <w:tcW w:w="700" w:type="dxa"/>
            <w:vAlign w:val="bottom"/>
            <w:gridSpan w:val="3"/>
          </w:tcPr>
          <w:p>
            <w:pPr>
              <w:ind w:left="40"/>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4"/>
              </w:rPr>
              <w:t>Level 3</w:t>
            </w:r>
          </w:p>
        </w:tc>
        <w:tc>
          <w:tcPr>
            <w:tcW w:w="380" w:type="dxa"/>
            <w:vAlign w:val="bottom"/>
          </w:tcPr>
          <w:p>
            <w:pPr>
              <w:spacing w:after="0"/>
              <w:rPr>
                <w:sz w:val="14"/>
                <w:szCs w:val="14"/>
                <w:color w:val="auto"/>
              </w:rPr>
            </w:pPr>
          </w:p>
        </w:tc>
        <w:tc>
          <w:tcPr>
            <w:tcW w:w="68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58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Money market and mutual funds</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$78,171</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22"/>
              <w:spacing w:after="0"/>
              <w:rPr>
                <w:sz w:val="20"/>
                <w:szCs w:val="20"/>
                <w:color w:val="auto"/>
              </w:rPr>
            </w:pPr>
            <w:r>
              <w:rPr>
                <w:rFonts w:ascii="Arial" w:cs="Arial" w:eastAsia="Arial" w:hAnsi="Arial"/>
                <w:sz w:val="18"/>
                <w:szCs w:val="18"/>
                <w:color w:val="auto"/>
              </w:rPr>
              <w:t>$ —</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$78,171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Derivative financial instruments</w:t>
            </w: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8"/>
              </w:rPr>
              <w:t>4,186</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6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160" w:type="dxa"/>
            <w:vAlign w:val="bottom"/>
            <w:vMerge w:val="continue"/>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78,171</w:t>
            </w:r>
          </w:p>
        </w:tc>
        <w:tc>
          <w:tcPr>
            <w:tcW w:w="3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4,186</w:t>
            </w:r>
          </w:p>
        </w:tc>
        <w:tc>
          <w:tcPr>
            <w:tcW w:w="620" w:type="dxa"/>
            <w:vAlign w:val="bottom"/>
            <w:gridSpan w:val="2"/>
          </w:tcPr>
          <w:p>
            <w:pPr>
              <w:jc w:val="right"/>
              <w:ind w:right="22"/>
              <w:spacing w:after="0"/>
              <w:rPr>
                <w:sz w:val="20"/>
                <w:szCs w:val="20"/>
                <w:color w:val="auto"/>
              </w:rPr>
            </w:pPr>
            <w:r>
              <w:rPr>
                <w:rFonts w:ascii="Arial" w:cs="Arial" w:eastAsia="Arial" w:hAnsi="Arial"/>
                <w:sz w:val="18"/>
                <w:szCs w:val="18"/>
                <w:color w:val="auto"/>
              </w:rPr>
              <w:t>$ —</w:t>
            </w:r>
          </w:p>
        </w:tc>
        <w:tc>
          <w:tcPr>
            <w:tcW w:w="9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82,357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i w:val="1"/>
          <w:iCs w:val="1"/>
          <w:color w:val="auto"/>
        </w:rPr>
        <w:t xml:space="preserve">Derivative Financial Instrument: </w:t>
      </w:r>
      <w:r>
        <w:rPr>
          <w:rFonts w:ascii="Arial" w:cs="Arial" w:eastAsia="Arial" w:hAnsi="Arial"/>
          <w:sz w:val="16"/>
          <w:szCs w:val="16"/>
          <w:color w:val="auto"/>
        </w:rPr>
        <w:t>The Company’s derivative financial instruments consist of foreign currency forward exchange contracts. Fair values for</w:t>
      </w:r>
      <w:r>
        <w:rPr>
          <w:rFonts w:ascii="Arial" w:cs="Arial" w:eastAsia="Arial" w:hAnsi="Arial"/>
          <w:sz w:val="16"/>
          <w:szCs w:val="16"/>
          <w:i w:val="1"/>
          <w:iCs w:val="1"/>
          <w:color w:val="auto"/>
        </w:rPr>
        <w:t xml:space="preserve"> </w:t>
      </w:r>
      <w:r>
        <w:rPr>
          <w:rFonts w:ascii="Arial" w:cs="Arial" w:eastAsia="Arial" w:hAnsi="Arial"/>
          <w:sz w:val="16"/>
          <w:szCs w:val="16"/>
          <w:color w:val="auto"/>
        </w:rPr>
        <w:t>derivative financial instruments are based on broker quotations and are classified as Level 2. See Note 7 for further details.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Derivatives and Hedge Accounting</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The Company actively looks to mitigate the exposure of foreign currency market risk by entering into various hedging transactions, authorized under Company policies, with counterparties that are highly rated financial institutions. The Company’s primary exchange rate exposure is with the Indian rupee. The Company also has exposure in Philippine pesos, Czech koruna and other local currencies in which it operates. The Company uses derivative instruments for the purpose of mitigating the underlying exposure from foreign currency fluctuation risks associated with forecasted transactions denominated in certain foreign currencies and to minimize earnings and cash flow volatility associated with changes in foreign currency exchange rates, and not for speculative trading purposes. These derivative financial instruments are largely forward foreign exchange contracts that are designated effective and that qualify as cash flow hedges under ASC topic 815, “ </w:t>
      </w:r>
      <w:r>
        <w:rPr>
          <w:rFonts w:ascii="Arial" w:cs="Arial" w:eastAsia="Arial" w:hAnsi="Arial"/>
          <w:sz w:val="16"/>
          <w:szCs w:val="16"/>
          <w:i w:val="1"/>
          <w:iCs w:val="1"/>
          <w:color w:val="auto"/>
        </w:rPr>
        <w:t>Derivatives and Hedging”</w:t>
      </w:r>
      <w:r>
        <w:rPr>
          <w:rFonts w:ascii="Arial" w:cs="Arial" w:eastAsia="Arial" w:hAnsi="Arial"/>
          <w:sz w:val="16"/>
          <w:szCs w:val="16"/>
          <w:color w:val="auto"/>
        </w:rPr>
        <w:t xml:space="preserve"> (“ASC No. 815”). The Company also uses derivatives consisting of foreign currency exchange contracts not designated as hedging instruments under ASC No. 815 to hedge intercompany balances and other monetary assets or liabilities denominated in currencies other than the functional currency.</w:t>
      </w:r>
    </w:p>
    <w:p>
      <w:pPr>
        <w:spacing w:after="0" w:line="12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Company had outstanding foreign exchange contracts totaling $149,730, GBP 7,460 and EUR 817 as of September 30, 2010 and totaling $90,000 and GBP 7,662 as of December 31, 2009. The Company estimates that approximately $3,458 of net derivative gains included in accumulated other comprehensive income (“AOCI”) could be reclassified into earnings within the next twelve months based on exchange rates prevailing as of September 30, 2010. At September 30, 2010, the maximum outstanding term of derivative instruments that hedge forecasted transactions was thirty-three months.</w:t>
      </w:r>
    </w:p>
    <w:p>
      <w:pPr>
        <w:spacing w:after="0" w:line="11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Company evaluates hedge effectiveness at the time a contract is entered into as well as on an ongoing basis. If during this time, a contract is deemed ineffective, the change in the fair value is recorded in the unaudited consolidated statements of income and is included in foreign exchange gain/(loss). For hedge relationships that are discontinued because the forecasted transaction is not expected to occur by the end of the originally specified period, any related derivative amounts recorded in equity are reclassified to earnings. No significant amounts of gains or losses were reclassified from AOCI into earnings as a result of forecasted transactions that failed to occur during the three and nine months ended September 30, 2010.</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the fair value of foreign currency exchange contracts and their location on the unaudited consolidated financial statements: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Derivatives designated as hedging instruments:</w:t>
      </w:r>
    </w:p>
    <w:p>
      <w:pPr>
        <w:spacing w:after="0" w:line="195"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940" w:type="dxa"/>
            <w:vAlign w:val="bottom"/>
            <w:gridSpan w:val="4"/>
          </w:tcPr>
          <w:p>
            <w:pPr>
              <w:ind w:left="100"/>
              <w:spacing w:after="0"/>
              <w:rPr>
                <w:sz w:val="20"/>
                <w:szCs w:val="20"/>
                <w:color w:val="auto"/>
              </w:rPr>
            </w:pPr>
            <w:r>
              <w:rPr>
                <w:rFonts w:ascii="Arial" w:cs="Arial" w:eastAsia="Arial" w:hAnsi="Arial"/>
                <w:sz w:val="14"/>
                <w:szCs w:val="14"/>
                <w:b w:val="1"/>
                <w:bCs w:val="1"/>
                <w:color w:val="auto"/>
                <w:w w:val="85"/>
              </w:rPr>
              <w:t>September 30,</w:t>
            </w:r>
          </w:p>
        </w:tc>
        <w:tc>
          <w:tcPr>
            <w:tcW w:w="1660" w:type="dxa"/>
            <w:vAlign w:val="bottom"/>
            <w:gridSpan w:val="4"/>
          </w:tcPr>
          <w:p>
            <w:pPr>
              <w:ind w:left="760"/>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11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auto"/>
            </w:tcBorders>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114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8"/>
              </w:rPr>
              <w:t>Prepaid expenses and other current assets:</w:t>
            </w:r>
          </w:p>
        </w:tc>
        <w:tc>
          <w:tcPr>
            <w:tcW w:w="2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Foreign currency exchange contracts</w:t>
            </w:r>
          </w:p>
        </w:tc>
        <w:tc>
          <w:tcPr>
            <w:tcW w:w="2600" w:type="dxa"/>
            <w:vAlign w:val="bottom"/>
            <w:gridSpan w:val="3"/>
          </w:tcPr>
          <w:p>
            <w:pPr>
              <w:ind w:left="24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3,458</w:t>
            </w:r>
          </w:p>
        </w:tc>
        <w:tc>
          <w:tcPr>
            <w:tcW w:w="9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1,451</w:t>
            </w:r>
          </w:p>
        </w:tc>
        <w:tc>
          <w:tcPr>
            <w:tcW w:w="10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assets</w:t>
            </w:r>
          </w:p>
        </w:tc>
        <w:tc>
          <w:tcPr>
            <w:tcW w:w="2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2"/>
        </w:trPr>
        <w:tc>
          <w:tcPr>
            <w:tcW w:w="114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Foreign currency exchange contracts</w:t>
            </w:r>
          </w:p>
        </w:tc>
        <w:tc>
          <w:tcPr>
            <w:tcW w:w="2600" w:type="dxa"/>
            <w:vAlign w:val="bottom"/>
            <w:gridSpan w:val="3"/>
          </w:tcPr>
          <w:p>
            <w:pPr>
              <w:ind w:left="24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616</w:t>
            </w:r>
          </w:p>
        </w:tc>
        <w:tc>
          <w:tcPr>
            <w:tcW w:w="9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957</w:t>
            </w:r>
          </w:p>
        </w:tc>
        <w:tc>
          <w:tcPr>
            <w:tcW w:w="100" w:type="dxa"/>
            <w:vAlign w:val="bottom"/>
          </w:tcPr>
          <w:p>
            <w:pPr>
              <w:spacing w:after="0"/>
              <w:rPr>
                <w:sz w:val="19"/>
                <w:szCs w:val="19"/>
                <w:color w:val="auto"/>
              </w:rPr>
            </w:pPr>
          </w:p>
        </w:tc>
      </w:tr>
      <w:tr>
        <w:trPr>
          <w:trHeight w:val="451"/>
        </w:trPr>
        <w:tc>
          <w:tcPr>
            <w:tcW w:w="48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Derivatives not designated as hedging instruments:</w:t>
            </w:r>
          </w:p>
        </w:tc>
        <w:tc>
          <w:tcPr>
            <w:tcW w:w="2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0"/>
        </w:trPr>
        <w:tc>
          <w:tcPr>
            <w:tcW w:w="11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300" w:type="dxa"/>
            <w:vAlign w:val="bottom"/>
            <w:gridSpan w:val="5"/>
          </w:tcPr>
          <w:p>
            <w:pPr>
              <w:jc w:val="right"/>
              <w:ind w:right="120"/>
              <w:spacing w:after="0"/>
              <w:rPr>
                <w:sz w:val="20"/>
                <w:szCs w:val="20"/>
                <w:color w:val="auto"/>
              </w:rPr>
            </w:pPr>
            <w:r>
              <w:rPr>
                <w:rFonts w:ascii="Arial" w:cs="Arial" w:eastAsia="Arial" w:hAnsi="Arial"/>
                <w:sz w:val="14"/>
                <w:szCs w:val="14"/>
                <w:b w:val="1"/>
                <w:bCs w:val="1"/>
                <w:color w:val="auto"/>
              </w:rPr>
              <w:t>September 30,</w:t>
            </w:r>
          </w:p>
        </w:tc>
        <w:tc>
          <w:tcPr>
            <w:tcW w:w="1660" w:type="dxa"/>
            <w:vAlign w:val="bottom"/>
            <w:gridSpan w:val="4"/>
          </w:tcPr>
          <w:p>
            <w:pPr>
              <w:ind w:left="760"/>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11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w w:val="89"/>
              </w:rPr>
              <w:t>2010</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114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8"/>
              </w:rPr>
              <w:t>Prepaid expenses and other current assets:</w:t>
            </w:r>
          </w:p>
        </w:tc>
        <w:tc>
          <w:tcPr>
            <w:tcW w:w="2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2"/>
        </w:trPr>
        <w:tc>
          <w:tcPr>
            <w:tcW w:w="114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Foreign currency exchange contracts</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19"/>
                <w:szCs w:val="19"/>
                <w:color w:val="auto"/>
              </w:rPr>
            </w:pPr>
          </w:p>
        </w:tc>
        <w:tc>
          <w:tcPr>
            <w:tcW w:w="9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r>
      <w:tr>
        <w:trPr>
          <w:trHeight w:val="356"/>
        </w:trPr>
        <w:tc>
          <w:tcPr>
            <w:tcW w:w="11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360" w:type="dxa"/>
            <w:vAlign w:val="bottom"/>
          </w:tcPr>
          <w:p>
            <w:pPr>
              <w:jc w:val="right"/>
              <w:ind w:right="1576"/>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2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following tables set forth the effect of foreign currency exchange contracts on the unaudited consolidated statements of income for the three months ended September 30, 2010 and 2009:</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Derivatives</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 Cash Flow</w:t>
      </w:r>
    </w:p>
    <w:p>
      <w:pPr>
        <w:spacing w:after="0" w:line="237" w:lineRule="auto"/>
        <w:rPr>
          <w:sz w:val="20"/>
          <w:szCs w:val="20"/>
          <w:color w:val="auto"/>
        </w:rPr>
      </w:pPr>
      <w:r>
        <w:rPr>
          <w:rFonts w:ascii="Arial" w:cs="Arial" w:eastAsia="Arial" w:hAnsi="Arial"/>
          <w:sz w:val="14"/>
          <w:szCs w:val="14"/>
          <w:b w:val="1"/>
          <w:bCs w:val="1"/>
          <w:color w:val="auto"/>
        </w:rPr>
        <w:t>Hedging</w:t>
      </w:r>
    </w:p>
    <w:p>
      <w:pPr>
        <w:spacing w:after="0"/>
        <w:rPr>
          <w:sz w:val="20"/>
          <w:szCs w:val="20"/>
          <w:color w:val="auto"/>
        </w:rPr>
      </w:pPr>
      <w:r>
        <w:rPr>
          <w:rFonts w:ascii="Arial" w:cs="Arial" w:eastAsia="Arial" w:hAnsi="Arial"/>
          <w:sz w:val="11"/>
          <w:szCs w:val="11"/>
          <w:b w:val="1"/>
          <w:bCs w:val="1"/>
          <w:u w:val="single" w:color="auto"/>
          <w:color w:val="auto"/>
        </w:rPr>
        <w:t>Relationships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Amount of Gain or</w:t>
      </w:r>
    </w:p>
    <w:p>
      <w:pPr>
        <w:spacing w:after="0" w:line="25"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(Loss) Recognized in</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AOCI on Derivative</w:t>
      </w:r>
    </w:p>
    <w:p>
      <w:pPr>
        <w:spacing w:after="0" w:line="11" w:lineRule="exact"/>
        <w:rPr>
          <w:sz w:val="20"/>
          <w:szCs w:val="20"/>
          <w:color w:val="auto"/>
        </w:rPr>
      </w:pPr>
    </w:p>
    <w:p>
      <w:pPr>
        <w:ind w:left="60"/>
        <w:spacing w:after="0"/>
        <w:rPr>
          <w:sz w:val="20"/>
          <w:szCs w:val="20"/>
          <w:color w:val="auto"/>
        </w:rPr>
      </w:pPr>
      <w:r>
        <w:rPr>
          <w:rFonts w:ascii="Arial" w:cs="Arial" w:eastAsia="Arial" w:hAnsi="Arial"/>
          <w:sz w:val="12"/>
          <w:szCs w:val="12"/>
          <w:b w:val="1"/>
          <w:bCs w:val="1"/>
          <w:color w:val="auto"/>
        </w:rPr>
        <w:t>(Effective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wp:posOffset>
            </wp:positionH>
            <wp:positionV relativeFrom="paragraph">
              <wp:posOffset>5715</wp:posOffset>
            </wp:positionV>
            <wp:extent cx="8578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ind w:left="60"/>
        <w:spacing w:after="0"/>
        <w:tabs>
          <w:tab w:leader="none" w:pos="840" w:val="left"/>
        </w:tabs>
        <w:rPr>
          <w:sz w:val="20"/>
          <w:szCs w:val="20"/>
          <w:color w:val="auto"/>
        </w:rPr>
      </w:pPr>
      <w:r>
        <w:rPr>
          <w:rFonts w:ascii="Arial" w:cs="Arial" w:eastAsia="Arial" w:hAnsi="Arial"/>
          <w:sz w:val="14"/>
          <w:szCs w:val="14"/>
          <w:b w:val="1"/>
          <w:bCs w:val="1"/>
          <w:color w:val="auto"/>
        </w:rPr>
        <w:t>2010</w:t>
      </w:r>
      <w:r>
        <w:rPr>
          <w:sz w:val="20"/>
          <w:szCs w:val="20"/>
          <w:color w:val="auto"/>
        </w:rPr>
        <w:tab/>
      </w:r>
      <w:r>
        <w:rPr>
          <w:rFonts w:ascii="Arial" w:cs="Arial" w:eastAsia="Arial" w:hAnsi="Arial"/>
          <w:sz w:val="14"/>
          <w:szCs w:val="14"/>
          <w:b w:val="1"/>
          <w:bCs w:val="1"/>
          <w:color w:val="auto"/>
        </w:rPr>
        <w:t>2009</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6"/>
              </w:rPr>
              <w:t>Location of Gain/(Loss)</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49"/>
        </w:trPr>
        <w:tc>
          <w:tcPr>
            <w:tcW w:w="1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Recognized in Income</w:t>
            </w:r>
          </w:p>
        </w:tc>
        <w:tc>
          <w:tcPr>
            <w:tcW w:w="180" w:type="dxa"/>
            <w:vAlign w:val="bottom"/>
          </w:tcPr>
          <w:p>
            <w:pPr>
              <w:spacing w:after="0"/>
              <w:rPr>
                <w:sz w:val="12"/>
                <w:szCs w:val="12"/>
                <w:color w:val="auto"/>
              </w:rPr>
            </w:pPr>
          </w:p>
        </w:tc>
        <w:tc>
          <w:tcPr>
            <w:tcW w:w="1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Amount of Gain/</w:t>
            </w:r>
          </w:p>
        </w:tc>
      </w:tr>
      <w:tr>
        <w:trPr>
          <w:trHeight w:val="149"/>
        </w:trPr>
        <w:tc>
          <w:tcPr>
            <w:tcW w:w="1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on Derivative</w:t>
            </w:r>
          </w:p>
        </w:tc>
        <w:tc>
          <w:tcPr>
            <w:tcW w:w="180" w:type="dxa"/>
            <w:vAlign w:val="bottom"/>
          </w:tcPr>
          <w:p>
            <w:pPr>
              <w:spacing w:after="0"/>
              <w:rPr>
                <w:sz w:val="12"/>
                <w:szCs w:val="12"/>
                <w:color w:val="auto"/>
              </w:rPr>
            </w:pPr>
          </w:p>
        </w:tc>
        <w:tc>
          <w:tcPr>
            <w:tcW w:w="1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(Loss) Recognized in</w:t>
            </w:r>
          </w:p>
        </w:tc>
      </w:tr>
      <w:tr>
        <w:trPr>
          <w:trHeight w:val="149"/>
        </w:trPr>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Location of Gain or</w:t>
            </w:r>
          </w:p>
        </w:tc>
        <w:tc>
          <w:tcPr>
            <w:tcW w:w="180" w:type="dxa"/>
            <w:vAlign w:val="bottom"/>
          </w:tcPr>
          <w:p>
            <w:pPr>
              <w:spacing w:after="0"/>
              <w:rPr>
                <w:sz w:val="12"/>
                <w:szCs w:val="12"/>
                <w:color w:val="auto"/>
              </w:rPr>
            </w:pPr>
          </w:p>
        </w:tc>
        <w:tc>
          <w:tcPr>
            <w:tcW w:w="1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Amount of Gain or</w:t>
            </w:r>
          </w:p>
        </w:tc>
        <w:tc>
          <w:tcPr>
            <w:tcW w:w="28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(Ineffective Portion</w:t>
            </w:r>
          </w:p>
        </w:tc>
        <w:tc>
          <w:tcPr>
            <w:tcW w:w="180" w:type="dxa"/>
            <w:vAlign w:val="bottom"/>
          </w:tcPr>
          <w:p>
            <w:pPr>
              <w:spacing w:after="0"/>
              <w:rPr>
                <w:sz w:val="12"/>
                <w:szCs w:val="12"/>
                <w:color w:val="auto"/>
              </w:rPr>
            </w:pPr>
          </w:p>
        </w:tc>
        <w:tc>
          <w:tcPr>
            <w:tcW w:w="1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Income on Derivative</w:t>
            </w:r>
          </w:p>
        </w:tc>
      </w:tr>
      <w:tr>
        <w:trPr>
          <w:trHeight w:val="149"/>
        </w:trPr>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(Loss) Reclassified from</w:t>
            </w:r>
          </w:p>
        </w:tc>
        <w:tc>
          <w:tcPr>
            <w:tcW w:w="180" w:type="dxa"/>
            <w:vAlign w:val="bottom"/>
          </w:tcPr>
          <w:p>
            <w:pPr>
              <w:spacing w:after="0"/>
              <w:rPr>
                <w:sz w:val="12"/>
                <w:szCs w:val="12"/>
                <w:color w:val="auto"/>
              </w:rPr>
            </w:pPr>
          </w:p>
        </w:tc>
        <w:tc>
          <w:tcPr>
            <w:tcW w:w="1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(Loss) Reclassified from</w:t>
            </w:r>
          </w:p>
        </w:tc>
        <w:tc>
          <w:tcPr>
            <w:tcW w:w="28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And Amount Excluded</w:t>
            </w:r>
          </w:p>
        </w:tc>
        <w:tc>
          <w:tcPr>
            <w:tcW w:w="180" w:type="dxa"/>
            <w:vAlign w:val="bottom"/>
          </w:tcPr>
          <w:p>
            <w:pPr>
              <w:spacing w:after="0"/>
              <w:rPr>
                <w:sz w:val="12"/>
                <w:szCs w:val="12"/>
                <w:color w:val="auto"/>
              </w:rPr>
            </w:pPr>
          </w:p>
        </w:tc>
        <w:tc>
          <w:tcPr>
            <w:tcW w:w="1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(Ineffective Portion And</w:t>
            </w:r>
          </w:p>
        </w:tc>
      </w:tr>
      <w:tr>
        <w:trPr>
          <w:trHeight w:val="149"/>
        </w:trPr>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AOCI into Income</w:t>
            </w:r>
          </w:p>
        </w:tc>
        <w:tc>
          <w:tcPr>
            <w:tcW w:w="180" w:type="dxa"/>
            <w:vAlign w:val="bottom"/>
          </w:tcPr>
          <w:p>
            <w:pPr>
              <w:spacing w:after="0"/>
              <w:rPr>
                <w:sz w:val="12"/>
                <w:szCs w:val="12"/>
                <w:color w:val="auto"/>
              </w:rPr>
            </w:pPr>
          </w:p>
        </w:tc>
        <w:tc>
          <w:tcPr>
            <w:tcW w:w="1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AOCI into Income</w:t>
            </w:r>
          </w:p>
        </w:tc>
        <w:tc>
          <w:tcPr>
            <w:tcW w:w="28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from Effectiveness</w:t>
            </w:r>
          </w:p>
        </w:tc>
        <w:tc>
          <w:tcPr>
            <w:tcW w:w="180" w:type="dxa"/>
            <w:vAlign w:val="bottom"/>
          </w:tcPr>
          <w:p>
            <w:pPr>
              <w:spacing w:after="0"/>
              <w:rPr>
                <w:sz w:val="12"/>
                <w:szCs w:val="12"/>
                <w:color w:val="auto"/>
              </w:rPr>
            </w:pPr>
          </w:p>
        </w:tc>
        <w:tc>
          <w:tcPr>
            <w:tcW w:w="1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Amount Excluded From</w:t>
            </w:r>
          </w:p>
        </w:tc>
      </w:tr>
      <w:tr>
        <w:trPr>
          <w:trHeight w:val="175"/>
        </w:trPr>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(Effective Portion)</w:t>
            </w:r>
          </w:p>
        </w:tc>
        <w:tc>
          <w:tcPr>
            <w:tcW w:w="180" w:type="dxa"/>
            <w:vAlign w:val="bottom"/>
          </w:tcPr>
          <w:p>
            <w:pPr>
              <w:spacing w:after="0"/>
              <w:rPr>
                <w:sz w:val="15"/>
                <w:szCs w:val="15"/>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(Effective Portion)</w:t>
            </w:r>
          </w:p>
        </w:tc>
        <w:tc>
          <w:tcPr>
            <w:tcW w:w="280" w:type="dxa"/>
            <w:vAlign w:val="bottom"/>
          </w:tcPr>
          <w:p>
            <w:pPr>
              <w:spacing w:after="0"/>
              <w:rPr>
                <w:sz w:val="15"/>
                <w:szCs w:val="15"/>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Testing)</w:t>
            </w:r>
          </w:p>
        </w:tc>
        <w:tc>
          <w:tcPr>
            <w:tcW w:w="180" w:type="dxa"/>
            <w:vAlign w:val="bottom"/>
          </w:tcPr>
          <w:p>
            <w:pPr>
              <w:spacing w:after="0"/>
              <w:rPr>
                <w:sz w:val="15"/>
                <w:szCs w:val="15"/>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4"/>
              </w:rPr>
              <w:t>Effectiveness Testing)</w:t>
            </w:r>
          </w:p>
        </w:tc>
      </w:tr>
      <w:tr>
        <w:trPr>
          <w:trHeight w:val="142"/>
        </w:trPr>
        <w:tc>
          <w:tcPr>
            <w:tcW w:w="1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ind w:right="252"/>
              <w:spacing w:after="0" w:line="142" w:lineRule="exact"/>
              <w:rPr>
                <w:sz w:val="20"/>
                <w:szCs w:val="20"/>
                <w:color w:val="auto"/>
              </w:rPr>
            </w:pPr>
            <w:r>
              <w:rPr>
                <w:rFonts w:ascii="Arial" w:cs="Arial" w:eastAsia="Arial" w:hAnsi="Arial"/>
                <w:sz w:val="14"/>
                <w:szCs w:val="14"/>
                <w:b w:val="1"/>
                <w:bCs w:val="1"/>
                <w:color w:val="auto"/>
              </w:rPr>
              <w:t>2010</w:t>
            </w:r>
          </w:p>
        </w:tc>
        <w:tc>
          <w:tcPr>
            <w:tcW w:w="76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rPr>
              <w:t>2009</w:t>
            </w:r>
          </w:p>
        </w:tc>
        <w:tc>
          <w:tcPr>
            <w:tcW w:w="2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ind w:right="232"/>
              <w:spacing w:after="0" w:line="142" w:lineRule="exact"/>
              <w:rPr>
                <w:sz w:val="20"/>
                <w:szCs w:val="20"/>
                <w:color w:val="auto"/>
              </w:rPr>
            </w:pPr>
            <w:r>
              <w:rPr>
                <w:rFonts w:ascii="Arial" w:cs="Arial" w:eastAsia="Arial" w:hAnsi="Arial"/>
                <w:sz w:val="14"/>
                <w:szCs w:val="14"/>
                <w:b w:val="1"/>
                <w:bCs w:val="1"/>
                <w:color w:val="auto"/>
              </w:rPr>
              <w:t>2010</w:t>
            </w:r>
          </w:p>
        </w:tc>
        <w:tc>
          <w:tcPr>
            <w:tcW w:w="76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2009</w:t>
            </w:r>
          </w:p>
        </w:tc>
      </w:tr>
    </w:tbl>
    <w:p>
      <w:pPr>
        <w:spacing w:after="0" w:line="1" w:lineRule="exact"/>
        <w:rPr>
          <w:sz w:val="20"/>
          <w:szCs w:val="20"/>
          <w:color w:val="auto"/>
        </w:rPr>
      </w:pPr>
    </w:p>
    <w:p>
      <w:pPr>
        <w:sectPr>
          <w:pgSz w:w="11900" w:h="16838" w:orient="portrait"/>
          <w:cols w:equalWidth="0" w:num="3">
            <w:col w:w="2100" w:space="720"/>
            <w:col w:w="1180" w:space="360"/>
            <w:col w:w="706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01"/>
        </w:trPr>
        <w:tc>
          <w:tcPr>
            <w:tcW w:w="27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Foreign exchange</w:t>
            </w:r>
          </w:p>
        </w:tc>
        <w:tc>
          <w:tcPr>
            <w:tcW w:w="5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80" w:type="dxa"/>
            <w:vAlign w:val="bottom"/>
            <w:gridSpan w:val="2"/>
            <w:shd w:val="clear" w:color="auto" w:fill="CCEEFF"/>
          </w:tcPr>
          <w:p>
            <w:pPr>
              <w:ind w:left="280"/>
              <w:spacing w:after="0" w:line="201" w:lineRule="exact"/>
              <w:rPr>
                <w:sz w:val="20"/>
                <w:szCs w:val="20"/>
                <w:color w:val="auto"/>
              </w:rPr>
            </w:pPr>
            <w:r>
              <w:rPr>
                <w:rFonts w:ascii="Arial" w:cs="Arial" w:eastAsia="Arial" w:hAnsi="Arial"/>
                <w:sz w:val="18"/>
                <w:szCs w:val="18"/>
                <w:color w:val="auto"/>
                <w:w w:val="97"/>
              </w:rPr>
              <w:t>Foreign exchange gain</w:t>
            </w:r>
          </w:p>
        </w:tc>
        <w:tc>
          <w:tcPr>
            <w:tcW w:w="58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gridSpan w:val="4"/>
            <w:shd w:val="clear" w:color="auto" w:fill="CCEEFF"/>
          </w:tcPr>
          <w:p>
            <w:pPr>
              <w:ind w:left="120"/>
              <w:spacing w:after="0" w:line="201" w:lineRule="exact"/>
              <w:rPr>
                <w:sz w:val="20"/>
                <w:szCs w:val="20"/>
                <w:color w:val="auto"/>
              </w:rPr>
            </w:pPr>
            <w:r>
              <w:rPr>
                <w:rFonts w:ascii="Arial" w:cs="Arial" w:eastAsia="Arial" w:hAnsi="Arial"/>
                <w:sz w:val="18"/>
                <w:szCs w:val="18"/>
                <w:color w:val="auto"/>
                <w:w w:val="87"/>
              </w:rPr>
              <w:t>Foreign exchange</w:t>
            </w: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8"/>
        </w:trPr>
        <w:tc>
          <w:tcPr>
            <w:tcW w:w="9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3"/>
              </w:rPr>
              <w:t>contracts</w:t>
            </w:r>
          </w:p>
        </w:tc>
        <w:tc>
          <w:tcPr>
            <w:tcW w:w="25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$ 2,628</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278</w:t>
            </w:r>
          </w:p>
        </w:tc>
        <w:tc>
          <w:tcPr>
            <w:tcW w:w="8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/(loss)</w:t>
            </w:r>
          </w:p>
        </w:tc>
        <w:tc>
          <w:tcPr>
            <w:tcW w:w="2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917</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9"/>
              </w:rPr>
              <w:t>$ (2,241)</w:t>
            </w:r>
          </w:p>
        </w:tc>
        <w:tc>
          <w:tcPr>
            <w:tcW w:w="9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6"/>
              </w:rPr>
              <w:t>gain/(loss)</w:t>
            </w:r>
          </w:p>
        </w:tc>
        <w:tc>
          <w:tcPr>
            <w:tcW w:w="460" w:type="dxa"/>
            <w:vAlign w:val="bottom"/>
            <w:shd w:val="clear" w:color="auto" w:fill="CCEEFF"/>
          </w:tcPr>
          <w:p>
            <w:pPr>
              <w:spacing w:after="0"/>
              <w:rPr>
                <w:sz w:val="20"/>
                <w:szCs w:val="20"/>
                <w:color w:val="auto"/>
              </w:rPr>
            </w:pP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r>
      <w:tr>
        <w:trPr>
          <w:trHeight w:val="338"/>
        </w:trPr>
        <w:tc>
          <w:tcPr>
            <w:tcW w:w="9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88"/>
              </w:rPr>
              <w:t>Amount of Gain/(Loss)</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9"/>
        </w:trPr>
        <w:tc>
          <w:tcPr>
            <w:tcW w:w="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920" w:type="dxa"/>
            <w:vAlign w:val="bottom"/>
            <w:gridSpan w:val="6"/>
          </w:tcPr>
          <w:p>
            <w:pPr>
              <w:jc w:val="center"/>
              <w:ind w:left="264"/>
              <w:spacing w:after="0" w:line="149" w:lineRule="exact"/>
              <w:rPr>
                <w:sz w:val="20"/>
                <w:szCs w:val="20"/>
                <w:color w:val="auto"/>
              </w:rPr>
            </w:pPr>
            <w:r>
              <w:rPr>
                <w:rFonts w:ascii="Arial" w:cs="Arial" w:eastAsia="Arial" w:hAnsi="Arial"/>
                <w:sz w:val="14"/>
                <w:szCs w:val="14"/>
                <w:b w:val="1"/>
                <w:bCs w:val="1"/>
                <w:color w:val="auto"/>
                <w:w w:val="88"/>
              </w:rPr>
              <w:t>Location of Gain/(Loss)</w:t>
            </w: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6"/>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Recognized in Income</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920" w:type="dxa"/>
            <w:vAlign w:val="bottom"/>
          </w:tcPr>
          <w:p>
            <w:pPr>
              <w:spacing w:after="0"/>
              <w:rPr>
                <w:sz w:val="14"/>
                <w:szCs w:val="14"/>
                <w:color w:val="auto"/>
              </w:rPr>
            </w:pPr>
          </w:p>
        </w:tc>
        <w:tc>
          <w:tcPr>
            <w:tcW w:w="2500" w:type="dxa"/>
            <w:vAlign w:val="bottom"/>
            <w:gridSpan w:val="4"/>
          </w:tcPr>
          <w:p>
            <w:pPr>
              <w:spacing w:after="0"/>
              <w:rPr>
                <w:sz w:val="20"/>
                <w:szCs w:val="20"/>
                <w:color w:val="auto"/>
              </w:rPr>
            </w:pPr>
            <w:r>
              <w:rPr>
                <w:rFonts w:ascii="Arial" w:cs="Arial" w:eastAsia="Arial" w:hAnsi="Arial"/>
                <w:sz w:val="14"/>
                <w:szCs w:val="14"/>
                <w:b w:val="1"/>
                <w:bCs w:val="1"/>
                <w:color w:val="auto"/>
              </w:rPr>
              <w:t>Derivatives not designated</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920" w:type="dxa"/>
            <w:vAlign w:val="bottom"/>
            <w:gridSpan w:val="6"/>
          </w:tcPr>
          <w:p>
            <w:pPr>
              <w:jc w:val="center"/>
              <w:ind w:left="264"/>
              <w:spacing w:after="0"/>
              <w:rPr>
                <w:sz w:val="20"/>
                <w:szCs w:val="20"/>
                <w:color w:val="auto"/>
              </w:rPr>
            </w:pPr>
            <w:r>
              <w:rPr>
                <w:rFonts w:ascii="Arial" w:cs="Arial" w:eastAsia="Arial" w:hAnsi="Arial"/>
                <w:sz w:val="14"/>
                <w:szCs w:val="14"/>
                <w:b w:val="1"/>
                <w:bCs w:val="1"/>
                <w:color w:val="auto"/>
                <w:w w:val="85"/>
              </w:rPr>
              <w:t>Recognized in Income</w:t>
            </w: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center"/>
              <w:ind w:left="268"/>
              <w:spacing w:after="0"/>
              <w:rPr>
                <w:sz w:val="20"/>
                <w:szCs w:val="20"/>
                <w:color w:val="auto"/>
              </w:rPr>
            </w:pPr>
            <w:r>
              <w:rPr>
                <w:rFonts w:ascii="Arial" w:cs="Arial" w:eastAsia="Arial" w:hAnsi="Arial"/>
                <w:sz w:val="14"/>
                <w:szCs w:val="14"/>
                <w:b w:val="1"/>
                <w:bCs w:val="1"/>
                <w:color w:val="auto"/>
                <w:w w:val="85"/>
              </w:rPr>
              <w:t>on Derivatives</w:t>
            </w:r>
          </w:p>
        </w:tc>
        <w:tc>
          <w:tcPr>
            <w:tcW w:w="4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6"/>
        </w:trPr>
        <w:tc>
          <w:tcPr>
            <w:tcW w:w="920" w:type="dxa"/>
            <w:vAlign w:val="bottom"/>
          </w:tcPr>
          <w:p>
            <w:pPr>
              <w:spacing w:after="0"/>
              <w:rPr>
                <w:sz w:val="11"/>
                <w:szCs w:val="11"/>
                <w:color w:val="auto"/>
              </w:rPr>
            </w:pPr>
          </w:p>
        </w:tc>
        <w:tc>
          <w:tcPr>
            <w:tcW w:w="162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rPr>
              <w:t>as Hedging Instruments</w:t>
            </w:r>
          </w:p>
        </w:tc>
        <w:tc>
          <w:tcPr>
            <w:tcW w:w="880" w:type="dxa"/>
            <w:vAlign w:val="bottom"/>
            <w:gridSpan w:val="3"/>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80" w:type="dxa"/>
            <w:vAlign w:val="bottom"/>
            <w:tcBorders>
              <w:bottom w:val="single" w:sz="8" w:color="auto"/>
            </w:tcBorders>
            <w:gridSpan w:val="3"/>
          </w:tcPr>
          <w:p>
            <w:pPr>
              <w:jc w:val="center"/>
              <w:ind w:left="1104"/>
              <w:spacing w:after="0" w:line="129" w:lineRule="exact"/>
              <w:rPr>
                <w:sz w:val="20"/>
                <w:szCs w:val="20"/>
                <w:color w:val="auto"/>
              </w:rPr>
            </w:pPr>
            <w:r>
              <w:rPr>
                <w:rFonts w:ascii="Arial" w:cs="Arial" w:eastAsia="Arial" w:hAnsi="Arial"/>
                <w:sz w:val="14"/>
                <w:szCs w:val="14"/>
                <w:b w:val="1"/>
                <w:bCs w:val="1"/>
                <w:color w:val="auto"/>
                <w:w w:val="85"/>
              </w:rPr>
              <w:t>on Derivatives</w:t>
            </w:r>
          </w:p>
        </w:tc>
        <w:tc>
          <w:tcPr>
            <w:tcW w:w="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68"/>
              <w:spacing w:after="0" w:line="129" w:lineRule="exact"/>
              <w:rPr>
                <w:sz w:val="20"/>
                <w:szCs w:val="20"/>
                <w:color w:val="auto"/>
              </w:rPr>
            </w:pPr>
            <w:r>
              <w:rPr>
                <w:rFonts w:ascii="Arial" w:cs="Arial" w:eastAsia="Arial" w:hAnsi="Arial"/>
                <w:sz w:val="14"/>
                <w:szCs w:val="14"/>
                <w:b w:val="1"/>
                <w:bCs w:val="1"/>
                <w:color w:val="auto"/>
                <w:w w:val="96"/>
              </w:rPr>
              <w:t>2010</w:t>
            </w:r>
          </w:p>
        </w:tc>
        <w:tc>
          <w:tcPr>
            <w:tcW w:w="5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79"/>
              <w:spacing w:after="0" w:line="129" w:lineRule="exact"/>
              <w:rPr>
                <w:sz w:val="20"/>
                <w:szCs w:val="20"/>
                <w:color w:val="auto"/>
              </w:rPr>
            </w:pPr>
            <w:r>
              <w:rPr>
                <w:rFonts w:ascii="Arial" w:cs="Arial" w:eastAsia="Arial" w:hAnsi="Arial"/>
                <w:sz w:val="14"/>
                <w:szCs w:val="14"/>
                <w:b w:val="1"/>
                <w:bCs w:val="1"/>
                <w:color w:val="auto"/>
                <w:w w:val="83"/>
              </w:rPr>
              <w:t>2009</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16"/>
        </w:trPr>
        <w:tc>
          <w:tcPr>
            <w:tcW w:w="920" w:type="dxa"/>
            <w:vAlign w:val="bottom"/>
          </w:tcPr>
          <w:p>
            <w:pPr>
              <w:spacing w:after="0"/>
              <w:rPr>
                <w:sz w:val="18"/>
                <w:szCs w:val="18"/>
                <w:color w:val="auto"/>
              </w:rPr>
            </w:pPr>
          </w:p>
        </w:tc>
        <w:tc>
          <w:tcPr>
            <w:tcW w:w="25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7"/>
              </w:rPr>
              <w:t>Foreign exchange gain/(loss)</w:t>
            </w: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513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spacing w:after="0" w:line="154"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following tables set forth the effect of foreign currency exchange contracts on the unaudited consolidated statements of income for the nine months ended September 30, 2010 and 2009:</w:t>
      </w:r>
    </w:p>
    <w:p>
      <w:pPr>
        <w:sectPr>
          <w:pgSz w:w="11900" w:h="16838" w:orient="portrait"/>
          <w:cols w:equalWidth="0" w:num="1">
            <w:col w:w="11420"/>
          </w:cols>
          <w:pgMar w:left="240" w:top="45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gridSpan w:val="2"/>
          </w:tcPr>
          <w:p>
            <w:pPr>
              <w:spacing w:after="0"/>
              <w:rPr>
                <w:sz w:val="20"/>
                <w:szCs w:val="20"/>
                <w:color w:val="auto"/>
              </w:rPr>
            </w:pPr>
            <w:r>
              <w:rPr>
                <w:rFonts w:ascii="Arial" w:cs="Arial" w:eastAsia="Arial" w:hAnsi="Arial"/>
                <w:sz w:val="14"/>
                <w:szCs w:val="14"/>
                <w:b w:val="1"/>
                <w:bCs w:val="1"/>
                <w:color w:val="auto"/>
              </w:rPr>
              <w:t>Derivatives</w:t>
            </w:r>
          </w:p>
        </w:tc>
        <w:tc>
          <w:tcPr>
            <w:tcW w:w="280" w:type="dxa"/>
            <w:vAlign w:val="bottom"/>
          </w:tcPr>
          <w:p>
            <w:pPr>
              <w:spacing w:after="0"/>
              <w:rPr>
                <w:sz w:val="14"/>
                <w:szCs w:val="14"/>
                <w:color w:val="auto"/>
              </w:rPr>
            </w:pPr>
          </w:p>
        </w:tc>
        <w:tc>
          <w:tcPr>
            <w:tcW w:w="142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9"/>
              </w:rPr>
              <w:t>Amount of Gain or</w:t>
            </w:r>
          </w:p>
        </w:tc>
        <w:tc>
          <w:tcPr>
            <w:tcW w:w="0" w:type="dxa"/>
            <w:vAlign w:val="bottom"/>
          </w:tcPr>
          <w:p>
            <w:pPr>
              <w:spacing w:after="0"/>
              <w:rPr>
                <w:sz w:val="1"/>
                <w:szCs w:val="1"/>
                <w:color w:val="auto"/>
              </w:rPr>
            </w:pPr>
          </w:p>
        </w:tc>
      </w:tr>
      <w:tr>
        <w:trPr>
          <w:trHeight w:val="149"/>
        </w:trPr>
        <w:tc>
          <w:tcPr>
            <w:tcW w:w="22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 Cash Flow</w:t>
            </w:r>
          </w:p>
        </w:tc>
        <w:tc>
          <w:tcPr>
            <w:tcW w:w="280" w:type="dxa"/>
            <w:vAlign w:val="bottom"/>
          </w:tcPr>
          <w:p>
            <w:pPr>
              <w:spacing w:after="0"/>
              <w:rPr>
                <w:sz w:val="12"/>
                <w:szCs w:val="12"/>
                <w:color w:val="auto"/>
              </w:rPr>
            </w:pPr>
          </w:p>
        </w:tc>
        <w:tc>
          <w:tcPr>
            <w:tcW w:w="142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(Loss) Recognized in</w:t>
            </w:r>
          </w:p>
        </w:tc>
        <w:tc>
          <w:tcPr>
            <w:tcW w:w="0" w:type="dxa"/>
            <w:vAlign w:val="bottom"/>
          </w:tcPr>
          <w:p>
            <w:pPr>
              <w:spacing w:after="0"/>
              <w:rPr>
                <w:sz w:val="1"/>
                <w:szCs w:val="1"/>
                <w:color w:val="auto"/>
              </w:rPr>
            </w:pPr>
          </w:p>
        </w:tc>
      </w:tr>
      <w:tr>
        <w:trPr>
          <w:trHeight w:val="149"/>
        </w:trPr>
        <w:tc>
          <w:tcPr>
            <w:tcW w:w="22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Hedging</w:t>
            </w:r>
          </w:p>
        </w:tc>
        <w:tc>
          <w:tcPr>
            <w:tcW w:w="280" w:type="dxa"/>
            <w:vAlign w:val="bottom"/>
          </w:tcPr>
          <w:p>
            <w:pPr>
              <w:spacing w:after="0"/>
              <w:rPr>
                <w:sz w:val="12"/>
                <w:szCs w:val="12"/>
                <w:color w:val="auto"/>
              </w:rPr>
            </w:pPr>
          </w:p>
        </w:tc>
        <w:tc>
          <w:tcPr>
            <w:tcW w:w="142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AOCI on Derivative</w:t>
            </w:r>
          </w:p>
        </w:tc>
        <w:tc>
          <w:tcPr>
            <w:tcW w:w="0" w:type="dxa"/>
            <w:vAlign w:val="bottom"/>
          </w:tcPr>
          <w:p>
            <w:pPr>
              <w:spacing w:after="0"/>
              <w:rPr>
                <w:sz w:val="1"/>
                <w:szCs w:val="1"/>
                <w:color w:val="auto"/>
              </w:rPr>
            </w:pPr>
          </w:p>
        </w:tc>
      </w:tr>
      <w:tr>
        <w:trPr>
          <w:trHeight w:val="168"/>
        </w:trPr>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Relationships</w:t>
            </w: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(Effective Portion)</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00" w:type="dxa"/>
            <w:vAlign w:val="bottom"/>
            <w:gridSpan w:val="2"/>
            <w:vMerge w:val="restart"/>
          </w:tcPr>
          <w:p>
            <w:pPr>
              <w:spacing w:after="0"/>
              <w:rPr>
                <w:sz w:val="20"/>
                <w:szCs w:val="20"/>
                <w:color w:val="auto"/>
              </w:rPr>
            </w:pPr>
            <w:r>
              <w:rPr>
                <w:rFonts w:ascii="Arial" w:cs="Arial" w:eastAsia="Arial" w:hAnsi="Arial"/>
                <w:sz w:val="18"/>
                <w:szCs w:val="18"/>
                <w:color w:val="auto"/>
                <w:w w:val="98"/>
              </w:rPr>
              <w:t>Foreign exchange contracts</w:t>
            </w:r>
          </w:p>
        </w:tc>
        <w:tc>
          <w:tcPr>
            <w:tcW w:w="280" w:type="dxa"/>
            <w:vAlign w:val="bottom"/>
          </w:tcPr>
          <w:p>
            <w:pPr>
              <w:spacing w:after="0"/>
              <w:rPr>
                <w:sz w:val="12"/>
                <w:szCs w:val="12"/>
                <w:color w:val="auto"/>
              </w:rPr>
            </w:pPr>
          </w:p>
        </w:tc>
        <w:tc>
          <w:tcPr>
            <w:tcW w:w="54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b w:val="1"/>
                <w:bCs w:val="1"/>
                <w:color w:val="auto"/>
              </w:rPr>
              <w:t>2010</w:t>
            </w:r>
          </w:p>
        </w:tc>
        <w:tc>
          <w:tcPr>
            <w:tcW w:w="280" w:type="dxa"/>
            <w:vAlign w:val="bottom"/>
          </w:tcPr>
          <w:p>
            <w:pPr>
              <w:spacing w:after="0"/>
              <w:rPr>
                <w:sz w:val="12"/>
                <w:szCs w:val="12"/>
                <w:color w:val="auto"/>
              </w:rPr>
            </w:pPr>
          </w:p>
        </w:tc>
        <w:tc>
          <w:tcPr>
            <w:tcW w:w="540" w:type="dxa"/>
            <w:vAlign w:val="bottom"/>
            <w:tcBorders>
              <w:bottom w:val="single" w:sz="8" w:color="auto"/>
            </w:tcBorders>
          </w:tcPr>
          <w:p>
            <w:pPr>
              <w:jc w:val="right"/>
              <w:ind w:right="62"/>
              <w:spacing w:after="0" w:line="149" w:lineRule="exact"/>
              <w:rPr>
                <w:sz w:val="20"/>
                <w:szCs w:val="20"/>
                <w:color w:val="auto"/>
              </w:rPr>
            </w:pPr>
            <w:r>
              <w:rPr>
                <w:rFonts w:ascii="Arial" w:cs="Arial" w:eastAsia="Arial" w:hAnsi="Arial"/>
                <w:sz w:val="14"/>
                <w:szCs w:val="14"/>
                <w:b w:val="1"/>
                <w:bCs w:val="1"/>
                <w:color w:val="auto"/>
              </w:rPr>
              <w:t>2009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200" w:type="dxa"/>
            <w:vAlign w:val="bottom"/>
            <w:gridSpan w:val="2"/>
            <w:vMerge w:val="continue"/>
          </w:tcPr>
          <w:p>
            <w:pPr>
              <w:spacing w:after="0"/>
              <w:rPr>
                <w:sz w:val="18"/>
                <w:szCs w:val="18"/>
                <w:color w:val="auto"/>
              </w:rPr>
            </w:pPr>
          </w:p>
        </w:tc>
        <w:tc>
          <w:tcPr>
            <w:tcW w:w="1100" w:type="dxa"/>
            <w:vAlign w:val="bottom"/>
            <w:gridSpan w:val="3"/>
            <w:vMerge w:val="restart"/>
          </w:tcPr>
          <w:p>
            <w:pPr>
              <w:jc w:val="right"/>
              <w:ind w:right="280"/>
              <w:spacing w:after="0"/>
              <w:rPr>
                <w:sz w:val="20"/>
                <w:szCs w:val="20"/>
                <w:color w:val="auto"/>
              </w:rPr>
            </w:pPr>
            <w:r>
              <w:rPr>
                <w:rFonts w:ascii="Arial" w:cs="Arial" w:eastAsia="Arial" w:hAnsi="Arial"/>
                <w:sz w:val="18"/>
                <w:szCs w:val="18"/>
                <w:color w:val="auto"/>
              </w:rPr>
              <w:t>$ 3,366</w:t>
            </w:r>
          </w:p>
        </w:tc>
        <w:tc>
          <w:tcPr>
            <w:tcW w:w="600" w:type="dxa"/>
            <w:vAlign w:val="bottom"/>
            <w:gridSpan w:val="2"/>
            <w:vMerge w:val="restart"/>
          </w:tcPr>
          <w:p>
            <w:pPr>
              <w:jc w:val="right"/>
              <w:spacing w:after="0"/>
              <w:rPr>
                <w:sz w:val="20"/>
                <w:szCs w:val="20"/>
                <w:color w:val="auto"/>
              </w:rPr>
            </w:pPr>
            <w:r>
              <w:rPr>
                <w:rFonts w:ascii="Arial" w:cs="Arial" w:eastAsia="Arial" w:hAnsi="Arial"/>
                <w:sz w:val="18"/>
                <w:szCs w:val="18"/>
                <w:color w:val="auto"/>
                <w:w w:val="93"/>
              </w:rPr>
              <w:t>$  (649)</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100" w:type="dxa"/>
            <w:vAlign w:val="bottom"/>
            <w:gridSpan w:val="3"/>
            <w:vMerge w:val="continue"/>
          </w:tcPr>
          <w:p>
            <w:pPr>
              <w:spacing w:after="0"/>
              <w:rPr>
                <w:sz w:val="19"/>
                <w:szCs w:val="19"/>
                <w:color w:val="auto"/>
              </w:rPr>
            </w:pPr>
          </w:p>
        </w:tc>
        <w:tc>
          <w:tcPr>
            <w:tcW w:w="6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9" w:lineRule="exact"/>
        <w:rPr>
          <w:sz w:val="20"/>
          <w:szCs w:val="20"/>
          <w:color w:val="auto"/>
        </w:rPr>
      </w:pPr>
    </w:p>
    <w:p>
      <w:pPr>
        <w:ind w:left="920"/>
        <w:spacing w:after="0"/>
        <w:rPr>
          <w:sz w:val="20"/>
          <w:szCs w:val="20"/>
          <w:color w:val="auto"/>
        </w:rPr>
      </w:pPr>
      <w:r>
        <w:rPr>
          <w:rFonts w:ascii="Arial" w:cs="Arial" w:eastAsia="Arial" w:hAnsi="Arial"/>
          <w:sz w:val="14"/>
          <w:szCs w:val="14"/>
          <w:b w:val="1"/>
          <w:bCs w:val="1"/>
          <w:color w:val="auto"/>
        </w:rPr>
        <w:t>Derivatives not designated</w:t>
      </w:r>
    </w:p>
    <w:p>
      <w:pPr>
        <w:spacing w:after="0" w:line="1" w:lineRule="exact"/>
        <w:rPr>
          <w:sz w:val="20"/>
          <w:szCs w:val="20"/>
          <w:color w:val="auto"/>
        </w:rPr>
      </w:pPr>
    </w:p>
    <w:p>
      <w:pPr>
        <w:ind w:left="920"/>
        <w:spacing w:after="0"/>
        <w:rPr>
          <w:sz w:val="20"/>
          <w:szCs w:val="20"/>
          <w:color w:val="auto"/>
        </w:rPr>
      </w:pPr>
      <w:r>
        <w:rPr>
          <w:rFonts w:ascii="Arial" w:cs="Arial" w:eastAsia="Arial" w:hAnsi="Arial"/>
          <w:sz w:val="14"/>
          <w:szCs w:val="14"/>
          <w:b w:val="1"/>
          <w:bCs w:val="1"/>
          <w:color w:val="auto"/>
        </w:rPr>
        <w:t>as Hedging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-7620</wp:posOffset>
            </wp:positionV>
            <wp:extent cx="10293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29335" cy="889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Foreign exchange contracts</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9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Location of Gain/(Loss)</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9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5"/>
              </w:rPr>
              <w:t>Recognized in Income</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Amount of Gain/</w:t>
            </w:r>
          </w:p>
        </w:tc>
        <w:tc>
          <w:tcPr>
            <w:tcW w:w="0" w:type="dxa"/>
            <w:vAlign w:val="bottom"/>
          </w:tcPr>
          <w:p>
            <w:pPr>
              <w:spacing w:after="0"/>
              <w:rPr>
                <w:sz w:val="1"/>
                <w:szCs w:val="1"/>
                <w:color w:val="auto"/>
              </w:rPr>
            </w:pPr>
          </w:p>
        </w:tc>
      </w:tr>
      <w:tr>
        <w:trPr>
          <w:trHeight w:val="149"/>
        </w:trPr>
        <w:tc>
          <w:tcPr>
            <w:tcW w:w="9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2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on Derivative</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(Loss) Recognized in</w:t>
            </w:r>
          </w:p>
        </w:tc>
        <w:tc>
          <w:tcPr>
            <w:tcW w:w="0" w:type="dxa"/>
            <w:vAlign w:val="bottom"/>
          </w:tcPr>
          <w:p>
            <w:pPr>
              <w:spacing w:after="0"/>
              <w:rPr>
                <w:sz w:val="1"/>
                <w:szCs w:val="1"/>
                <w:color w:val="auto"/>
              </w:rPr>
            </w:pPr>
          </w:p>
        </w:tc>
      </w:tr>
      <w:tr>
        <w:trPr>
          <w:trHeight w:val="149"/>
        </w:trPr>
        <w:tc>
          <w:tcPr>
            <w:tcW w:w="1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Location of Gain or</w:t>
            </w:r>
          </w:p>
        </w:tc>
        <w:tc>
          <w:tcPr>
            <w:tcW w:w="200" w:type="dxa"/>
            <w:vAlign w:val="bottom"/>
          </w:tcPr>
          <w:p>
            <w:pPr>
              <w:spacing w:after="0"/>
              <w:rPr>
                <w:sz w:val="12"/>
                <w:szCs w:val="12"/>
                <w:color w:val="auto"/>
              </w:rPr>
            </w:pPr>
          </w:p>
        </w:tc>
        <w:tc>
          <w:tcPr>
            <w:tcW w:w="168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Amount of Gain or</w:t>
            </w:r>
          </w:p>
        </w:tc>
        <w:tc>
          <w:tcPr>
            <w:tcW w:w="120" w:type="dxa"/>
            <w:vAlign w:val="bottom"/>
          </w:tcPr>
          <w:p>
            <w:pPr>
              <w:spacing w:after="0"/>
              <w:rPr>
                <w:sz w:val="12"/>
                <w:szCs w:val="12"/>
                <w:color w:val="auto"/>
              </w:rPr>
            </w:pPr>
          </w:p>
        </w:tc>
        <w:tc>
          <w:tcPr>
            <w:tcW w:w="17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8"/>
              </w:rPr>
              <w:t>(Ineffective Portion</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Income on Derivative</w:t>
            </w:r>
          </w:p>
        </w:tc>
        <w:tc>
          <w:tcPr>
            <w:tcW w:w="0" w:type="dxa"/>
            <w:vAlign w:val="bottom"/>
          </w:tcPr>
          <w:p>
            <w:pPr>
              <w:spacing w:after="0"/>
              <w:rPr>
                <w:sz w:val="1"/>
                <w:szCs w:val="1"/>
                <w:color w:val="auto"/>
              </w:rPr>
            </w:pPr>
          </w:p>
        </w:tc>
      </w:tr>
      <w:tr>
        <w:trPr>
          <w:trHeight w:val="149"/>
        </w:trPr>
        <w:tc>
          <w:tcPr>
            <w:tcW w:w="1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(Loss) Reclassified from</w:t>
            </w:r>
          </w:p>
        </w:tc>
        <w:tc>
          <w:tcPr>
            <w:tcW w:w="200" w:type="dxa"/>
            <w:vAlign w:val="bottom"/>
          </w:tcPr>
          <w:p>
            <w:pPr>
              <w:spacing w:after="0"/>
              <w:rPr>
                <w:sz w:val="12"/>
                <w:szCs w:val="12"/>
                <w:color w:val="auto"/>
              </w:rPr>
            </w:pPr>
          </w:p>
        </w:tc>
        <w:tc>
          <w:tcPr>
            <w:tcW w:w="168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(Loss) Reclassified from</w:t>
            </w:r>
          </w:p>
        </w:tc>
        <w:tc>
          <w:tcPr>
            <w:tcW w:w="120" w:type="dxa"/>
            <w:vAlign w:val="bottom"/>
          </w:tcPr>
          <w:p>
            <w:pPr>
              <w:spacing w:after="0"/>
              <w:rPr>
                <w:sz w:val="12"/>
                <w:szCs w:val="12"/>
                <w:color w:val="auto"/>
              </w:rPr>
            </w:pPr>
          </w:p>
        </w:tc>
        <w:tc>
          <w:tcPr>
            <w:tcW w:w="17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9"/>
              </w:rPr>
              <w:t>And Amount Excluded</w:t>
            </w:r>
          </w:p>
        </w:tc>
        <w:tc>
          <w:tcPr>
            <w:tcW w:w="180" w:type="dxa"/>
            <w:vAlign w:val="bottom"/>
          </w:tcPr>
          <w:p>
            <w:pPr>
              <w:spacing w:after="0"/>
              <w:rPr>
                <w:sz w:val="12"/>
                <w:szCs w:val="12"/>
                <w:color w:val="auto"/>
              </w:rPr>
            </w:pPr>
          </w:p>
        </w:tc>
        <w:tc>
          <w:tcPr>
            <w:tcW w:w="1600" w:type="dxa"/>
            <w:vAlign w:val="bottom"/>
            <w:gridSpan w:val="6"/>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(Ineffective Portion And</w:t>
            </w:r>
          </w:p>
        </w:tc>
        <w:tc>
          <w:tcPr>
            <w:tcW w:w="0" w:type="dxa"/>
            <w:vAlign w:val="bottom"/>
          </w:tcPr>
          <w:p>
            <w:pPr>
              <w:spacing w:after="0"/>
              <w:rPr>
                <w:sz w:val="1"/>
                <w:szCs w:val="1"/>
                <w:color w:val="auto"/>
              </w:rPr>
            </w:pPr>
          </w:p>
        </w:tc>
      </w:tr>
      <w:tr>
        <w:trPr>
          <w:trHeight w:val="149"/>
        </w:trPr>
        <w:tc>
          <w:tcPr>
            <w:tcW w:w="1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AOCI into Income</w:t>
            </w:r>
          </w:p>
        </w:tc>
        <w:tc>
          <w:tcPr>
            <w:tcW w:w="200" w:type="dxa"/>
            <w:vAlign w:val="bottom"/>
          </w:tcPr>
          <w:p>
            <w:pPr>
              <w:spacing w:after="0"/>
              <w:rPr>
                <w:sz w:val="12"/>
                <w:szCs w:val="12"/>
                <w:color w:val="auto"/>
              </w:rPr>
            </w:pPr>
          </w:p>
        </w:tc>
        <w:tc>
          <w:tcPr>
            <w:tcW w:w="168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AOCI into Income</w:t>
            </w:r>
          </w:p>
        </w:tc>
        <w:tc>
          <w:tcPr>
            <w:tcW w:w="120" w:type="dxa"/>
            <w:vAlign w:val="bottom"/>
          </w:tcPr>
          <w:p>
            <w:pPr>
              <w:spacing w:after="0"/>
              <w:rPr>
                <w:sz w:val="12"/>
                <w:szCs w:val="12"/>
                <w:color w:val="auto"/>
              </w:rPr>
            </w:pPr>
          </w:p>
        </w:tc>
        <w:tc>
          <w:tcPr>
            <w:tcW w:w="17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4"/>
              </w:rPr>
              <w:t>from Effectiveness</w:t>
            </w:r>
          </w:p>
        </w:tc>
        <w:tc>
          <w:tcPr>
            <w:tcW w:w="180" w:type="dxa"/>
            <w:vAlign w:val="bottom"/>
          </w:tcPr>
          <w:p>
            <w:pPr>
              <w:spacing w:after="0"/>
              <w:rPr>
                <w:sz w:val="12"/>
                <w:szCs w:val="12"/>
                <w:color w:val="auto"/>
              </w:rPr>
            </w:pPr>
          </w:p>
        </w:tc>
        <w:tc>
          <w:tcPr>
            <w:tcW w:w="1600" w:type="dxa"/>
            <w:vAlign w:val="bottom"/>
            <w:gridSpan w:val="6"/>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Amount Excluded From</w:t>
            </w:r>
          </w:p>
        </w:tc>
        <w:tc>
          <w:tcPr>
            <w:tcW w:w="0" w:type="dxa"/>
            <w:vAlign w:val="bottom"/>
          </w:tcPr>
          <w:p>
            <w:pPr>
              <w:spacing w:after="0"/>
              <w:rPr>
                <w:sz w:val="1"/>
                <w:szCs w:val="1"/>
                <w:color w:val="auto"/>
              </w:rPr>
            </w:pPr>
          </w:p>
        </w:tc>
      </w:tr>
      <w:tr>
        <w:trPr>
          <w:trHeight w:val="175"/>
        </w:trPr>
        <w:tc>
          <w:tcPr>
            <w:tcW w:w="1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(Effective Portion)</w:t>
            </w:r>
          </w:p>
        </w:tc>
        <w:tc>
          <w:tcPr>
            <w:tcW w:w="200" w:type="dxa"/>
            <w:vAlign w:val="bottom"/>
          </w:tcPr>
          <w:p>
            <w:pPr>
              <w:spacing w:after="0"/>
              <w:rPr>
                <w:sz w:val="15"/>
                <w:szCs w:val="15"/>
                <w:color w:val="auto"/>
              </w:rPr>
            </w:pPr>
          </w:p>
        </w:tc>
        <w:tc>
          <w:tcPr>
            <w:tcW w:w="15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7"/>
              </w:rPr>
              <w:t>(Effective Portion)</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center"/>
              <w:ind w:right="420"/>
              <w:spacing w:after="0"/>
              <w:rPr>
                <w:sz w:val="20"/>
                <w:szCs w:val="20"/>
                <w:color w:val="auto"/>
              </w:rPr>
            </w:pPr>
            <w:r>
              <w:rPr>
                <w:rFonts w:ascii="Arial" w:cs="Arial" w:eastAsia="Arial" w:hAnsi="Arial"/>
                <w:sz w:val="14"/>
                <w:szCs w:val="14"/>
                <w:b w:val="1"/>
                <w:bCs w:val="1"/>
                <w:color w:val="auto"/>
                <w:w w:val="84"/>
              </w:rPr>
              <w:t>Testing)</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4"/>
          </w:tcPr>
          <w:p>
            <w:pPr>
              <w:jc w:val="center"/>
              <w:ind w:right="62"/>
              <w:spacing w:after="0"/>
              <w:rPr>
                <w:sz w:val="20"/>
                <w:szCs w:val="20"/>
                <w:color w:val="auto"/>
              </w:rPr>
            </w:pPr>
            <w:r>
              <w:rPr>
                <w:rFonts w:ascii="Arial" w:cs="Arial" w:eastAsia="Arial" w:hAnsi="Arial"/>
                <w:sz w:val="14"/>
                <w:szCs w:val="14"/>
                <w:b w:val="1"/>
                <w:bCs w:val="1"/>
                <w:color w:val="auto"/>
                <w:w w:val="83"/>
              </w:rPr>
              <w:t>Effectiveness Testing)</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1860" w:type="dxa"/>
            <w:vAlign w:val="bottom"/>
            <w:gridSpan w:val="5"/>
            <w:vMerge w:val="restart"/>
          </w:tcPr>
          <w:p>
            <w:pPr>
              <w:ind w:left="120"/>
              <w:spacing w:after="0"/>
              <w:rPr>
                <w:sz w:val="20"/>
                <w:szCs w:val="20"/>
                <w:color w:val="auto"/>
              </w:rPr>
            </w:pPr>
            <w:r>
              <w:rPr>
                <w:rFonts w:ascii="Arial" w:cs="Arial" w:eastAsia="Arial" w:hAnsi="Arial"/>
                <w:sz w:val="18"/>
                <w:szCs w:val="18"/>
                <w:color w:val="auto"/>
              </w:rPr>
              <w:t>Foreign exchange</w:t>
            </w: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07"/>
              <w:spacing w:after="0" w:line="142" w:lineRule="exact"/>
              <w:rPr>
                <w:sz w:val="20"/>
                <w:szCs w:val="20"/>
                <w:color w:val="auto"/>
              </w:rPr>
            </w:pPr>
            <w:r>
              <w:rPr>
                <w:rFonts w:ascii="Arial" w:cs="Arial" w:eastAsia="Arial" w:hAnsi="Arial"/>
                <w:sz w:val="14"/>
                <w:szCs w:val="14"/>
                <w:b w:val="1"/>
                <w:bCs w:val="1"/>
                <w:color w:val="auto"/>
                <w:w w:val="96"/>
              </w:rPr>
              <w:t>2010</w:t>
            </w:r>
          </w:p>
        </w:tc>
        <w:tc>
          <w:tcPr>
            <w:tcW w:w="2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w w:val="89"/>
              </w:rPr>
              <w:t>2009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1720" w:type="dxa"/>
            <w:vAlign w:val="bottom"/>
            <w:gridSpan w:val="2"/>
          </w:tcPr>
          <w:p>
            <w:pPr>
              <w:spacing w:after="0" w:line="201" w:lineRule="exact"/>
              <w:rPr>
                <w:sz w:val="20"/>
                <w:szCs w:val="20"/>
                <w:color w:val="auto"/>
              </w:rPr>
            </w:pPr>
            <w:r>
              <w:rPr>
                <w:rFonts w:ascii="Arial" w:cs="Arial" w:eastAsia="Arial" w:hAnsi="Arial"/>
                <w:sz w:val="18"/>
                <w:szCs w:val="18"/>
                <w:color w:val="auto"/>
              </w:rPr>
              <w:t>Foreign exchange</w:t>
            </w: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gridSpan w:val="5"/>
            <w:vMerge w:val="continue"/>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720" w:type="dxa"/>
            <w:vAlign w:val="bottom"/>
            <w:gridSpan w:val="2"/>
          </w:tcPr>
          <w:p>
            <w:pPr>
              <w:spacing w:after="0"/>
              <w:rPr>
                <w:sz w:val="20"/>
                <w:szCs w:val="20"/>
                <w:color w:val="auto"/>
              </w:rPr>
            </w:pPr>
            <w:r>
              <w:rPr>
                <w:rFonts w:ascii="Arial" w:cs="Arial" w:eastAsia="Arial" w:hAnsi="Arial"/>
                <w:sz w:val="18"/>
                <w:szCs w:val="18"/>
                <w:color w:val="auto"/>
              </w:rPr>
              <w:t>gain/(loss)</w:t>
            </w: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rPr>
              <w:t>$ 2,141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ind w:left="20"/>
              <w:spacing w:after="0"/>
              <w:rPr>
                <w:sz w:val="20"/>
                <w:szCs w:val="20"/>
                <w:color w:val="auto"/>
              </w:rPr>
            </w:pPr>
            <w:r>
              <w:rPr>
                <w:rFonts w:ascii="Arial" w:cs="Arial" w:eastAsia="Arial" w:hAnsi="Arial"/>
                <w:sz w:val="18"/>
                <w:szCs w:val="18"/>
                <w:color w:val="auto"/>
              </w:rPr>
              <w:t>(5,473)</w:t>
            </w:r>
          </w:p>
        </w:tc>
        <w:tc>
          <w:tcPr>
            <w:tcW w:w="1860" w:type="dxa"/>
            <w:vAlign w:val="bottom"/>
            <w:gridSpan w:val="5"/>
          </w:tcPr>
          <w:p>
            <w:pPr>
              <w:ind w:left="120"/>
              <w:spacing w:after="0"/>
              <w:rPr>
                <w:sz w:val="20"/>
                <w:szCs w:val="20"/>
                <w:color w:val="auto"/>
              </w:rPr>
            </w:pPr>
            <w:r>
              <w:rPr>
                <w:rFonts w:ascii="Arial" w:cs="Arial" w:eastAsia="Arial" w:hAnsi="Arial"/>
                <w:sz w:val="18"/>
                <w:szCs w:val="18"/>
                <w:color w:val="auto"/>
              </w:rPr>
              <w:t>gain/(loss)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340"/>
        </w:trPr>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8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88"/>
              </w:rPr>
              <w:t>Amount of Gain/(Loss)</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9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80" w:type="dxa"/>
            <w:vAlign w:val="bottom"/>
            <w:gridSpan w:val="6"/>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Location of Gain/(Loss)</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980" w:type="dxa"/>
            <w:vAlign w:val="bottom"/>
            <w:gridSpan w:val="6"/>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Recognized in Income</w:t>
            </w: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8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86"/>
              </w:rPr>
              <w:t>Recognized in Income</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8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85"/>
              </w:rPr>
              <w:t>on Derivatives</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3"/>
          </w:tcPr>
          <w:p>
            <w:pPr>
              <w:jc w:val="center"/>
              <w:ind w:left="92"/>
              <w:spacing w:after="0" w:line="142" w:lineRule="exact"/>
              <w:rPr>
                <w:sz w:val="20"/>
                <w:szCs w:val="20"/>
                <w:color w:val="auto"/>
              </w:rPr>
            </w:pPr>
            <w:r>
              <w:rPr>
                <w:rFonts w:ascii="Arial" w:cs="Arial" w:eastAsia="Arial" w:hAnsi="Arial"/>
                <w:sz w:val="14"/>
                <w:szCs w:val="14"/>
                <w:b w:val="1"/>
                <w:bCs w:val="1"/>
                <w:color w:val="auto"/>
                <w:w w:val="87"/>
              </w:rPr>
              <w:t>on Derivatives</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3"/>
          </w:tcPr>
          <w:p>
            <w:pPr>
              <w:spacing w:after="0"/>
              <w:rPr>
                <w:sz w:val="12"/>
                <w:szCs w:val="12"/>
                <w:color w:val="auto"/>
              </w:rPr>
            </w:pPr>
          </w:p>
        </w:tc>
        <w:tc>
          <w:tcPr>
            <w:tcW w:w="580" w:type="dxa"/>
            <w:vAlign w:val="bottom"/>
            <w:tcBorders>
              <w:top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107"/>
              <w:spacing w:after="0" w:line="142" w:lineRule="exact"/>
              <w:rPr>
                <w:sz w:val="20"/>
                <w:szCs w:val="20"/>
                <w:color w:val="auto"/>
              </w:rPr>
            </w:pPr>
            <w:r>
              <w:rPr>
                <w:rFonts w:ascii="Arial" w:cs="Arial" w:eastAsia="Arial" w:hAnsi="Arial"/>
                <w:sz w:val="14"/>
                <w:szCs w:val="14"/>
                <w:b w:val="1"/>
                <w:bCs w:val="1"/>
                <w:color w:val="auto"/>
                <w:w w:val="96"/>
              </w:rPr>
              <w:t>2009</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2060" w:type="dxa"/>
            <w:vAlign w:val="bottom"/>
            <w:tcBorders>
              <w:top w:val="single" w:sz="8" w:color="auto"/>
            </w:tcBorders>
            <w:gridSpan w:val="5"/>
          </w:tcPr>
          <w:p>
            <w:pPr>
              <w:jc w:val="right"/>
              <w:spacing w:after="0"/>
              <w:rPr>
                <w:sz w:val="20"/>
                <w:szCs w:val="20"/>
                <w:color w:val="auto"/>
              </w:rPr>
            </w:pPr>
            <w:r>
              <w:rPr>
                <w:rFonts w:ascii="Arial" w:cs="Arial" w:eastAsia="Arial" w:hAnsi="Arial"/>
                <w:sz w:val="18"/>
                <w:szCs w:val="18"/>
                <w:color w:val="auto"/>
                <w:w w:val="87"/>
              </w:rPr>
              <w:t>Foreign exchange gain/(loss)</w:t>
            </w:r>
          </w:p>
        </w:tc>
        <w:tc>
          <w:tcPr>
            <w:tcW w:w="4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gridSpan w:val="2"/>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   932</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6"/>
        </w:trPr>
        <w:tc>
          <w:tcPr>
            <w:tcW w:w="172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-2623185</wp:posOffset>
            </wp:positionH>
            <wp:positionV relativeFrom="paragraph">
              <wp:posOffset>-1172845</wp:posOffset>
            </wp:positionV>
            <wp:extent cx="7246620" cy="2832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-2040255</wp:posOffset>
            </wp:positionH>
            <wp:positionV relativeFrom="paragraph">
              <wp:posOffset>-367030</wp:posOffset>
            </wp:positionV>
            <wp:extent cx="6080125"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ectPr>
          <w:pgSz w:w="11900" w:h="16838" w:orient="portrait"/>
          <w:cols w:equalWidth="0" w:num="2">
            <w:col w:w="3900" w:space="240"/>
            <w:col w:w="7280"/>
          </w:cols>
          <w:pgMar w:left="240" w:top="459" w:right="2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September 30, 2010</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Comprehensive Income:</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gridSpan w:val="5"/>
          </w:tcPr>
          <w:p>
            <w:pPr>
              <w:spacing w:after="0"/>
              <w:rPr>
                <w:sz w:val="20"/>
                <w:szCs w:val="20"/>
                <w:color w:val="auto"/>
              </w:rPr>
            </w:pPr>
            <w:r>
              <w:rPr>
                <w:rFonts w:ascii="Arial" w:cs="Arial" w:eastAsia="Arial" w:hAnsi="Arial"/>
                <w:sz w:val="14"/>
                <w:szCs w:val="14"/>
                <w:b w:val="1"/>
                <w:bCs w:val="1"/>
                <w:color w:val="auto"/>
                <w:w w:val="98"/>
              </w:rPr>
              <w:t>Three months ended September 30,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6"/>
          </w:tcPr>
          <w:p>
            <w:pPr>
              <w:ind w:left="20"/>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142"/>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2010</w:t>
            </w:r>
          </w:p>
        </w:tc>
        <w:tc>
          <w:tcPr>
            <w:tcW w:w="46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2010</w:t>
            </w: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7,804</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3,994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18,296</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Other comprehensive income: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3"/>
              </w:rPr>
              <w:t>Unrealized gain on effective cash flow hedges, net of taxes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2,519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860"/>
              <w:spacing w:after="0"/>
              <w:rPr>
                <w:sz w:val="20"/>
                <w:szCs w:val="20"/>
                <w:color w:val="auto"/>
              </w:rPr>
            </w:pPr>
            <w:r>
              <w:rPr>
                <w:rFonts w:ascii="Arial" w:cs="Arial" w:eastAsia="Arial" w:hAnsi="Arial"/>
                <w:sz w:val="18"/>
                <w:szCs w:val="18"/>
                <w:color w:val="auto"/>
              </w:rPr>
              <w:t>Foreign currency translation adjustment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3,540</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3,112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1,041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Retirement benefits, net of taxes</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Total other comprehensive income</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5,286</w:t>
            </w:r>
          </w:p>
        </w:tc>
        <w:tc>
          <w:tcPr>
            <w:tcW w:w="4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2,545</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4,424</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5,919</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13,090</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6,539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22,720</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14,048</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Capital Structure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one class of common stock.</w:t>
      </w:r>
    </w:p>
    <w:p>
      <w:pPr>
        <w:spacing w:after="0" w:line="171"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During the three months ended September 30, 2010, the Company did not acquire any shares of common stock from employees in connection with withholding tax payments related to the vesting of restricted stock. During the nine months ended September 30, 2010, the Company acquired 5,472 shares of common stock from employees in connection with withholding tax payments related to the vesting of restricted stock for a total consideration of $93. The purchase price of $16.96 per share was the average of the high and low price of the Company’s shares of common stock on the Nasdaq Global Select Market on the trading day prior to the vesting date of the shares of restricted stock. These shares are held as treasury stock.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Employee Benefit Plans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Company’s Gratuity Plans in India and the Philippines provide a lump sum payment to vested employees on retirement or on termination of employment in an amount based on the respective employee’s salary and years of employment with the Company. Liabilities with regard to the Gratuity Plan are determined by actuarial valuation using the projected unit credit method. Current service costs for the Gratuity Plan are accrued in the year to which they relate. Actuarial gains or losses or prior service costs, if any, resulting from amendments to the plans are recognized and amortized over the remaining period of service of the employees.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20"/>
          </w:cols>
          <w:pgMar w:left="240" w:top="459" w:right="3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September 30, 2010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gratuity cost includes the following components: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00" w:type="dxa"/>
            <w:vAlign w:val="bottom"/>
            <w:gridSpan w:val="5"/>
          </w:tcPr>
          <w:p>
            <w:pPr>
              <w:jc w:val="right"/>
              <w:ind w:right="156"/>
              <w:spacing w:after="0"/>
              <w:rPr>
                <w:sz w:val="20"/>
                <w:szCs w:val="20"/>
                <w:color w:val="auto"/>
              </w:rPr>
            </w:pPr>
            <w:r>
              <w:rPr>
                <w:rFonts w:ascii="Arial" w:cs="Arial" w:eastAsia="Arial" w:hAnsi="Arial"/>
                <w:sz w:val="14"/>
                <w:szCs w:val="14"/>
                <w:b w:val="1"/>
                <w:bCs w:val="1"/>
                <w:color w:val="auto"/>
                <w:w w:val="94"/>
              </w:rPr>
              <w:t>Three months ended September 30,</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60" w:type="dxa"/>
            <w:vAlign w:val="bottom"/>
            <w:gridSpan w:val="6"/>
          </w:tcPr>
          <w:p>
            <w:pPr>
              <w:ind w:left="60"/>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142"/>
        </w:trPr>
        <w:tc>
          <w:tcPr>
            <w:tcW w:w="4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26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2009</w:t>
            </w:r>
          </w:p>
        </w:tc>
        <w:tc>
          <w:tcPr>
            <w:tcW w:w="6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2010</w:t>
            </w:r>
          </w:p>
        </w:tc>
        <w:tc>
          <w:tcPr>
            <w:tcW w:w="4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210"/>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5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127</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395</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Interest cost</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47</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107</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Actuarial loss</w:t>
            </w:r>
          </w:p>
        </w:tc>
        <w:tc>
          <w:tcPr>
            <w:tcW w:w="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8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r>
      <w:tr>
        <w:trPr>
          <w:trHeight w:val="222"/>
        </w:trPr>
        <w:tc>
          <w:tcPr>
            <w:tcW w:w="4780" w:type="dxa"/>
            <w:vAlign w:val="bottom"/>
          </w:tcPr>
          <w:p>
            <w:pPr>
              <w:spacing w:after="0"/>
              <w:rPr>
                <w:sz w:val="20"/>
                <w:szCs w:val="20"/>
                <w:color w:val="auto"/>
              </w:rPr>
            </w:pPr>
            <w:r>
              <w:rPr>
                <w:rFonts w:ascii="Arial" w:cs="Arial" w:eastAsia="Arial" w:hAnsi="Arial"/>
                <w:sz w:val="18"/>
                <w:szCs w:val="18"/>
                <w:color w:val="auto"/>
              </w:rPr>
              <w:t>Net gratuity cost</w:t>
            </w:r>
          </w:p>
        </w:tc>
        <w:tc>
          <w:tcPr>
            <w:tcW w:w="580" w:type="dxa"/>
            <w:vAlign w:val="bottom"/>
            <w:gridSpan w:val="2"/>
          </w:tcPr>
          <w:p>
            <w:pPr>
              <w:jc w:val="right"/>
              <w:ind w:right="412"/>
              <w:spacing w:after="0"/>
              <w:rPr>
                <w:sz w:val="20"/>
                <w:szCs w:val="20"/>
                <w:color w:val="auto"/>
              </w:rPr>
            </w:pPr>
            <w:r>
              <w:rPr>
                <w:rFonts w:ascii="Arial" w:cs="Arial" w:eastAsia="Arial" w:hAnsi="Arial"/>
                <w:sz w:val="18"/>
                <w:szCs w:val="18"/>
                <w:color w:val="auto"/>
                <w:w w:val="79"/>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216</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115</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628</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19"/>
                <w:szCs w:val="19"/>
                <w:color w:val="auto"/>
              </w:rPr>
            </w:pPr>
          </w:p>
        </w:tc>
      </w:tr>
      <w:tr>
        <w:trPr>
          <w:trHeight w:val="20"/>
        </w:trPr>
        <w:tc>
          <w:tcPr>
            <w:tcW w:w="47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maintains the ExlService Inc. 401(k) Plan, the Inductis 401(k) Profit Sharing Plan and the PDMA 401(k) Profit Sharing Plan, (the “401(k) Plans”) under Section 401(k) of the Internal Revenue Code of 1986 covering all eligible employees. The Company may make discretionary contributions of up to a maximum of 3% of employee compensation within certain limits. The Company’s contribution to the 401(k) Plans amounted to $80 during each of the three month periods ended September 30, 2010 and September 30, 2009, respectively and $238 and $237 during the nine months periods ended September 30, 2010 and September 30, 2009, respectively.</w:t>
      </w:r>
    </w:p>
    <w:p>
      <w:pPr>
        <w:spacing w:after="0" w:line="143"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During the three and nine months periods ended September 30, 2010 and 2009, the Company contributed the following amounts to various defined contribution plans on behalf of its employees in India, Philippines, Romania and the Czech Republic:</w:t>
      </w:r>
    </w:p>
    <w:p>
      <w:pPr>
        <w:spacing w:after="0" w:line="181"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September 30, 2010</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934</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Three months ended September 30, 2009</w:t>
            </w:r>
          </w:p>
        </w:tc>
        <w:tc>
          <w:tcPr>
            <w:tcW w:w="22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2"/>
              <w:spacing w:after="0"/>
              <w:rPr>
                <w:sz w:val="20"/>
                <w:szCs w:val="20"/>
                <w:color w:val="auto"/>
              </w:rPr>
            </w:pPr>
            <w:r>
              <w:rPr>
                <w:rFonts w:ascii="Arial" w:cs="Arial" w:eastAsia="Arial" w:hAnsi="Arial"/>
                <w:sz w:val="18"/>
                <w:szCs w:val="18"/>
                <w:color w:val="auto"/>
              </w:rPr>
              <w:t>715</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Nine months ended September 30, 2010</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4"/>
              </w:rPr>
              <w:t>2,666</w:t>
            </w:r>
          </w:p>
        </w:tc>
      </w:tr>
      <w:tr>
        <w:trPr>
          <w:trHeight w:val="222"/>
        </w:trPr>
        <w:tc>
          <w:tcPr>
            <w:tcW w:w="5020" w:type="dxa"/>
            <w:vAlign w:val="bottom"/>
          </w:tcPr>
          <w:p>
            <w:pPr>
              <w:spacing w:after="0"/>
              <w:rPr>
                <w:sz w:val="20"/>
                <w:szCs w:val="20"/>
                <w:color w:val="auto"/>
              </w:rPr>
            </w:pPr>
            <w:r>
              <w:rPr>
                <w:rFonts w:ascii="Arial" w:cs="Arial" w:eastAsia="Arial" w:hAnsi="Arial"/>
                <w:sz w:val="18"/>
                <w:szCs w:val="18"/>
                <w:color w:val="auto"/>
              </w:rPr>
              <w:t>Nine months ended September 30, 2009</w:t>
            </w:r>
          </w:p>
        </w:tc>
        <w:tc>
          <w:tcPr>
            <w:tcW w:w="22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2"/>
              <w:spacing w:after="0"/>
              <w:rPr>
                <w:sz w:val="20"/>
                <w:szCs w:val="20"/>
                <w:color w:val="auto"/>
              </w:rPr>
            </w:pPr>
            <w:r>
              <w:rPr>
                <w:rFonts w:ascii="Arial" w:cs="Arial" w:eastAsia="Arial" w:hAnsi="Arial"/>
                <w:sz w:val="18"/>
                <w:szCs w:val="18"/>
                <w:color w:val="auto"/>
                <w:w w:val="84"/>
              </w:rPr>
              <w:t>1,642</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Leases</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Company leases motor vehicles for some of its employees. Such leases are recorded as capital leases. Future minimum lease payments under these capital leases at September 30, 2010 are set forth below:</w:t>
      </w:r>
    </w:p>
    <w:p>
      <w:pPr>
        <w:spacing w:after="0" w:line="181"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Year ending September 30,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2011</w:t>
            </w:r>
          </w:p>
        </w:tc>
        <w:tc>
          <w:tcPr>
            <w:tcW w:w="360" w:type="dxa"/>
            <w:vAlign w:val="bottom"/>
          </w:tcPr>
          <w:p>
            <w:pPr>
              <w:jc w:val="right"/>
              <w:spacing w:after="0"/>
              <w:rPr>
                <w:sz w:val="20"/>
                <w:szCs w:val="20"/>
                <w:color w:val="auto"/>
              </w:rPr>
            </w:pPr>
            <w:r>
              <w:rPr>
                <w:rFonts w:ascii="Arial" w:cs="Arial" w:eastAsia="Arial" w:hAnsi="Arial"/>
                <w:sz w:val="18"/>
                <w:szCs w:val="18"/>
                <w:color w:val="auto"/>
                <w:w w:val="84"/>
              </w:rPr>
              <w:t>$272</w:t>
            </w:r>
          </w:p>
        </w:tc>
        <w:tc>
          <w:tcPr>
            <w:tcW w:w="100" w:type="dxa"/>
            <w:vAlign w:val="bottom"/>
          </w:tcPr>
          <w:p>
            <w:pPr>
              <w:spacing w:after="0"/>
              <w:rPr>
                <w:sz w:val="18"/>
                <w:szCs w:val="18"/>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18"/>
                <w:szCs w:val="18"/>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2013</w:t>
            </w:r>
          </w:p>
        </w:tc>
        <w:tc>
          <w:tcPr>
            <w:tcW w:w="36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8"/>
                <w:szCs w:val="18"/>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r>
      <w:tr>
        <w:trPr>
          <w:trHeight w:val="221"/>
        </w:trPr>
        <w:tc>
          <w:tcPr>
            <w:tcW w:w="7300" w:type="dxa"/>
            <w:vAlign w:val="bottom"/>
          </w:tcPr>
          <w:p>
            <w:pPr>
              <w:spacing w:after="0"/>
              <w:rPr>
                <w:sz w:val="20"/>
                <w:szCs w:val="20"/>
                <w:color w:val="auto"/>
              </w:rPr>
            </w:pPr>
            <w:r>
              <w:rPr>
                <w:rFonts w:ascii="Arial" w:cs="Arial" w:eastAsia="Arial" w:hAnsi="Arial"/>
                <w:sz w:val="18"/>
                <w:szCs w:val="18"/>
                <w:color w:val="auto"/>
              </w:rPr>
              <w:t>Total minimum lease payments</w:t>
            </w:r>
          </w:p>
        </w:tc>
        <w:tc>
          <w:tcPr>
            <w:tcW w:w="360" w:type="dxa"/>
            <w:vAlign w:val="bottom"/>
          </w:tcPr>
          <w:p>
            <w:pPr>
              <w:jc w:val="right"/>
              <w:spacing w:after="0"/>
              <w:rPr>
                <w:sz w:val="20"/>
                <w:szCs w:val="20"/>
                <w:color w:val="auto"/>
              </w:rPr>
            </w:pPr>
            <w:r>
              <w:rPr>
                <w:rFonts w:ascii="Arial" w:cs="Arial" w:eastAsia="Arial" w:hAnsi="Arial"/>
                <w:sz w:val="18"/>
                <w:szCs w:val="18"/>
                <w:color w:val="auto"/>
              </w:rPr>
              <w:t>683</w:t>
            </w:r>
          </w:p>
        </w:tc>
        <w:tc>
          <w:tcPr>
            <w:tcW w:w="100" w:type="dxa"/>
            <w:vAlign w:val="bottom"/>
          </w:tcPr>
          <w:p>
            <w:pPr>
              <w:spacing w:after="0"/>
              <w:rPr>
                <w:sz w:val="19"/>
                <w:szCs w:val="19"/>
                <w:color w:val="auto"/>
              </w:rPr>
            </w:pPr>
          </w:p>
        </w:tc>
      </w:tr>
      <w:tr>
        <w:trPr>
          <w:trHeight w:val="218"/>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Less: amount representing interest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r>
      <w:tr>
        <w:trPr>
          <w:trHeight w:val="221"/>
        </w:trPr>
        <w:tc>
          <w:tcPr>
            <w:tcW w:w="7300" w:type="dxa"/>
            <w:vAlign w:val="bottom"/>
          </w:tcPr>
          <w:p>
            <w:pPr>
              <w:spacing w:after="0"/>
              <w:rPr>
                <w:sz w:val="20"/>
                <w:szCs w:val="20"/>
                <w:color w:val="auto"/>
              </w:rPr>
            </w:pPr>
            <w:r>
              <w:rPr>
                <w:rFonts w:ascii="Arial" w:cs="Arial" w:eastAsia="Arial" w:hAnsi="Arial"/>
                <w:sz w:val="18"/>
                <w:szCs w:val="18"/>
                <w:color w:val="auto"/>
              </w:rPr>
              <w:t>Present value of minimum lease payments</w:t>
            </w:r>
          </w:p>
        </w:tc>
        <w:tc>
          <w:tcPr>
            <w:tcW w:w="360" w:type="dxa"/>
            <w:vAlign w:val="bottom"/>
          </w:tcPr>
          <w:p>
            <w:pPr>
              <w:jc w:val="right"/>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19"/>
                <w:szCs w:val="19"/>
                <w:color w:val="auto"/>
              </w:rPr>
            </w:pPr>
          </w:p>
        </w:tc>
      </w:tr>
      <w:tr>
        <w:trPr>
          <w:trHeight w:val="218"/>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18"/>
                <w:szCs w:val="18"/>
                <w:color w:val="auto"/>
              </w:rPr>
            </w:pPr>
          </w:p>
        </w:tc>
      </w:tr>
      <w:tr>
        <w:trPr>
          <w:trHeight w:val="222"/>
        </w:trPr>
        <w:tc>
          <w:tcPr>
            <w:tcW w:w="7300" w:type="dxa"/>
            <w:vAlign w:val="bottom"/>
          </w:tcPr>
          <w:p>
            <w:pPr>
              <w:spacing w:after="0"/>
              <w:rPr>
                <w:sz w:val="20"/>
                <w:szCs w:val="20"/>
                <w:color w:val="auto"/>
              </w:rPr>
            </w:pPr>
            <w:r>
              <w:rPr>
                <w:rFonts w:ascii="Arial" w:cs="Arial" w:eastAsia="Arial" w:hAnsi="Arial"/>
                <w:sz w:val="18"/>
                <w:szCs w:val="18"/>
                <w:color w:val="auto"/>
              </w:rPr>
              <w:t>Long term capital lease obligation</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373</w:t>
            </w:r>
          </w:p>
        </w:tc>
        <w:tc>
          <w:tcPr>
            <w:tcW w:w="100" w:type="dxa"/>
            <w:vAlign w:val="bottom"/>
          </w:tcPr>
          <w:p>
            <w:pPr>
              <w:spacing w:after="0"/>
              <w:rPr>
                <w:sz w:val="19"/>
                <w:szCs w:val="19"/>
                <w:color w:val="auto"/>
              </w:rPr>
            </w:pPr>
          </w:p>
        </w:tc>
      </w:tr>
      <w:tr>
        <w:trPr>
          <w:trHeight w:val="20"/>
        </w:trPr>
        <w:tc>
          <w:tcPr>
            <w:tcW w:w="7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Company conducts its operations using facilities leased under non-cancelable operating lease agreements that expire at various dates. Future minimum lease payments under non-cancelable operating lease agreements expiring after more than twelve months are set forth below:</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459" w:right="2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184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060" w:type="dxa"/>
            <w:vAlign w:val="bottom"/>
          </w:tcPr>
          <w:p>
            <w:pPr>
              <w:jc w:val="center"/>
              <w:ind w:left="552"/>
              <w:spacing w:after="0"/>
              <w:rPr>
                <w:sz w:val="20"/>
                <w:szCs w:val="20"/>
                <w:color w:val="auto"/>
              </w:rPr>
            </w:pPr>
            <w:r>
              <w:rPr>
                <w:rFonts w:ascii="Arial" w:cs="Arial" w:eastAsia="Arial" w:hAnsi="Arial"/>
                <w:sz w:val="18"/>
                <w:szCs w:val="18"/>
                <w:b w:val="1"/>
                <w:bCs w:val="1"/>
                <w:color w:val="auto"/>
                <w:w w:val="99"/>
              </w:rPr>
              <w:t>EXLSERVICE HOLDINGS, INC.</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7060" w:type="dxa"/>
            <w:vAlign w:val="bottom"/>
          </w:tcPr>
          <w:p>
            <w:pPr>
              <w:jc w:val="center"/>
              <w:ind w:left="572"/>
              <w:spacing w:after="0"/>
              <w:rPr>
                <w:sz w:val="20"/>
                <w:szCs w:val="20"/>
                <w:color w:val="auto"/>
              </w:rPr>
            </w:pPr>
            <w:r>
              <w:rPr>
                <w:rFonts w:ascii="Arial" w:cs="Arial" w:eastAsia="Arial" w:hAnsi="Arial"/>
                <w:sz w:val="18"/>
                <w:szCs w:val="18"/>
                <w:b w:val="1"/>
                <w:bCs w:val="1"/>
                <w:color w:val="auto"/>
                <w:w w:val="96"/>
              </w:rPr>
              <w:t>NOTES TO CONSOLIDATED FINANCIAL STATEMENTS—(Continued)</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jc w:val="center"/>
              <w:ind w:left="552"/>
              <w:spacing w:after="0"/>
              <w:rPr>
                <w:sz w:val="20"/>
                <w:szCs w:val="20"/>
                <w:color w:val="auto"/>
              </w:rPr>
            </w:pPr>
            <w:r>
              <w:rPr>
                <w:rFonts w:ascii="Arial" w:cs="Arial" w:eastAsia="Arial" w:hAnsi="Arial"/>
                <w:sz w:val="18"/>
                <w:szCs w:val="18"/>
                <w:b w:val="1"/>
                <w:bCs w:val="1"/>
                <w:color w:val="auto"/>
                <w:w w:val="86"/>
              </w:rPr>
              <w:t>September 30, 2010</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jc w:val="center"/>
              <w:ind w:left="552"/>
              <w:spacing w:after="0"/>
              <w:rPr>
                <w:sz w:val="20"/>
                <w:szCs w:val="20"/>
                <w:color w:val="auto"/>
              </w:rPr>
            </w:pPr>
            <w:r>
              <w:rPr>
                <w:rFonts w:ascii="Arial" w:cs="Arial" w:eastAsia="Arial" w:hAnsi="Arial"/>
                <w:sz w:val="18"/>
                <w:szCs w:val="18"/>
                <w:b w:val="1"/>
                <w:bCs w:val="1"/>
                <w:color w:val="auto"/>
                <w:w w:val="89"/>
              </w:rPr>
              <w:t>(Unaudited)</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60" w:type="dxa"/>
            <w:vAlign w:val="bottom"/>
          </w:tcPr>
          <w:p>
            <w:pPr>
              <w:jc w:val="center"/>
              <w:ind w:left="552"/>
              <w:spacing w:after="0"/>
              <w:rPr>
                <w:sz w:val="20"/>
                <w:szCs w:val="20"/>
                <w:color w:val="auto"/>
              </w:rPr>
            </w:pPr>
            <w:r>
              <w:rPr>
                <w:rFonts w:ascii="Arial" w:cs="Arial" w:eastAsia="Arial" w:hAnsi="Arial"/>
                <w:sz w:val="18"/>
                <w:szCs w:val="18"/>
                <w:b w:val="1"/>
                <w:bCs w:val="1"/>
                <w:color w:val="auto"/>
                <w:w w:val="86"/>
              </w:rPr>
              <w:t>(In thousands, except share and per share amounts)</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6"/>
        </w:trPr>
        <w:tc>
          <w:tcPr>
            <w:tcW w:w="20" w:type="dxa"/>
            <w:vAlign w:val="bottom"/>
            <w:vMerge w:val="restart"/>
          </w:tcPr>
          <w:p>
            <w:pPr>
              <w:spacing w:after="0"/>
              <w:rPr>
                <w:sz w:val="24"/>
                <w:szCs w:val="24"/>
                <w:color w:val="auto"/>
              </w:rPr>
            </w:pPr>
          </w:p>
        </w:tc>
        <w:tc>
          <w:tcPr>
            <w:tcW w:w="7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Year ending September 30,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2011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5,613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2013</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2015</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2016 and thereafter</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6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15,279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20" w:firstLine="456"/>
        <w:spacing w:after="0" w:line="294" w:lineRule="auto"/>
        <w:rPr>
          <w:sz w:val="20"/>
          <w:szCs w:val="20"/>
          <w:color w:val="auto"/>
        </w:rPr>
      </w:pPr>
      <w:r>
        <w:rPr>
          <w:rFonts w:ascii="Arial" w:cs="Arial" w:eastAsia="Arial" w:hAnsi="Arial"/>
          <w:sz w:val="16"/>
          <w:szCs w:val="16"/>
          <w:color w:val="auto"/>
        </w:rPr>
        <w:t>The operating leases are subject to renewal periodically and have scheduled rent increases. The Company accounts for scheduled rent on a straight line basis over the lease period. Rent expense under both cancellable and non-cancellable operating leases was $2,680 and $1,567 for the three months ended September 30, 2010 and 2009, respectively and $7,038 and $4,249 for the nine months ended September 30, 2010 and 2009, respectively. Deferred rent as of September 30, 2010 and December 31, 2009 was $2,971 and $1,437, respectively, and is included in “Accrued expenses and other current liabilities” in the unaudited consolidated balance sheet as of September 30, 2010 and the audited balance sheet as of December 31, 2009.</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96" w:lineRule="exact"/>
        <w:rPr>
          <w:sz w:val="20"/>
          <w:szCs w:val="20"/>
          <w:color w:val="auto"/>
        </w:rPr>
      </w:pPr>
    </w:p>
    <w:p>
      <w:pPr>
        <w:ind w:right="300" w:firstLine="456"/>
        <w:spacing w:after="0" w:line="305" w:lineRule="auto"/>
        <w:rPr>
          <w:sz w:val="20"/>
          <w:szCs w:val="20"/>
          <w:color w:val="auto"/>
        </w:rPr>
      </w:pPr>
      <w:r>
        <w:rPr>
          <w:rFonts w:ascii="Arial" w:cs="Arial" w:eastAsia="Arial" w:hAnsi="Arial"/>
          <w:sz w:val="15"/>
          <w:szCs w:val="15"/>
          <w:color w:val="auto"/>
        </w:rPr>
        <w:t>The Company recorded income tax expense/(benefit) of $384 and ($541) for the three months ended September 30, 2010 and 2009, respectively, and $3,881 and ($169) for the nine months ended September 30, 2010 and 2009, respectively. The effective rate of taxes attributable to continuing operations was</w:t>
      </w:r>
    </w:p>
    <w:p>
      <w:pPr>
        <w:ind w:right="120"/>
        <w:spacing w:after="0" w:line="254" w:lineRule="auto"/>
        <w:rPr>
          <w:sz w:val="20"/>
          <w:szCs w:val="20"/>
          <w:color w:val="auto"/>
        </w:rPr>
      </w:pPr>
      <w:r>
        <w:rPr>
          <w:rFonts w:ascii="Arial" w:cs="Arial" w:eastAsia="Arial" w:hAnsi="Arial"/>
          <w:sz w:val="18"/>
          <w:szCs w:val="18"/>
          <w:color w:val="auto"/>
        </w:rPr>
        <w:t>4.7% and (15.7%) for the three months ended September 30, 2010 and 2009, respectively and 17.5% and (2.7%) for the nine months ended September 30, 2010 and 2009, respectively. The increase in overall effective tax rate is primarily due to the expiration of a tax holiday under Indian law for some of our operating units in India during the three and nine months ended September 30, 2010 and also due to the recent GTSC and PDMA acquisitions, income from which is fully taxable.</w:t>
      </w:r>
    </w:p>
    <w:p>
      <w:pPr>
        <w:spacing w:after="0" w:line="144"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Certain units of the Company’s Indian subsidiaries qualify for an exemption from taxable income under Section 10A or 10B of the Indian Income Tax Act, as their profits are attributable to work performed under the export promotion schemes. This exemption is available for a period of ten consecutive years beginning with the financial year in which the entity begins to manufacture or produce eligible goods and services and originally expired on March 31, 2010. In July 2009, the Indian government extended the tax holiday period by one year from March 31, 2010 to March 31, 2011. The tax holiday period for some of the units of the Company expired on April 1, 2010 and any profits from such units after such date is fully taxable at the Indian statutory tax rate, which is currently at 33.22%.</w:t>
      </w:r>
    </w:p>
    <w:p>
      <w:pPr>
        <w:spacing w:after="0" w:line="14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Deferred tax assets and liabilities are recognized for future tax consequences attributable to temporary differences between the financial statement carrying values of assets and liabilities and their respective tax bases and operating loss carry forwards. At September 30, 2010, the Company performed an analysis of the deferred tax asset valuation allowance for certain units of its Indian subsidiaries and net operating loss carry forward for its domestic entities. Based on this analysis, the Company continues to record a valuation allowance on deferred tax assets pertaining to such units of the Company’s subsidiaries for which the tax holiday period is currently scheduled to expire on April 1, 2011 and the deferred tax assets on net operating loss carry forwards. The valuation allowance as of September 30, 2010 and December 31, 2009 was approximately $2,581 and $2,254, respectively.</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September 30, 2010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27"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During 2007, the Indian government passed tax legislation that, among other items, subjects Indian taxpayers to a Minimum Alternative Tax (“MAT”). As of September 30, 2010 and December 31, 2009, income tax credits related to the MAT were approximately $4,088 and $4,269, respectively.</w:t>
      </w:r>
    </w:p>
    <w:p>
      <w:pPr>
        <w:spacing w:after="0" w:line="8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Company’s provision for income taxes also includes the impact of provisions established for uncertain income tax positions determined in accordance with ASC topic No. 740, “</w:t>
      </w:r>
      <w:r>
        <w:rPr>
          <w:rFonts w:ascii="Arial" w:cs="Arial" w:eastAsia="Arial" w:hAnsi="Arial"/>
          <w:sz w:val="18"/>
          <w:szCs w:val="18"/>
          <w:i w:val="1"/>
          <w:iCs w:val="1"/>
          <w:color w:val="auto"/>
        </w:rPr>
        <w:t>Income Taxes</w:t>
      </w:r>
      <w:r>
        <w:rPr>
          <w:rFonts w:ascii="Arial" w:cs="Arial" w:eastAsia="Arial" w:hAnsi="Arial"/>
          <w:sz w:val="18"/>
          <w:szCs w:val="18"/>
          <w:color w:val="auto"/>
        </w:rPr>
        <w:t>” as well as the related net interest. Tax exposures can involve complex issues and may require an extended period to resolve. Although the Company believes that it has adequately reserved for its uncertain tax positions, no assurance can be given that the final tax outcome of these matters will not be different. The Company adjusts these reserves in light of changing facts and circumstances, including refinement of an estimate. To the extent that the final tax outcome of these matters differs from the amounts recorded, such differences will impact the provision for income taxes in the period in which such determination is made.</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activity related to the gross unrecognized tax benefits from January 1, 2010 through September 30, 2010:</w:t>
      </w:r>
    </w:p>
    <w:p>
      <w:pPr>
        <w:spacing w:after="0" w:line="243"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1, 2010</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$ 4,156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Increases related to prior year tax positions</w:t>
            </w:r>
          </w:p>
        </w:tc>
        <w:tc>
          <w:tcPr>
            <w:tcW w:w="172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Decreases related to prior year tax positions</w:t>
            </w:r>
          </w:p>
        </w:tc>
        <w:tc>
          <w:tcPr>
            <w:tcW w:w="2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(2,848)</w:t>
            </w:r>
          </w:p>
        </w:tc>
      </w:tr>
      <w:tr>
        <w:trPr>
          <w:trHeight w:val="216"/>
        </w:trPr>
        <w:tc>
          <w:tcPr>
            <w:tcW w:w="20" w:type="dxa"/>
            <w:vAlign w:val="bottom"/>
          </w:tcPr>
          <w:p>
            <w:pPr>
              <w:spacing w:after="0"/>
              <w:rPr>
                <w:sz w:val="18"/>
                <w:szCs w:val="18"/>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Increases related to current year tax positions</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2,313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Decreases related to current year tax positions</w:t>
            </w:r>
          </w:p>
        </w:tc>
        <w:tc>
          <w:tcPr>
            <w:tcW w:w="17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Effect of exchange rate changes</w:t>
            </w:r>
          </w:p>
        </w:tc>
        <w:tc>
          <w:tcPr>
            <w:tcW w:w="172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September 30, 2010</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$ 3,787</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decrease related to prior year tax position is due to the reduction in the tax liability of one of the Company’s Indian subsidiary following the adoption of the recent guidance of income-tax department on treatment of certain items of income and expenditures.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unrecognized tax benefits as of September 30, 2010 of $3,787, if recognized, would have a favorable impact on the effective tax rate.</w:t>
      </w:r>
    </w:p>
    <w:p>
      <w:pPr>
        <w:spacing w:after="0" w:line="194"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The Company has recognized interest and penalties of ($116) and $16 during the three and nine months ended September 30, 2010, respectively, and is included in the income tax provision in the unaudited consolidated statements of income. The unrecognized tax benefits may increase or decrease in the next twelve months depending on the Company’s tax positions.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Stock-Based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costs related to the Company’s stock-based compensation plan are included in the unaudited consolidated statements of income:</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94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w w:val="92"/>
              </w:rPr>
              <w:t>Three months ended September 30,</w:t>
            </w:r>
          </w:p>
        </w:tc>
        <w:tc>
          <w:tcPr>
            <w:tcW w:w="140" w:type="dxa"/>
            <w:vAlign w:val="bottom"/>
          </w:tcPr>
          <w:p>
            <w:pPr>
              <w:spacing w:after="0"/>
              <w:rPr>
                <w:sz w:val="14"/>
                <w:szCs w:val="14"/>
                <w:color w:val="auto"/>
              </w:rPr>
            </w:pPr>
          </w:p>
        </w:tc>
        <w:tc>
          <w:tcPr>
            <w:tcW w:w="2280" w:type="dxa"/>
            <w:vAlign w:val="bottom"/>
            <w:gridSpan w:val="5"/>
          </w:tcPr>
          <w:p>
            <w:pPr>
              <w:ind w:left="40"/>
              <w:spacing w:after="0"/>
              <w:rPr>
                <w:sz w:val="20"/>
                <w:szCs w:val="20"/>
                <w:color w:val="auto"/>
              </w:rPr>
            </w:pPr>
            <w:r>
              <w:rPr>
                <w:rFonts w:ascii="Arial" w:cs="Arial" w:eastAsia="Arial" w:hAnsi="Arial"/>
                <w:sz w:val="14"/>
                <w:szCs w:val="14"/>
                <w:b w:val="1"/>
                <w:bCs w:val="1"/>
                <w:color w:val="auto"/>
                <w:w w:val="96"/>
              </w:rPr>
              <w:t>Nine months ended September 30,</w:t>
            </w:r>
          </w:p>
        </w:tc>
        <w:tc>
          <w:tcPr>
            <w:tcW w:w="0" w:type="dxa"/>
            <w:vAlign w:val="bottom"/>
          </w:tcPr>
          <w:p>
            <w:pPr>
              <w:spacing w:after="0"/>
              <w:rPr>
                <w:sz w:val="1"/>
                <w:szCs w:val="1"/>
                <w:color w:val="auto"/>
              </w:rPr>
            </w:pPr>
          </w:p>
        </w:tc>
      </w:tr>
      <w:tr>
        <w:trPr>
          <w:trHeight w:val="142"/>
        </w:trPr>
        <w:tc>
          <w:tcPr>
            <w:tcW w:w="38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w w:val="96"/>
              </w:rPr>
              <w:t>2010</w:t>
            </w:r>
          </w:p>
        </w:tc>
        <w:tc>
          <w:tcPr>
            <w:tcW w:w="62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2009</w:t>
            </w:r>
          </w:p>
        </w:tc>
        <w:tc>
          <w:tcPr>
            <w:tcW w:w="5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2010</w:t>
            </w:r>
          </w:p>
        </w:tc>
        <w:tc>
          <w:tcPr>
            <w:tcW w:w="62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54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341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858</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894</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2,627</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expenses</w:t>
            </w:r>
          </w:p>
        </w:tc>
        <w:tc>
          <w:tcPr>
            <w:tcW w:w="1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641</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2,268</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6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860" w:type="dxa"/>
            <w:vAlign w:val="bottom"/>
            <w:vMerge w:val="continue"/>
          </w:tcPr>
          <w:p>
            <w:pPr>
              <w:spacing w:after="0"/>
              <w:rPr>
                <w:sz w:val="19"/>
                <w:szCs w:val="19"/>
                <w:color w:val="auto"/>
              </w:rPr>
            </w:pPr>
          </w:p>
        </w:tc>
        <w:tc>
          <w:tcPr>
            <w:tcW w:w="154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2,121</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1,876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6,352</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5,389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86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2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fair value of each stock option granted to employees is estimated on the date of grant using the Black-Scholes option-pricing model with the following weighted average assumptions: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3480" w:type="dxa"/>
            <w:vAlign w:val="bottom"/>
            <w:gridSpan w:val="4"/>
          </w:tcPr>
          <w:p>
            <w:pPr>
              <w:jc w:val="right"/>
              <w:ind w:right="1140"/>
              <w:spacing w:after="0"/>
              <w:rPr>
                <w:sz w:val="20"/>
                <w:szCs w:val="20"/>
                <w:color w:val="auto"/>
              </w:rPr>
            </w:pPr>
            <w:r>
              <w:rPr>
                <w:rFonts w:ascii="Arial" w:cs="Arial" w:eastAsia="Arial" w:hAnsi="Arial"/>
                <w:sz w:val="14"/>
                <w:szCs w:val="14"/>
                <w:b w:val="1"/>
                <w:bCs w:val="1"/>
                <w:color w:val="auto"/>
                <w:w w:val="97"/>
              </w:rPr>
              <w:t>Three months ended September 30,</w:t>
            </w:r>
          </w:p>
        </w:tc>
        <w:tc>
          <w:tcPr>
            <w:tcW w:w="276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142"/>
        </w:trPr>
        <w:tc>
          <w:tcPr>
            <w:tcW w:w="426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2010</w:t>
            </w:r>
          </w:p>
        </w:tc>
        <w:tc>
          <w:tcPr>
            <w:tcW w:w="1100" w:type="dxa"/>
            <w:vAlign w:val="bottom"/>
            <w:tcBorders>
              <w:top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2009</w:t>
            </w:r>
          </w:p>
        </w:tc>
        <w:tc>
          <w:tcPr>
            <w:tcW w:w="84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2010</w:t>
            </w:r>
          </w:p>
        </w:tc>
        <w:tc>
          <w:tcPr>
            <w:tcW w:w="106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r>
      <w:tr>
        <w:trPr>
          <w:trHeight w:val="210"/>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86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0%</w:t>
            </w:r>
          </w:p>
        </w:tc>
        <w:tc>
          <w:tcPr>
            <w:tcW w:w="16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w:t>
            </w:r>
          </w:p>
        </w:tc>
        <w:tc>
          <w:tcPr>
            <w:tcW w:w="18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0%</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Expected life (years)</w:t>
            </w:r>
          </w:p>
        </w:tc>
        <w:tc>
          <w:tcPr>
            <w:tcW w:w="760" w:type="dxa"/>
            <w:vAlign w:val="bottom"/>
          </w:tcPr>
          <w:p>
            <w:pPr>
              <w:jc w:val="right"/>
              <w:spacing w:after="0"/>
              <w:rPr>
                <w:sz w:val="20"/>
                <w:szCs w:val="20"/>
                <w:color w:val="auto"/>
              </w:rPr>
            </w:pPr>
            <w:r>
              <w:rPr>
                <w:rFonts w:ascii="Arial" w:cs="Arial" w:eastAsia="Arial" w:hAnsi="Arial"/>
                <w:sz w:val="18"/>
                <w:szCs w:val="18"/>
                <w:color w:val="auto"/>
              </w:rPr>
              <w:t>4.50</w:t>
            </w:r>
          </w:p>
        </w:tc>
        <w:tc>
          <w:tcPr>
            <w:tcW w:w="1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3.50</w:t>
            </w:r>
          </w:p>
        </w:tc>
        <w:tc>
          <w:tcPr>
            <w:tcW w:w="840" w:type="dxa"/>
            <w:vAlign w:val="bottom"/>
          </w:tcPr>
          <w:p>
            <w:pPr>
              <w:spacing w:after="0"/>
              <w:rPr>
                <w:sz w:val="18"/>
                <w:szCs w:val="18"/>
                <w:color w:val="auto"/>
              </w:rPr>
            </w:pPr>
          </w:p>
        </w:tc>
        <w:tc>
          <w:tcPr>
            <w:tcW w:w="1800" w:type="dxa"/>
            <w:vAlign w:val="bottom"/>
            <w:gridSpan w:val="2"/>
          </w:tcPr>
          <w:p>
            <w:pPr>
              <w:jc w:val="right"/>
              <w:ind w:right="1060"/>
              <w:spacing w:after="0"/>
              <w:rPr>
                <w:sz w:val="20"/>
                <w:szCs w:val="20"/>
                <w:color w:val="auto"/>
              </w:rPr>
            </w:pPr>
            <w:r>
              <w:rPr>
                <w:rFonts w:ascii="Arial" w:cs="Arial" w:eastAsia="Arial" w:hAnsi="Arial"/>
                <w:sz w:val="18"/>
                <w:szCs w:val="18"/>
                <w:color w:val="auto"/>
              </w:rPr>
              <w:t>4.66</w:t>
            </w:r>
          </w:p>
        </w:tc>
        <w:tc>
          <w:tcPr>
            <w:tcW w:w="760" w:type="dxa"/>
            <w:vAlign w:val="bottom"/>
          </w:tcPr>
          <w:p>
            <w:pPr>
              <w:jc w:val="right"/>
              <w:spacing w:after="0"/>
              <w:rPr>
                <w:sz w:val="20"/>
                <w:szCs w:val="20"/>
                <w:color w:val="auto"/>
              </w:rPr>
            </w:pPr>
            <w:r>
              <w:rPr>
                <w:rFonts w:ascii="Arial" w:cs="Arial" w:eastAsia="Arial" w:hAnsi="Arial"/>
                <w:sz w:val="18"/>
                <w:szCs w:val="18"/>
                <w:color w:val="auto"/>
              </w:rPr>
              <w:t>4.56</w:t>
            </w:r>
          </w:p>
        </w:tc>
        <w:tc>
          <w:tcPr>
            <w:tcW w:w="200" w:type="dxa"/>
            <w:vAlign w:val="bottom"/>
          </w:tcPr>
          <w:p>
            <w:pPr>
              <w:spacing w:after="0"/>
              <w:rPr>
                <w:sz w:val="18"/>
                <w:szCs w:val="18"/>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186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1.65%</w:t>
            </w:r>
          </w:p>
        </w:tc>
        <w:tc>
          <w:tcPr>
            <w:tcW w:w="16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1.68%</w:t>
            </w:r>
          </w:p>
        </w:tc>
        <w:tc>
          <w:tcPr>
            <w:tcW w:w="18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1.84%</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1.73%</w:t>
            </w:r>
          </w:p>
        </w:tc>
      </w:tr>
      <w:tr>
        <w:trPr>
          <w:trHeight w:val="222"/>
        </w:trPr>
        <w:tc>
          <w:tcPr>
            <w:tcW w:w="4260" w:type="dxa"/>
            <w:vAlign w:val="bottom"/>
          </w:tcPr>
          <w:p>
            <w:pPr>
              <w:spacing w:after="0"/>
              <w:rPr>
                <w:sz w:val="20"/>
                <w:szCs w:val="20"/>
                <w:color w:val="auto"/>
              </w:rPr>
            </w:pPr>
            <w:r>
              <w:rPr>
                <w:rFonts w:ascii="Arial" w:cs="Arial" w:eastAsia="Arial" w:hAnsi="Arial"/>
                <w:sz w:val="18"/>
                <w:szCs w:val="18"/>
                <w:color w:val="auto"/>
              </w:rPr>
              <w:t>Volatility</w:t>
            </w:r>
          </w:p>
        </w:tc>
        <w:tc>
          <w:tcPr>
            <w:tcW w:w="1860" w:type="dxa"/>
            <w:vAlign w:val="bottom"/>
            <w:gridSpan w:val="2"/>
          </w:tcPr>
          <w:p>
            <w:pPr>
              <w:jc w:val="right"/>
              <w:ind w:right="960"/>
              <w:spacing w:after="0"/>
              <w:rPr>
                <w:sz w:val="20"/>
                <w:szCs w:val="20"/>
                <w:color w:val="auto"/>
              </w:rPr>
            </w:pPr>
            <w:r>
              <w:rPr>
                <w:rFonts w:ascii="Arial" w:cs="Arial" w:eastAsia="Arial" w:hAnsi="Arial"/>
                <w:sz w:val="18"/>
                <w:szCs w:val="18"/>
                <w:color w:val="auto"/>
              </w:rPr>
              <w:t>45%</w:t>
            </w:r>
          </w:p>
        </w:tc>
        <w:tc>
          <w:tcPr>
            <w:tcW w:w="1620" w:type="dxa"/>
            <w:vAlign w:val="bottom"/>
            <w:gridSpan w:val="2"/>
          </w:tcPr>
          <w:p>
            <w:pPr>
              <w:jc w:val="right"/>
              <w:ind w:right="700"/>
              <w:spacing w:after="0"/>
              <w:rPr>
                <w:sz w:val="20"/>
                <w:szCs w:val="20"/>
                <w:color w:val="auto"/>
              </w:rPr>
            </w:pPr>
            <w:r>
              <w:rPr>
                <w:rFonts w:ascii="Arial" w:cs="Arial" w:eastAsia="Arial" w:hAnsi="Arial"/>
                <w:sz w:val="18"/>
                <w:szCs w:val="18"/>
                <w:color w:val="auto"/>
              </w:rPr>
              <w:t>50%</w:t>
            </w:r>
          </w:p>
        </w:tc>
        <w:tc>
          <w:tcPr>
            <w:tcW w:w="1800" w:type="dxa"/>
            <w:vAlign w:val="bottom"/>
            <w:gridSpan w:val="2"/>
          </w:tcPr>
          <w:p>
            <w:pPr>
              <w:jc w:val="right"/>
              <w:ind w:right="920"/>
              <w:spacing w:after="0"/>
              <w:rPr>
                <w:sz w:val="20"/>
                <w:szCs w:val="20"/>
                <w:color w:val="auto"/>
              </w:rPr>
            </w:pPr>
            <w:r>
              <w:rPr>
                <w:rFonts w:ascii="Arial" w:cs="Arial" w:eastAsia="Arial" w:hAnsi="Arial"/>
                <w:sz w:val="18"/>
                <w:szCs w:val="18"/>
                <w:color w:val="auto"/>
              </w:rPr>
              <w:t>44%</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r>
    </w:tbl>
    <w:p>
      <w:pPr>
        <w:spacing w:after="0" w:line="14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estimated expected term of options granted has been based on historical experience since October 2006, which is representative of the expected term of the options. Volatility has been calculated based on the volatility of the Company’s common stock and the volatility of stocks of comparable companies. The risk-free interest rate that the Company uses in the option valuation model is based on U.S. treasury zero-coupon bonds with a remaining term similar to the expected term of the options.</w:t>
      </w:r>
    </w:p>
    <w:p>
      <w:pPr>
        <w:spacing w:after="0" w:line="14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Company does not anticipate paying any cash dividends in the foreseeable future and therefore uses an expected dividend yield of zero in the option valuation model. The Company is required to estimate forfeitures at the time of grant and revise those estimates in subsequent periods if actual forfeitures differ from those estimates. The Company uses historical data to estimate pre-vesting option forfeitures and records stock-based compensation expense only for those awards that are expected to vest. All stock-based payment awards are amortized on a straight-line basis over the requisite service periods of the awards, which are generally the vesting periods.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 option activity under the Company’s stock plans is set forth below:</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Weighted-</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Average</w:t>
            </w:r>
          </w:p>
        </w:tc>
        <w:tc>
          <w:tcPr>
            <w:tcW w:w="280" w:type="dxa"/>
            <w:vAlign w:val="bottom"/>
          </w:tcPr>
          <w:p>
            <w:pPr>
              <w:spacing w:after="0"/>
              <w:rPr>
                <w:sz w:val="12"/>
                <w:szCs w:val="12"/>
                <w:color w:val="auto"/>
              </w:rPr>
            </w:pPr>
          </w:p>
        </w:tc>
        <w:tc>
          <w:tcPr>
            <w:tcW w:w="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3"/>
              </w:rPr>
              <w:t>Aggregate</w:t>
            </w:r>
          </w:p>
        </w:tc>
        <w:tc>
          <w:tcPr>
            <w:tcW w:w="540" w:type="dxa"/>
            <w:vAlign w:val="bottom"/>
          </w:tcPr>
          <w:p>
            <w:pPr>
              <w:spacing w:after="0"/>
              <w:rPr>
                <w:sz w:val="12"/>
                <w:szCs w:val="12"/>
                <w:color w:val="auto"/>
              </w:rPr>
            </w:pPr>
          </w:p>
        </w:tc>
        <w:tc>
          <w:tcPr>
            <w:tcW w:w="8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6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4"/>
              </w:rPr>
              <w:t>Number of</w:t>
            </w:r>
          </w:p>
        </w:tc>
        <w:tc>
          <w:tcPr>
            <w:tcW w:w="240" w:type="dxa"/>
            <w:vAlign w:val="bottom"/>
          </w:tcPr>
          <w:p>
            <w:pPr>
              <w:spacing w:after="0"/>
              <w:rPr>
                <w:sz w:val="12"/>
                <w:szCs w:val="12"/>
                <w:color w:val="auto"/>
              </w:rPr>
            </w:pPr>
          </w:p>
        </w:tc>
        <w:tc>
          <w:tcPr>
            <w:tcW w:w="8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Exercise</w:t>
            </w:r>
          </w:p>
        </w:tc>
        <w:tc>
          <w:tcPr>
            <w:tcW w:w="28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5"/>
              </w:rPr>
              <w:t>Intrinsic</w:t>
            </w:r>
          </w:p>
        </w:tc>
        <w:tc>
          <w:tcPr>
            <w:tcW w:w="540" w:type="dxa"/>
            <w:vAlign w:val="bottom"/>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76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Options</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7"/>
              </w:rPr>
              <w:t>Price</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90"/>
              </w:rPr>
              <w:t>Value</w:t>
            </w:r>
          </w:p>
        </w:tc>
        <w:tc>
          <w:tcPr>
            <w:tcW w:w="54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Life (years)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2009</w:t>
            </w:r>
          </w:p>
        </w:tc>
        <w:tc>
          <w:tcPr>
            <w:tcW w:w="29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3,188,066</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11.52</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21,999</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420"/>
              <w:spacing w:after="0"/>
              <w:rPr>
                <w:sz w:val="20"/>
                <w:szCs w:val="20"/>
                <w:color w:val="auto"/>
              </w:rPr>
            </w:pPr>
            <w:r>
              <w:rPr>
                <w:rFonts w:ascii="Arial" w:cs="Arial" w:eastAsia="Arial" w:hAnsi="Arial"/>
                <w:sz w:val="18"/>
                <w:szCs w:val="18"/>
                <w:color w:val="auto"/>
              </w:rPr>
              <w:t>Granted</w:t>
            </w:r>
          </w:p>
        </w:tc>
        <w:tc>
          <w:tcPr>
            <w:tcW w:w="2960" w:type="dxa"/>
            <w:vAlign w:val="bottom"/>
            <w:gridSpan w:val="3"/>
          </w:tcPr>
          <w:p>
            <w:pPr>
              <w:jc w:val="right"/>
              <w:ind w:right="300"/>
              <w:spacing w:after="0"/>
              <w:rPr>
                <w:sz w:val="20"/>
                <w:szCs w:val="20"/>
                <w:color w:val="auto"/>
              </w:rPr>
            </w:pPr>
            <w:r>
              <w:rPr>
                <w:rFonts w:ascii="Arial" w:cs="Arial" w:eastAsia="Arial" w:hAnsi="Arial"/>
                <w:sz w:val="18"/>
                <w:szCs w:val="18"/>
                <w:color w:val="auto"/>
              </w:rPr>
              <w:t>310,069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17.84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29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(144,994)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10.95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420"/>
              <w:spacing w:after="0"/>
              <w:rPr>
                <w:sz w:val="20"/>
                <w:szCs w:val="20"/>
                <w:color w:val="auto"/>
              </w:rPr>
            </w:pPr>
            <w:r>
              <w:rPr>
                <w:rFonts w:ascii="Arial" w:cs="Arial" w:eastAsia="Arial" w:hAnsi="Arial"/>
                <w:sz w:val="18"/>
                <w:szCs w:val="18"/>
                <w:color w:val="auto"/>
              </w:rPr>
              <w:t>Forfeited</w:t>
            </w:r>
          </w:p>
        </w:tc>
        <w:tc>
          <w:tcPr>
            <w:tcW w:w="19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(149,670)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13.85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September 30, 2010</w:t>
            </w:r>
          </w:p>
        </w:tc>
        <w:tc>
          <w:tcPr>
            <w:tcW w:w="19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3,203,471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12.05</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23,326</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gridSpan w:val="2"/>
            <w:vMerge w:val="restart"/>
          </w:tcPr>
          <w:p>
            <w:pPr>
              <w:spacing w:after="0"/>
              <w:rPr>
                <w:sz w:val="20"/>
                <w:szCs w:val="20"/>
                <w:color w:val="auto"/>
              </w:rPr>
            </w:pPr>
            <w:r>
              <w:rPr>
                <w:rFonts w:ascii="Arial" w:cs="Arial" w:eastAsia="Arial" w:hAnsi="Arial"/>
                <w:sz w:val="18"/>
                <w:szCs w:val="18"/>
                <w:color w:val="auto"/>
              </w:rPr>
              <w:t>Vested and exercisable at September 30, 2010</w:t>
            </w:r>
          </w:p>
        </w:tc>
        <w:tc>
          <w:tcPr>
            <w:tcW w:w="19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200" w:type="dxa"/>
            <w:vAlign w:val="bottom"/>
            <w:gridSpan w:val="2"/>
            <w:vMerge w:val="continue"/>
          </w:tcPr>
          <w:p>
            <w:pPr>
              <w:spacing w:after="0"/>
              <w:rPr>
                <w:sz w:val="18"/>
                <w:szCs w:val="18"/>
                <w:color w:val="auto"/>
              </w:rPr>
            </w:pPr>
          </w:p>
        </w:tc>
        <w:tc>
          <w:tcPr>
            <w:tcW w:w="190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1,340,382</w:t>
            </w:r>
          </w:p>
        </w:tc>
        <w:tc>
          <w:tcPr>
            <w:tcW w:w="300" w:type="dxa"/>
            <w:vAlign w:val="bottom"/>
          </w:tcPr>
          <w:p>
            <w:pPr>
              <w:spacing w:after="0"/>
              <w:rPr>
                <w:sz w:val="18"/>
                <w:szCs w:val="18"/>
                <w:color w:val="auto"/>
              </w:rPr>
            </w:pP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12.24</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9,506</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Available for grant at September 30, 2010</w:t>
            </w:r>
          </w:p>
        </w:tc>
        <w:tc>
          <w:tcPr>
            <w:tcW w:w="29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3,451,975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900" w:type="dxa"/>
            <w:vAlign w:val="bottom"/>
            <w:vMerge w:val="restart"/>
          </w:tcPr>
          <w:p>
            <w:pPr>
              <w:jc w:val="right"/>
              <w:ind w:right="672"/>
              <w:spacing w:after="0"/>
              <w:rPr>
                <w:sz w:val="20"/>
                <w:szCs w:val="20"/>
                <w:color w:val="auto"/>
              </w:rPr>
            </w:pPr>
            <w:r>
              <w:rPr>
                <w:rFonts w:ascii="Arial" w:cs="Arial" w:eastAsia="Arial" w:hAnsi="Arial"/>
                <w:sz w:val="18"/>
                <w:szCs w:val="18"/>
                <w:color w:val="auto"/>
              </w:rPr>
              <w:t>19</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September 30, 2010</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2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unrecognized compensation cost for unvested options as of September 30, 2010 is $7,327, which is expected to be expensed over a weighted average period of 2.45 years. The weighted-average fair value of options granted during the three months ended September 30, 2010 and 2009 was $6.93 and $5.26, respectively and for the nine months ended September 30, 2010 and 2009 was $7.03 and $3.48, respectively. The total fair value of shares vested during the three months period ending September 30, 2010 is $1,017 and for the nine months period ending September 30, 2010 is $5,347.</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and Restricted Stock Units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Restricted stock and restricted stock unit activity under the Company’s stock plans is set forth below:</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1680" w:type="dxa"/>
            <w:vAlign w:val="bottom"/>
            <w:gridSpan w:val="5"/>
          </w:tcPr>
          <w:p>
            <w:pPr>
              <w:jc w:val="right"/>
              <w:ind w:right="276"/>
              <w:spacing w:after="0"/>
              <w:rPr>
                <w:sz w:val="20"/>
                <w:szCs w:val="20"/>
                <w:color w:val="auto"/>
              </w:rPr>
            </w:pPr>
            <w:r>
              <w:rPr>
                <w:rFonts w:ascii="Arial" w:cs="Arial" w:eastAsia="Arial" w:hAnsi="Arial"/>
                <w:sz w:val="14"/>
                <w:szCs w:val="14"/>
                <w:b w:val="1"/>
                <w:bCs w:val="1"/>
                <w:color w:val="auto"/>
              </w:rPr>
              <w:t>Restricted Stock</w:t>
            </w:r>
          </w:p>
        </w:tc>
        <w:tc>
          <w:tcPr>
            <w:tcW w:w="400" w:type="dxa"/>
            <w:vAlign w:val="bottom"/>
          </w:tcPr>
          <w:p>
            <w:pPr>
              <w:spacing w:after="0"/>
              <w:rPr>
                <w:sz w:val="14"/>
                <w:szCs w:val="14"/>
                <w:color w:val="auto"/>
              </w:rPr>
            </w:pPr>
          </w:p>
        </w:tc>
        <w:tc>
          <w:tcPr>
            <w:tcW w:w="1720" w:type="dxa"/>
            <w:vAlign w:val="bottom"/>
            <w:gridSpan w:val="6"/>
          </w:tcPr>
          <w:p>
            <w:pPr>
              <w:ind w:left="160"/>
              <w:spacing w:after="0"/>
              <w:rPr>
                <w:sz w:val="20"/>
                <w:szCs w:val="20"/>
                <w:color w:val="auto"/>
              </w:rPr>
            </w:pPr>
            <w:r>
              <w:rPr>
                <w:rFonts w:ascii="Arial" w:cs="Arial" w:eastAsia="Arial" w:hAnsi="Arial"/>
                <w:sz w:val="14"/>
                <w:szCs w:val="14"/>
                <w:b w:val="1"/>
                <w:bCs w:val="1"/>
                <w:color w:val="auto"/>
              </w:rPr>
              <w:t>Restricted Stock Units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8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5"/>
              </w:rPr>
              <w:t>Weighted-</w:t>
            </w:r>
          </w:p>
        </w:tc>
        <w:tc>
          <w:tcPr>
            <w:tcW w:w="40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2"/>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Intrinsic</w:t>
            </w: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70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5"/>
              </w:rPr>
              <w:t>Value</w:t>
            </w:r>
          </w:p>
        </w:tc>
        <w:tc>
          <w:tcPr>
            <w:tcW w:w="400" w:type="dxa"/>
            <w:vAlign w:val="bottom"/>
          </w:tcPr>
          <w:p>
            <w:pPr>
              <w:spacing w:after="0"/>
              <w:rPr>
                <w:sz w:val="14"/>
                <w:szCs w:val="14"/>
                <w:color w:val="auto"/>
              </w:rPr>
            </w:pPr>
          </w:p>
        </w:tc>
        <w:tc>
          <w:tcPr>
            <w:tcW w:w="620" w:type="dxa"/>
            <w:vAlign w:val="bottom"/>
            <w:tcBorders>
              <w:bottom w:val="single" w:sz="8" w:color="auto"/>
            </w:tcBorders>
          </w:tcPr>
          <w:p>
            <w:pPr>
              <w:jc w:val="right"/>
              <w:ind w:right="6"/>
              <w:spacing w:after="0"/>
              <w:rPr>
                <w:sz w:val="20"/>
                <w:szCs w:val="20"/>
                <w:color w:val="auto"/>
              </w:rPr>
            </w:pPr>
            <w:r>
              <w:rPr>
                <w:rFonts w:ascii="Arial" w:cs="Arial" w:eastAsia="Arial" w:hAnsi="Arial"/>
                <w:sz w:val="14"/>
                <w:szCs w:val="14"/>
                <w:b w:val="1"/>
                <w:bCs w:val="1"/>
                <w:color w:val="auto"/>
                <w:w w:val="98"/>
              </w:rPr>
              <w:t>Number</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2009</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379,810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28,000</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420"/>
              <w:spacing w:after="0"/>
              <w:rPr>
                <w:sz w:val="20"/>
                <w:szCs w:val="20"/>
                <w:color w:val="auto"/>
              </w:rPr>
            </w:pPr>
            <w:r>
              <w:rPr>
                <w:rFonts w:ascii="Arial" w:cs="Arial" w:eastAsia="Arial" w:hAnsi="Arial"/>
                <w:sz w:val="18"/>
                <w:szCs w:val="18"/>
                <w:color w:val="auto"/>
              </w:rPr>
              <w:t>Granted</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621,319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Vested</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(109,342)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w:t>
            </w:r>
          </w:p>
        </w:tc>
        <w:tc>
          <w:tcPr>
            <w:tcW w:w="12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(12,000)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420"/>
              <w:spacing w:after="0"/>
              <w:rPr>
                <w:sz w:val="20"/>
                <w:szCs w:val="20"/>
                <w:color w:val="auto"/>
              </w:rPr>
            </w:pPr>
            <w:r>
              <w:rPr>
                <w:rFonts w:ascii="Arial" w:cs="Arial" w:eastAsia="Arial" w:hAnsi="Arial"/>
                <w:sz w:val="18"/>
                <w:szCs w:val="18"/>
                <w:color w:val="auto"/>
              </w:rPr>
              <w:t>Forfeited</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(8,166)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15.89</w:t>
            </w:r>
          </w:p>
        </w:tc>
        <w:tc>
          <w:tcPr>
            <w:tcW w:w="1260" w:type="dxa"/>
            <w:vAlign w:val="bottom"/>
            <w:gridSpan w:val="3"/>
          </w:tcPr>
          <w:p>
            <w:pPr>
              <w:jc w:val="right"/>
              <w:ind w:right="180"/>
              <w:spacing w:after="0"/>
              <w:rPr>
                <w:sz w:val="20"/>
                <w:szCs w:val="20"/>
                <w:color w:val="auto"/>
              </w:rPr>
            </w:pPr>
            <w:r>
              <w:rPr>
                <w:rFonts w:ascii="Arial" w:cs="Arial" w:eastAsia="Arial" w:hAnsi="Arial"/>
                <w:sz w:val="18"/>
                <w:szCs w:val="18"/>
                <w:color w:val="auto"/>
              </w:rPr>
              <w:t>(14,254)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September 30, 2010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262,302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23.21</w:t>
            </w: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623,065</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September 30, 2010, unrecognized compensation cost of $13,132 is expected to be expensed over a weighted average period of 2.89 years.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 Party Transactions</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Company provides services to Oak Hill Capital Partners, an affiliate of the Oak Hill Capital Partners, L.P., one of the Company’s significant stockholders. The Company recognized revenues of approximately $29 and $12 during the three months ended September 30, 2010 and 2009, respectively, and $67 and $19 during the nine months ended September 30, 2010 and 2009, respectively. At September 30, 2010 and December 31, 2009, the Company had an account receivable of $27 and $13, respectively, related to these services.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Geographical Information</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86"/>
              </w:rPr>
              <w:t>Three months ended September 30,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6"/>
          </w:tcPr>
          <w:p>
            <w:pPr>
              <w:ind w:left="20"/>
              <w:spacing w:after="0"/>
              <w:rPr>
                <w:sz w:val="20"/>
                <w:szCs w:val="20"/>
                <w:color w:val="auto"/>
              </w:rPr>
            </w:pPr>
            <w:r>
              <w:rPr>
                <w:rFonts w:ascii="Arial" w:cs="Arial" w:eastAsia="Arial" w:hAnsi="Arial"/>
                <w:sz w:val="14"/>
                <w:szCs w:val="14"/>
                <w:b w:val="1"/>
                <w:bCs w:val="1"/>
                <w:color w:val="auto"/>
                <w:w w:val="94"/>
              </w:rPr>
              <w:t>Nine months ended September 30,</w:t>
            </w:r>
          </w:p>
        </w:tc>
        <w:tc>
          <w:tcPr>
            <w:tcW w:w="0" w:type="dxa"/>
            <w:vAlign w:val="bottom"/>
          </w:tcPr>
          <w:p>
            <w:pPr>
              <w:spacing w:after="0"/>
              <w:rPr>
                <w:sz w:val="1"/>
                <w:szCs w:val="1"/>
                <w:color w:val="auto"/>
              </w:rPr>
            </w:pPr>
          </w:p>
        </w:tc>
      </w:tr>
      <w:tr>
        <w:trPr>
          <w:trHeight w:val="142"/>
        </w:trPr>
        <w:tc>
          <w:tcPr>
            <w:tcW w:w="31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2010</w:t>
            </w:r>
          </w:p>
        </w:tc>
        <w:tc>
          <w:tcPr>
            <w:tcW w:w="50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2010</w:t>
            </w: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United States</w:t>
            </w:r>
          </w:p>
        </w:tc>
        <w:tc>
          <w:tcPr>
            <w:tcW w:w="2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48,175</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31,148</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131,055</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85,369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16,410</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15,536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44,828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Rest of world</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3,000</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1,502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6,830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8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67,585</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48,186</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182,713</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2260" w:type="dxa"/>
            <w:vAlign w:val="bottom"/>
            <w:vMerge w:val="restart"/>
          </w:tcPr>
          <w:p>
            <w:pPr>
              <w:jc w:val="right"/>
              <w:ind w:right="12"/>
              <w:spacing w:after="0"/>
              <w:rPr>
                <w:sz w:val="20"/>
                <w:szCs w:val="20"/>
                <w:color w:val="auto"/>
              </w:rPr>
            </w:pPr>
            <w:r>
              <w:rPr>
                <w:rFonts w:ascii="Arial" w:cs="Arial" w:eastAsia="Arial" w:hAnsi="Arial"/>
                <w:sz w:val="18"/>
                <w:szCs w:val="18"/>
                <w:color w:val="auto"/>
              </w:rPr>
              <w:t>20</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180" w:type="dxa"/>
            <w:vAlign w:val="bottom"/>
          </w:tcPr>
          <w:p>
            <w:pPr>
              <w:spacing w:after="0"/>
              <w:rPr>
                <w:sz w:val="24"/>
                <w:szCs w:val="24"/>
                <w:color w:val="auto"/>
              </w:rPr>
            </w:pPr>
          </w:p>
        </w:tc>
        <w:tc>
          <w:tcPr>
            <w:tcW w:w="22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September 30, 2010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1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3"/>
              </w:rPr>
              <w:t>September 30,</w:t>
            </w:r>
          </w:p>
        </w:tc>
        <w:tc>
          <w:tcPr>
            <w:tcW w:w="1620" w:type="dxa"/>
            <w:vAlign w:val="bottom"/>
            <w:gridSpan w:val="4"/>
          </w:tcPr>
          <w:p>
            <w:pPr>
              <w:ind w:left="720"/>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6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2010</w:t>
            </w:r>
          </w:p>
        </w:tc>
        <w:tc>
          <w:tcPr>
            <w:tcW w:w="7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Fixed assets, net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India</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26,802</w:t>
            </w:r>
          </w:p>
        </w:tc>
        <w:tc>
          <w:tcPr>
            <w:tcW w:w="9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18,768</w:t>
            </w:r>
          </w:p>
        </w:tc>
        <w:tc>
          <w:tcPr>
            <w:tcW w:w="100" w:type="dxa"/>
            <w:vAlign w:val="bottom"/>
          </w:tcPr>
          <w:p>
            <w:pPr>
              <w:spacing w:after="0"/>
              <w:rPr>
                <w:sz w:val="18"/>
                <w:szCs w:val="18"/>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100" w:type="dxa"/>
            <w:vAlign w:val="bottom"/>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Philippines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2,382</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3,262</w:t>
            </w:r>
          </w:p>
        </w:tc>
        <w:tc>
          <w:tcPr>
            <w:tcW w:w="100" w:type="dxa"/>
            <w:vAlign w:val="bottom"/>
          </w:tcPr>
          <w:p>
            <w:pPr>
              <w:spacing w:after="0"/>
              <w:rPr>
                <w:sz w:val="18"/>
                <w:szCs w:val="18"/>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7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100" w:type="dxa"/>
            <w:vAlign w:val="bottom"/>
            <w:shd w:val="clear" w:color="auto" w:fill="CCEEFF"/>
          </w:tcPr>
          <w:p>
            <w:pPr>
              <w:spacing w:after="0"/>
              <w:rPr>
                <w:sz w:val="18"/>
                <w:szCs w:val="18"/>
                <w:color w:val="auto"/>
              </w:rPr>
            </w:pPr>
          </w:p>
        </w:tc>
      </w:tr>
      <w:tr>
        <w:trPr>
          <w:trHeight w:val="222"/>
        </w:trPr>
        <w:tc>
          <w:tcPr>
            <w:tcW w:w="624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31,470</w:t>
            </w:r>
          </w:p>
        </w:tc>
        <w:tc>
          <w:tcPr>
            <w:tcW w:w="9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23,964</w:t>
            </w:r>
          </w:p>
        </w:tc>
        <w:tc>
          <w:tcPr>
            <w:tcW w:w="100" w:type="dxa"/>
            <w:vAlign w:val="bottom"/>
          </w:tcPr>
          <w:p>
            <w:pPr>
              <w:spacing w:after="0"/>
              <w:rPr>
                <w:sz w:val="19"/>
                <w:szCs w:val="19"/>
                <w:color w:val="auto"/>
              </w:rPr>
            </w:pPr>
          </w:p>
        </w:tc>
      </w:tr>
      <w:tr>
        <w:trPr>
          <w:trHeight w:val="20"/>
        </w:trPr>
        <w:tc>
          <w:tcPr>
            <w:tcW w:w="6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240" w:right="8600" w:hanging="232"/>
        <w:spacing w:after="0" w:line="417" w:lineRule="auto"/>
        <w:tabs>
          <w:tab w:leader="none" w:pos="275" w:val="left"/>
        </w:tabs>
        <w:numPr>
          <w:ilvl w:val="0"/>
          <w:numId w:val="7"/>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b w:val="1"/>
          <w:bCs w:val="1"/>
          <w:i w:val="1"/>
          <w:iCs w:val="1"/>
          <w:color w:val="auto"/>
        </w:rPr>
        <w:t>Fixed Asset Commitments</w:t>
      </w:r>
    </w:p>
    <w:p>
      <w:pPr>
        <w:spacing w:after="0" w:line="1"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At September 30, 2010, the Company had committed to spend approximately $5,660 under agreements to purchase fixed assets. This amount is net of advances paid in respect of these purchases.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Company’s delivery centers or units in India have been established as 100% Export-Oriented units under the “Export Import Policy” (the “Policy”) or Software Technology Parks of India units (“STPI”) under the STPI guidelines issued by the Government of India that has provided the Company with certain incentives on imported and indigenous capital goods. Under the Policy, these units must achieve certain export ratios and realize revenues attributable to exports over a specified period. In the event that these units are unable to meet the requirements over the specified period, the Company may be required to refund these incentives along with penalties and fines. However, management believes that these units will continue to achieve the export levels within the required timeframe as they have consistently generated the required levels of export revenues.</w:t>
      </w:r>
    </w:p>
    <w:p>
      <w:pPr>
        <w:spacing w:after="0" w:line="12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ExlService Philippines, Inc. (“Exl Philippines”) is registered as an Ecozone IT Enterprise with the Philippines Economic Zone Authority. The registration has also provided the Company with certain incentives on the import of capital goods. Exl Philippines has an export obligation of $39,273 during the three year period ending March 2011.</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Contingencies</w:t>
      </w:r>
    </w:p>
    <w:p>
      <w:pPr>
        <w:spacing w:after="0" w:line="90"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U.S. and Indian transfer pricing regulations require that any international transaction involving associated enterprises be at an arm’s-length price. Transactions among the Company’s subsidiaries and the Company may be required to satisfy such requirements. Accordingly, the Company determines the pricing among its associated enterprises on the basis of detailed functional and economic analysis involving benchmarking against transactions among entities that are not under common control. The tax authorities have jurisdiction to review this arrangement and in the event that they determine that the transfer price applied was not appropriate, the Company may incur increased tax liability, including accrued interest and penalties. The Company is currently involved in disputes with the Indian tax authorities over the application of some of its transfer pricing policies.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459" w:right="2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The Company has received assessment orders from the Indian tax authorities with respect to their audit of certain of the Company’s subsidiaries. The Indian tax authorities are examining income tax returns for other tax years. There is a likelihood that the Company might receive assessment orders for other tax years until the disputes are resolved.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details of the assessment orders received from the Indian tax authorities as of September 30, 2010 are set forth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2"/>
                <w:szCs w:val="12"/>
                <w:color w:val="auto"/>
              </w:rPr>
            </w:pPr>
          </w:p>
        </w:tc>
        <w:tc>
          <w:tcPr>
            <w:tcW w:w="9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Deposited</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6"/>
              </w:rPr>
              <w:t>Demanded</w:t>
            </w:r>
          </w:p>
        </w:tc>
        <w:tc>
          <w:tcPr>
            <w:tcW w:w="30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(Including</w:t>
            </w:r>
          </w:p>
        </w:tc>
        <w:tc>
          <w:tcPr>
            <w:tcW w:w="120" w:type="dxa"/>
            <w:vAlign w:val="bottom"/>
          </w:tcPr>
          <w:p>
            <w:pPr>
              <w:spacing w:after="0"/>
              <w:rPr>
                <w:sz w:val="12"/>
                <w:szCs w:val="12"/>
                <w:color w:val="auto"/>
              </w:rPr>
            </w:pPr>
          </w:p>
        </w:tc>
        <w:tc>
          <w:tcPr>
            <w:tcW w:w="6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Bank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jc w:val="right"/>
              <w:ind w:right="136"/>
              <w:spacing w:after="0" w:line="149" w:lineRule="exact"/>
              <w:rPr>
                <w:sz w:val="20"/>
                <w:szCs w:val="20"/>
                <w:color w:val="auto"/>
              </w:rPr>
            </w:pPr>
            <w:r>
              <w:rPr>
                <w:rFonts w:ascii="Arial" w:cs="Arial" w:eastAsia="Arial" w:hAnsi="Arial"/>
                <w:sz w:val="14"/>
                <w:szCs w:val="14"/>
                <w:b w:val="1"/>
                <w:bCs w:val="1"/>
                <w:color w:val="auto"/>
              </w:rPr>
              <w:t>Tax</w:t>
            </w:r>
          </w:p>
        </w:tc>
        <w:tc>
          <w:tcPr>
            <w:tcW w:w="300" w:type="dxa"/>
            <w:vAlign w:val="bottom"/>
          </w:tcPr>
          <w:p>
            <w:pPr>
              <w:spacing w:after="0"/>
              <w:rPr>
                <w:sz w:val="12"/>
                <w:szCs w:val="12"/>
                <w:color w:val="auto"/>
              </w:rPr>
            </w:pPr>
          </w:p>
        </w:tc>
        <w:tc>
          <w:tcPr>
            <w:tcW w:w="6800" w:type="dxa"/>
            <w:vAlign w:val="bottom"/>
            <w:vMerge w:val="restart"/>
          </w:tcPr>
          <w:p>
            <w:pPr>
              <w:ind w:left="3260"/>
              <w:spacing w:after="0"/>
              <w:rPr>
                <w:sz w:val="20"/>
                <w:szCs w:val="20"/>
                <w:color w:val="auto"/>
              </w:rPr>
            </w:pPr>
            <w:r>
              <w:rPr>
                <w:rFonts w:ascii="Arial" w:cs="Arial" w:eastAsia="Arial" w:hAnsi="Arial"/>
                <w:sz w:val="14"/>
                <w:szCs w:val="14"/>
                <w:b w:val="1"/>
                <w:bCs w:val="1"/>
                <w:color w:val="auto"/>
              </w:rPr>
              <w:t>Issue</w:t>
            </w:r>
          </w:p>
        </w:tc>
        <w:tc>
          <w:tcPr>
            <w:tcW w:w="220" w:type="dxa"/>
            <w:vAlign w:val="bottom"/>
          </w:tcPr>
          <w:p>
            <w:pPr>
              <w:spacing w:after="0"/>
              <w:rPr>
                <w:sz w:val="12"/>
                <w:szCs w:val="12"/>
                <w:color w:val="auto"/>
              </w:rPr>
            </w:pPr>
          </w:p>
        </w:tc>
        <w:tc>
          <w:tcPr>
            <w:tcW w:w="6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9"/>
              </w:rPr>
              <w:t>(Including</w:t>
            </w:r>
          </w:p>
        </w:tc>
        <w:tc>
          <w:tcPr>
            <w:tcW w:w="300" w:type="dxa"/>
            <w:vAlign w:val="bottom"/>
          </w:tcPr>
          <w:p>
            <w:pPr>
              <w:spacing w:after="0"/>
              <w:rPr>
                <w:sz w:val="12"/>
                <w:szCs w:val="12"/>
                <w:color w:val="auto"/>
              </w:rPr>
            </w:pPr>
          </w:p>
        </w:tc>
        <w:tc>
          <w:tcPr>
            <w:tcW w:w="9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additional</w:t>
            </w:r>
          </w:p>
        </w:tc>
        <w:tc>
          <w:tcPr>
            <w:tcW w:w="7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Guarantee</w:t>
            </w:r>
          </w:p>
        </w:tc>
        <w:tc>
          <w:tcPr>
            <w:tcW w:w="0" w:type="dxa"/>
            <w:vAlign w:val="bottom"/>
          </w:tcPr>
          <w:p>
            <w:pPr>
              <w:spacing w:after="0"/>
              <w:rPr>
                <w:sz w:val="1"/>
                <w:szCs w:val="1"/>
                <w:color w:val="auto"/>
              </w:rPr>
            </w:pPr>
          </w:p>
        </w:tc>
      </w:tr>
      <w:tr>
        <w:trPr>
          <w:trHeight w:val="161"/>
        </w:trPr>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Entity</w:t>
            </w:r>
          </w:p>
        </w:tc>
        <w:tc>
          <w:tcPr>
            <w:tcW w:w="640" w:type="dxa"/>
            <w:vAlign w:val="bottom"/>
          </w:tcPr>
          <w:p>
            <w:pPr>
              <w:jc w:val="right"/>
              <w:ind w:right="96"/>
              <w:spacing w:after="0"/>
              <w:rPr>
                <w:sz w:val="20"/>
                <w:szCs w:val="20"/>
                <w:color w:val="auto"/>
              </w:rPr>
            </w:pPr>
            <w:r>
              <w:rPr>
                <w:rFonts w:ascii="Arial" w:cs="Arial" w:eastAsia="Arial" w:hAnsi="Arial"/>
                <w:sz w:val="14"/>
                <w:szCs w:val="14"/>
                <w:b w:val="1"/>
                <w:bCs w:val="1"/>
                <w:color w:val="auto"/>
              </w:rPr>
              <w:t>Year</w:t>
            </w:r>
          </w:p>
        </w:tc>
        <w:tc>
          <w:tcPr>
            <w:tcW w:w="300" w:type="dxa"/>
            <w:vAlign w:val="bottom"/>
          </w:tcPr>
          <w:p>
            <w:pPr>
              <w:spacing w:after="0"/>
              <w:rPr>
                <w:sz w:val="14"/>
                <w:szCs w:val="14"/>
                <w:color w:val="auto"/>
              </w:rPr>
            </w:pPr>
          </w:p>
        </w:tc>
        <w:tc>
          <w:tcPr>
            <w:tcW w:w="6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Interest)</w:t>
            </w:r>
          </w:p>
        </w:tc>
        <w:tc>
          <w:tcPr>
            <w:tcW w:w="300" w:type="dxa"/>
            <w:vAlign w:val="bottom"/>
          </w:tcPr>
          <w:p>
            <w:pPr>
              <w:spacing w:after="0"/>
              <w:rPr>
                <w:sz w:val="14"/>
                <w:szCs w:val="14"/>
                <w:color w:val="auto"/>
              </w:rPr>
            </w:pPr>
          </w:p>
        </w:tc>
        <w:tc>
          <w:tcPr>
            <w:tcW w:w="920" w:type="dxa"/>
            <w:vAlign w:val="bottom"/>
            <w:gridSpan w:val="3"/>
          </w:tcPr>
          <w:p>
            <w:pPr>
              <w:ind w:left="60"/>
              <w:spacing w:after="0"/>
              <w:rPr>
                <w:sz w:val="20"/>
                <w:szCs w:val="20"/>
                <w:color w:val="auto"/>
              </w:rPr>
            </w:pPr>
            <w:r>
              <w:rPr>
                <w:rFonts w:ascii="Arial" w:cs="Arial" w:eastAsia="Arial" w:hAnsi="Arial"/>
                <w:sz w:val="14"/>
                <w:szCs w:val="14"/>
                <w:b w:val="1"/>
                <w:bCs w:val="1"/>
                <w:color w:val="auto"/>
              </w:rPr>
              <w:t>Interest)</w:t>
            </w:r>
          </w:p>
        </w:tc>
        <w:tc>
          <w:tcPr>
            <w:tcW w:w="12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rPr>
              <w:t>Issued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Exl India</w:t>
            </w:r>
          </w:p>
        </w:tc>
        <w:tc>
          <w:tcPr>
            <w:tcW w:w="6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3"/>
              </w:rPr>
              <w:t>2003-04</w:t>
            </w:r>
          </w:p>
        </w:tc>
        <w:tc>
          <w:tcPr>
            <w:tcW w:w="300" w:type="dxa"/>
            <w:vAlign w:val="bottom"/>
            <w:shd w:val="clear" w:color="auto" w:fill="CCEEFF"/>
          </w:tcPr>
          <w:p>
            <w:pPr>
              <w:spacing w:after="0"/>
              <w:rPr>
                <w:sz w:val="17"/>
                <w:szCs w:val="17"/>
                <w:color w:val="auto"/>
              </w:rPr>
            </w:pPr>
          </w:p>
        </w:tc>
        <w:tc>
          <w:tcPr>
            <w:tcW w:w="6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The assessment order alleges that the transfer price we applied to transactions between EXL</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w w:val="95"/>
              </w:rPr>
              <w:t>India and EXL Inc. in the 2003-04 tax year was not appropriate and also disallows certain</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expenses claimed as tax deductible by EXL India.</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2,164</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2,164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auto"/>
              </w:rPr>
              <w:t>Exl India</w:t>
            </w:r>
          </w:p>
        </w:tc>
        <w:tc>
          <w:tcPr>
            <w:tcW w:w="640" w:type="dxa"/>
            <w:vAlign w:val="bottom"/>
          </w:tcPr>
          <w:p>
            <w:pPr>
              <w:jc w:val="right"/>
              <w:spacing w:after="0"/>
              <w:rPr>
                <w:sz w:val="20"/>
                <w:szCs w:val="20"/>
                <w:color w:val="auto"/>
              </w:rPr>
            </w:pPr>
            <w:r>
              <w:rPr>
                <w:rFonts w:ascii="Arial" w:cs="Arial" w:eastAsia="Arial" w:hAnsi="Arial"/>
                <w:sz w:val="18"/>
                <w:szCs w:val="18"/>
                <w:color w:val="auto"/>
                <w:w w:val="93"/>
              </w:rPr>
              <w:t>2004-05</w:t>
            </w:r>
          </w:p>
        </w:tc>
        <w:tc>
          <w:tcPr>
            <w:tcW w:w="30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w w:val="91"/>
              </w:rPr>
              <w:t>The assessment order alleges that the transfer price we applied to transactions between EXL</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w w:val="94"/>
              </w:rPr>
              <w:t>India and EXL Inc. for the 2004-05 tax year was not appropriate and also disallows certain</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expenses claimed as tax deductible by EXL India.</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2,097</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2,097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Exl India</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2005-06</w:t>
            </w:r>
          </w:p>
        </w:tc>
        <w:tc>
          <w:tcPr>
            <w:tcW w:w="300" w:type="dxa"/>
            <w:vAlign w:val="bottom"/>
            <w:shd w:val="clear" w:color="auto" w:fill="CCEEFF"/>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w w:val="91"/>
              </w:rPr>
              <w:t>The assessment order alleges that the transfer price we applied to transactions between EXL</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w w:val="94"/>
              </w:rPr>
              <w:t>India and EXL Inc. for the 2005-06 tax year was not appropriate and also disallows certain</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expenses claimed as tax deductible by EXL India.</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5,576</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5,576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auto"/>
              </w:rPr>
              <w:t>Exl India</w:t>
            </w:r>
          </w:p>
        </w:tc>
        <w:tc>
          <w:tcPr>
            <w:tcW w:w="640" w:type="dxa"/>
            <w:vAlign w:val="bottom"/>
          </w:tcPr>
          <w:p>
            <w:pPr>
              <w:jc w:val="right"/>
              <w:spacing w:after="0"/>
              <w:rPr>
                <w:sz w:val="20"/>
                <w:szCs w:val="20"/>
                <w:color w:val="auto"/>
              </w:rPr>
            </w:pPr>
            <w:r>
              <w:rPr>
                <w:rFonts w:ascii="Arial" w:cs="Arial" w:eastAsia="Arial" w:hAnsi="Arial"/>
                <w:sz w:val="18"/>
                <w:szCs w:val="18"/>
                <w:color w:val="auto"/>
                <w:w w:val="93"/>
              </w:rPr>
              <w:t>2006-07</w:t>
            </w:r>
          </w:p>
        </w:tc>
        <w:tc>
          <w:tcPr>
            <w:tcW w:w="30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w w:val="91"/>
              </w:rPr>
              <w:t>The assessment order alleges that the transfer price we applied to transactions between EXL</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w w:val="94"/>
              </w:rPr>
              <w:t>India and EXL Inc. for the 2006-07 tax year was not appropriate and also disallows certain</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expenses claimed as tax deductible by EXL India.</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3,868</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Exl Inc.</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2003-04</w:t>
            </w:r>
          </w:p>
        </w:tc>
        <w:tc>
          <w:tcPr>
            <w:tcW w:w="300" w:type="dxa"/>
            <w:vAlign w:val="bottom"/>
            <w:shd w:val="clear" w:color="auto" w:fill="CCEEFF"/>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The assessment order alleges that EXL Inc. has a permanent establishment in India.</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3,994</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1,558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auto"/>
              </w:rPr>
              <w:t>Exl Inc.</w:t>
            </w:r>
          </w:p>
        </w:tc>
        <w:tc>
          <w:tcPr>
            <w:tcW w:w="640" w:type="dxa"/>
            <w:vAlign w:val="bottom"/>
          </w:tcPr>
          <w:p>
            <w:pPr>
              <w:jc w:val="right"/>
              <w:spacing w:after="0"/>
              <w:rPr>
                <w:sz w:val="20"/>
                <w:szCs w:val="20"/>
                <w:color w:val="auto"/>
              </w:rPr>
            </w:pPr>
            <w:r>
              <w:rPr>
                <w:rFonts w:ascii="Arial" w:cs="Arial" w:eastAsia="Arial" w:hAnsi="Arial"/>
                <w:sz w:val="18"/>
                <w:szCs w:val="18"/>
                <w:color w:val="auto"/>
                <w:w w:val="93"/>
              </w:rPr>
              <w:t>2004-05</w:t>
            </w:r>
          </w:p>
        </w:tc>
        <w:tc>
          <w:tcPr>
            <w:tcW w:w="30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The assessment order alleges that EXL Inc. has a permanent establishment in India.</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103</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Exl Inc.</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2005-06</w:t>
            </w:r>
          </w:p>
        </w:tc>
        <w:tc>
          <w:tcPr>
            <w:tcW w:w="300" w:type="dxa"/>
            <w:vAlign w:val="bottom"/>
            <w:shd w:val="clear" w:color="auto" w:fill="CCEEFF"/>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The assessment order alleges that EXL Inc. has a permanent establishment in India.</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9"/>
              </w:rPr>
              <w:t>455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auto"/>
              </w:rPr>
              <w:t>Exl Inc.</w:t>
            </w:r>
          </w:p>
        </w:tc>
        <w:tc>
          <w:tcPr>
            <w:tcW w:w="640" w:type="dxa"/>
            <w:vAlign w:val="bottom"/>
          </w:tcPr>
          <w:p>
            <w:pPr>
              <w:jc w:val="right"/>
              <w:spacing w:after="0"/>
              <w:rPr>
                <w:sz w:val="20"/>
                <w:szCs w:val="20"/>
                <w:color w:val="auto"/>
              </w:rPr>
            </w:pPr>
            <w:r>
              <w:rPr>
                <w:rFonts w:ascii="Arial" w:cs="Arial" w:eastAsia="Arial" w:hAnsi="Arial"/>
                <w:sz w:val="18"/>
                <w:szCs w:val="18"/>
                <w:color w:val="auto"/>
                <w:w w:val="93"/>
              </w:rPr>
              <w:t>2006-07</w:t>
            </w:r>
          </w:p>
        </w:tc>
        <w:tc>
          <w:tcPr>
            <w:tcW w:w="30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The assessment order alleges that EXL Inc. has a permanent establishment in India.</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1,313</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19,971</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11,841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Based on advice from its Indian tax advisors, the facts underlying its position and its experience with these types of assessments, the Company believes that the probability of loss is remote and accordingly has not accrued any amount with respect to these matters in its unaudited consolidated financial statements. With the exception of the assessment orders relating to the 2006-07 tax year of EXL India and the 2006-07 tax year of Exl Inc. (which order was received subsequent to September 30, 2010), the Company has deposited amounts with the Indian government and provided bank guarantees. The Company does not expect any impact from these assessments on its future income tax expense.</w:t>
      </w:r>
    </w:p>
    <w:p>
      <w:pPr>
        <w:spacing w:after="0" w:line="116"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Amounts paid as deposits in respect of the assessments described above aggregating to $11,841 and $7,770 as of September 30, 2010 and December 31, 2009, respectively, are included in “Other assets” and amounts deposited for bank guarantees aggregating to $2,949 and $2,847 as of September 30, 2010 and December 31, 2009, respectively, are included in “Restricted cash” in the Company’s unaudited consolidated balance sheet as of September 30, 2010 and the audited consolidated balance sheet as of December 31, 2009.</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You should read the following discussion in connection with our unaudited consolidated financial statements and the related notes included elsewhere in this Quarterly Report on Form 10-Q and our audited consolidated financial statements and the related notes included in our Annual Report on Form 10-K for the fiscal year ended December 31, 2009. Some of the statements in the following discussion are forward looking statements. See “Forward Looking Statements.” Dollar amounts within Item 2 are presented as actual dollar amounts.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are a leading provider of outsourcing and transformation services focused on providing a competitive edge to our clients by outsourcing and transforming their business processes. Our outsourcing services provide integrated front-, middle- and back-office process outsourcing services for our principally U.S.-based and U.K.-based clients. Outsourcing services involve the transfer to us of select business operations of a client, such as claims processing, finance and accounting and customer service, after which we administer and manage the operations for our client on an ongoing basis. We also offer a number of transformation services that include decision analytics, risk and financial management and operations and process excellence services. These transformation services help our clients improve their operating environments through cost reduction, enhanced efficiency and productivity initiatives, and improve the risk and control environments within our clients’ operations whether or not they are outsourced to us. A significant portion of our business relates to processes that we believe are integral to our clients’ operations, and the close nature of our relationships with our clients assists us in developing strong strategic long-term relationships with them. We serve primarily the needs of Global 1000 companies in the insurance, utilities, banking and financial services, transportation and logistics, and travel sectors.</w:t>
      </w:r>
    </w:p>
    <w:p>
      <w:pPr>
        <w:spacing w:after="0" w:line="12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We market our services directly through our sales and marketing and strategic account management teams, which operate out of the United States and the United Kingdom, and our business development team, which operates out of Noida, India. We currently operate eleven operations centers in India, including a new operations center in Jaipur, India, which became operational in July 2010, one operations center in the Philippines, one operations center in Cluj, Romania and one operations center in Olomouc, the Czech Republic. We are also in the process of establishing a new operations center in Noida, India.</w:t>
      </w:r>
    </w:p>
    <w:p>
      <w:pPr>
        <w:spacing w:after="0" w:line="113"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On March 1, 2010, we acquired the operations of the American Express Global Travel Service Center (“GTSC”), a business unit of American Express located in Gurgaon, India, that provides the travel-related business process outsourcing services of American Express. The purchase price for the GTSC, which was paid in cash, was approximately $29.1 million. Through this transaction, we have started to provide services to the travel vertical, have deepened our relationship with one of our key clients and expanded our capability set in analytics, exception processing and transaction processing.</w:t>
      </w:r>
    </w:p>
    <w:p>
      <w:pPr>
        <w:spacing w:after="0" w:line="11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On May 1, 2010, we acquired a 100% stake in Professional Data Management Again, Inc. (“PDMA”), maker of the LifePRO</w:t>
      </w:r>
      <w:r>
        <w:rPr>
          <w:rFonts w:ascii="Arial" w:cs="Arial" w:eastAsia="Arial" w:hAnsi="Arial"/>
          <w:sz w:val="11"/>
          <w:szCs w:val="11"/>
          <w:color w:val="auto"/>
        </w:rPr>
        <w:t>®</w:t>
      </w:r>
      <w:r>
        <w:rPr>
          <w:rFonts w:ascii="Arial" w:cs="Arial" w:eastAsia="Arial" w:hAnsi="Arial"/>
          <w:sz w:val="18"/>
          <w:szCs w:val="18"/>
          <w:color w:val="auto"/>
        </w:rPr>
        <w:t xml:space="preserve"> insurance policy administration system used by approximately 40 life, health and annuity insurers globally. The purchase price for PDMA, which was paid in cash, was approximately $14.1 million (including cash acquired of $1.0 million), net of working capital adjustments. The PDMA acquisition has provided us an end-to-end policy administration solution for our clients along a wide range of insurance products.</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generate revenues principally from contracts to provide outsourcing and transformation services. For the three and nine months ended September 30, 2010, we had total revenues of $67.6 million and $182.7 million, respectively, compared to total revenues of $48.2 million and $131.6 million, respectively, in the three and nine months ended September 30, 2009, an increase of $19.4 million and $51.1 million, respectively, or 40.3% and 38.9%, respectively. Revenues from outsourcing services were higher by $12.8 million and $33.0 million in the three and nine months ended September 30, 2010, respectively, compared to the three and nine months ended September 30, 2009. Revenues from transformation services were higher by $6.6 million and $18.1 million during the three and nine months ended September 30, 2010 compared to the three and nine months ended September 30, 2009.</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anticipate that our revenues will grow as we expand our service offerings and client base, both organically and through acquisitions. We provide our clients with a range of outsourcing services, including insurance services, banking and financial services, utilities support services, finance and accounting services, and collection services. Our clients transfer the management and execution of their processes or business functions to us. As part of this transfer, we hire and train employees to work at our operations centers on the relevant outsourcing services, implement a process migration to these operations centers and then provide services either to the client or directly to the client’s customers. Each client contract has different terms based on the scope, deliverables and complexity of the engagement. The outsourcing services we provide to any of our clients (particularly under our general framework agreements), and the revenues and income that we derive from those services, may decline or vary as the type and quantity of services we provide under those contracts change over time, including as a result of a shift in the mix of products and services we provide.</w:t>
      </w:r>
    </w:p>
    <w:p>
      <w:pPr>
        <w:spacing w:after="0" w:line="11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For outsourcing services, we enter into long-term agreements with our clients with initial terms ranging generally from three to five years. Some client contracts have significantly longer terms. Although these agreements provide us with a relatively predictable revenue base for a substantial portion of our business, the long selling cycle for our outsourcing services and the budget and approval processes of prospective clients make it difficult to predict the timing of new client acquisitions. Revenues under new client contracts also vary depending on when we complete the selling cycle and the implementation phase.</w:t>
      </w:r>
    </w:p>
    <w:p>
      <w:pPr>
        <w:spacing w:after="0" w:line="11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Our transformation services include various services such as decision analytics services, which are intended to facilitate more effective data-based strategic and operating decisions by our clients, risk and financial management services and operations and process excellence services.</w:t>
      </w:r>
    </w:p>
    <w:p>
      <w:pPr>
        <w:spacing w:after="0" w:line="85"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Our transformation services can be significantly affected by variations in business cycles. In addition, our transformation services consist primarily of specific projects with contract terms generally not exceeding one year and may not produce ongoing or recurring business for us once the project is completed. These contracts also usually contain provisions permitting termination of the contract after a short notice period. The short-term nature and specificity of these projects could lead to further material fluctuations and uncertainties in the revenues generated from these businesses.</w:t>
      </w:r>
    </w:p>
    <w:p>
      <w:pPr>
        <w:spacing w:after="0" w:line="11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serve clients mainly in the United States and the United Kingdom, with these two regions generating approximately 71.3% and 24.3%, respectively, of our total revenues for the three months ended September 30, 2010 and approximately 64.6% and 32.2%, respectively, of our total revenues for the three months ended September 30, 2009. For the nine months ended September 30, 2010, these two regions generated approximately 71.7% and 24.5%, respectively, of our total revenues and approximately 64.9% and 33.5%, respectively, of our total revenues for the nine months ended September 30, 2009.</w:t>
      </w:r>
    </w:p>
    <w:p>
      <w:pPr>
        <w:spacing w:after="0" w:line="11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We derive a significant portion of our revenues from a limited number of large clients. In the three months ended September 30, 2010 and 2009, our total revenues from our three largest clients were $27.1 million and $21.9 million, respectively, accounting for 40.1% and 45.5% of our total revenues, respectively, during these periods. In the nine months ended September 30, 2010 and 2009, our total revenues from our three largest clients were $75.3 million and $58.5 million, respectively, accounting for 41.2% and 44.5% of our total revenues, respectively, during these periods.</w:t>
      </w:r>
    </w:p>
    <w:p>
      <w:pPr>
        <w:spacing w:after="0" w:line="11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provide services to Centrica, which represented $9.7 million, or 14.3%, and $28.7 million, or 15.7% of our total revenues for the three and nine months ended September 30, 2010, and $10.6 million, or 21.9%, and $29.2 million, or 22.2 % of our total revenues for the three and nine months ended September 30, 2009, under an agreement that is scheduled to expire in April 2012. Centrica may terminate the agreement without cause upon three months prior notice and payment of a breakup fee.</w:t>
      </w:r>
    </w:p>
    <w:p>
      <w:pPr>
        <w:spacing w:after="0" w:line="143"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color w:val="auto"/>
        </w:rPr>
        <w:t>We provide services to Travelers, which represented $9.6 million, or 14.1%, and $26.6 million, or 14.6% of our total revenues for the three and nine months ended September 30, 2010, and $6.9 million, or 14.4%, and $17.5 million, or 13.3% of our total revenues for the three and nine months ended September 30, 2009, under a services agreement. Travelers may terminate the services agreement, or any work assignment or work order thereunder, each of which expires in December 2013, without cause upon 60 days prior notice.</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firstLine="456"/>
        <w:spacing w:after="0" w:line="302" w:lineRule="auto"/>
        <w:rPr>
          <w:sz w:val="20"/>
          <w:szCs w:val="20"/>
          <w:color w:val="auto"/>
        </w:rPr>
      </w:pPr>
      <w:r>
        <w:rPr>
          <w:rFonts w:ascii="Arial" w:cs="Arial" w:eastAsia="Arial" w:hAnsi="Arial"/>
          <w:sz w:val="15"/>
          <w:szCs w:val="15"/>
          <w:color w:val="auto"/>
        </w:rPr>
        <w:t>We provide services to subsidiaries of American Express Company (“American Express”) under (i) a master services agreement for our outsourcing services, which agreement cannot be terminated by American Express for convenience and which provides us with a minimum volume commitment over a period of eight years and (ii) a master agreement for our transformation services, which agreement may be terminated by American Express for convenience upon five days prior written notice. Our aggregate revenues from outsourcing services and transformation services from American Express represented $7.9 million, or</w:t>
      </w:r>
    </w:p>
    <w:p>
      <w:pPr>
        <w:spacing w:after="0" w:line="3"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11.6%, and $20.0 million, or 11.0% of our total revenues for the three and nine months ended September 30, 2010, respectively. Revenues for the three and nine months ended September 30, 2009 were insignificant as a percentage of our total revenues.</w:t>
      </w:r>
    </w:p>
    <w:p>
      <w:pPr>
        <w:spacing w:after="0" w:line="138" w:lineRule="exact"/>
        <w:rPr>
          <w:sz w:val="20"/>
          <w:szCs w:val="20"/>
          <w:color w:val="auto"/>
        </w:rPr>
      </w:pPr>
    </w:p>
    <w:p>
      <w:pPr>
        <w:ind w:right="220" w:firstLine="456"/>
        <w:spacing w:after="0" w:line="335" w:lineRule="auto"/>
        <w:rPr>
          <w:sz w:val="20"/>
          <w:szCs w:val="20"/>
          <w:color w:val="auto"/>
        </w:rPr>
      </w:pPr>
      <w:r>
        <w:rPr>
          <w:rFonts w:ascii="Arial" w:cs="Arial" w:eastAsia="Arial" w:hAnsi="Arial"/>
          <w:sz w:val="15"/>
          <w:szCs w:val="15"/>
          <w:color w:val="auto"/>
        </w:rPr>
        <w:t>We derived revenues from four and five new clients for our services, in the three months ended September 30, 2010 and 2009, respectively, and fourteen and ten new clients for our services, in the nine months ended September 30, 2010 and 2009, respectively. Although we are increasing and diversifying our customer base, we expect in the near future that a significant portion of our revenues will continue to be contributed by a limited number of large clients.</w:t>
      </w:r>
    </w:p>
    <w:p>
      <w:pPr>
        <w:spacing w:after="0" w:line="8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Revenues also include amounts representing reimbursable expenses that are billed to and reimbursed by our clients and typically include telecommunication and travel-related costs. The amount of reimbursable expenses that we incur, and any resulting revenues, can vary significantly from period to period depending on each client’s situation and on the type of services provided. For the three months ended September 30, 2010 and 2009, 4.2% and 5.3%, respectively, of our revenues represent reimbursement of such expenses. For the nine months ended September 30, 2010 and 2009, 4.4% and 5.0%, respectively, of our revenues represent reimbursement of such expenses.</w:t>
      </w:r>
    </w:p>
    <w:p>
      <w:pPr>
        <w:spacing w:after="0" w:line="143"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To the extent our client contracts do not contain provisions to the contrary, we bear the risk of inflation and fluctuations in currency exchange rates with respect to our contracts. We hedge a substantial portion of our Indian rupee/U.S. dollar and U.K. pound sterling/U.S. dollar foreign currency exposure.</w:t>
      </w:r>
    </w:p>
    <w:p>
      <w:pPr>
        <w:spacing w:after="0" w:line="85" w:lineRule="exact"/>
        <w:rPr>
          <w:sz w:val="20"/>
          <w:szCs w:val="20"/>
          <w:color w:val="auto"/>
        </w:rPr>
      </w:pPr>
    </w:p>
    <w:p>
      <w:pPr>
        <w:ind w:right="20" w:firstLine="456"/>
        <w:spacing w:after="0" w:line="310" w:lineRule="auto"/>
        <w:rPr>
          <w:sz w:val="20"/>
          <w:szCs w:val="20"/>
          <w:color w:val="auto"/>
        </w:rPr>
      </w:pPr>
      <w:r>
        <w:rPr>
          <w:rFonts w:ascii="Arial" w:cs="Arial" w:eastAsia="Arial" w:hAnsi="Arial"/>
          <w:sz w:val="15"/>
          <w:szCs w:val="15"/>
          <w:color w:val="auto"/>
        </w:rPr>
        <w:t>Our management has observed in recent periods a shift in industry pricing models toward transaction-based pricing and other pricing models. We believe this trend will continue and we have begun to use transaction-based and other pricing models with some of our current clients and are seeking to move certain other clients from a billing rate model to a transaction-based or other pricing model. Such models place the focus on operating efficiency in order to maintain our operating margins. In addition, we have also observed that prospective larger clients are entering into multi-vendor relationships with regard to their outsourcing needs. We believe that the trend toward multi-vendor relationships will continue. A multi-vendor relationship allows a client to seek more favorable pricing and other contract terms from each vendor, which can result in significantly reduced operating margins from the provision of services to such client for each vendor. To the extent our large clients expand their use of multi-vendor relationships and are able to extract more favorable contract terms from other vendors, our operating margins and revenues may be reduced with regard to such clients to the extent we are required to modify the terms of our relationship with such clients.</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a description of our critical accounting policies and estimates, refer to our Annual Report on Form 10-K for the year ended December 31, 2009.</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Results of Operations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results of operations: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80" w:type="dxa"/>
            <w:vAlign w:val="bottom"/>
            <w:gridSpan w:val="6"/>
          </w:tcPr>
          <w:p>
            <w:pPr>
              <w:jc w:val="center"/>
              <w:ind w:right="760"/>
              <w:spacing w:after="0"/>
              <w:rPr>
                <w:sz w:val="20"/>
                <w:szCs w:val="20"/>
                <w:color w:val="auto"/>
              </w:rPr>
            </w:pPr>
            <w:r>
              <w:rPr>
                <w:rFonts w:ascii="Arial" w:cs="Arial" w:eastAsia="Arial" w:hAnsi="Arial"/>
                <w:sz w:val="14"/>
                <w:szCs w:val="14"/>
                <w:b w:val="1"/>
                <w:bCs w:val="1"/>
                <w:color w:val="auto"/>
                <w:w w:val="85"/>
              </w:rPr>
              <w:t>Three months ended September 30,</w:t>
            </w:r>
          </w:p>
        </w:tc>
        <w:tc>
          <w:tcPr>
            <w:tcW w:w="140" w:type="dxa"/>
            <w:vAlign w:val="bottom"/>
          </w:tcPr>
          <w:p>
            <w:pPr>
              <w:spacing w:after="0"/>
              <w:rPr>
                <w:sz w:val="14"/>
                <w:szCs w:val="14"/>
                <w:color w:val="auto"/>
              </w:rPr>
            </w:pPr>
          </w:p>
        </w:tc>
        <w:tc>
          <w:tcPr>
            <w:tcW w:w="23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5"/>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2010</w:t>
            </w:r>
          </w:p>
        </w:tc>
        <w:tc>
          <w:tcPr>
            <w:tcW w:w="4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0"/>
              </w:rPr>
              <w:t>(in million)</w:t>
            </w: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2009</w:t>
            </w:r>
          </w:p>
        </w:tc>
        <w:tc>
          <w:tcPr>
            <w:tcW w:w="6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2010</w:t>
            </w:r>
          </w:p>
        </w:tc>
        <w:tc>
          <w:tcPr>
            <w:tcW w:w="660" w:type="dxa"/>
            <w:vAlign w:val="bottom"/>
            <w:tcBorders>
              <w:top w:val="single" w:sz="8" w:color="auto"/>
              <w:bottom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0"/>
              </w:rPr>
              <w:t>(in million)</w:t>
            </w: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67.6</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48.2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Cost of revenues (exclusive of depreciation and amortization)(2)</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40.6</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28.8</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109.5</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27.0</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19.4</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22"/>
        </w:trPr>
        <w:tc>
          <w:tcPr>
            <w:tcW w:w="522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6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General and administrative expenses(3)</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7.8</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tcPr>
          <w:p>
            <w:pPr>
              <w:ind w:left="420"/>
              <w:spacing w:after="0"/>
              <w:rPr>
                <w:sz w:val="20"/>
                <w:szCs w:val="20"/>
                <w:color w:val="auto"/>
              </w:rPr>
            </w:pPr>
            <w:r>
              <w:rPr>
                <w:rFonts w:ascii="Arial" w:cs="Arial" w:eastAsia="Arial" w:hAnsi="Arial"/>
                <w:sz w:val="18"/>
                <w:szCs w:val="18"/>
                <w:color w:val="auto"/>
              </w:rPr>
              <w:t>Selling and marketing expenses(3)</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14.1</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Depreciation and amortization expenses(4)</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
        </w:trPr>
        <w:tc>
          <w:tcPr>
            <w:tcW w:w="5220" w:type="dxa"/>
            <w:vAlign w:val="bottom"/>
            <w:gridSpan w:val="3"/>
            <w:vMerge w:val="restart"/>
          </w:tcPr>
          <w:p>
            <w:pPr>
              <w:spacing w:after="0"/>
              <w:rPr>
                <w:sz w:val="20"/>
                <w:szCs w:val="20"/>
                <w:color w:val="auto"/>
              </w:rPr>
            </w:pPr>
            <w:r>
              <w:rPr>
                <w:rFonts w:ascii="Arial" w:cs="Arial" w:eastAsia="Arial" w:hAnsi="Arial"/>
                <w:sz w:val="18"/>
                <w:szCs w:val="18"/>
                <w:color w:val="auto"/>
              </w:rPr>
              <w:t>Total operating expenses</w:t>
            </w:r>
          </w:p>
        </w:tc>
        <w:tc>
          <w:tcPr>
            <w:tcW w:w="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20" w:type="dxa"/>
            <w:vAlign w:val="bottom"/>
            <w:gridSpan w:val="3"/>
            <w:vMerge w:val="continue"/>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20.0</w:t>
            </w: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14.2</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54.5</w:t>
            </w: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5.2</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Other income/(expense):</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 exchange gain/(loss)</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tcPr>
          <w:p>
            <w:pPr>
              <w:ind w:left="420"/>
              <w:spacing w:after="0"/>
              <w:rPr>
                <w:sz w:val="20"/>
                <w:szCs w:val="20"/>
                <w:color w:val="auto"/>
              </w:rPr>
            </w:pPr>
            <w:r>
              <w:rPr>
                <w:rFonts w:ascii="Arial" w:cs="Arial" w:eastAsia="Arial" w:hAnsi="Arial"/>
                <w:sz w:val="18"/>
                <w:szCs w:val="18"/>
                <w:color w:val="auto"/>
              </w:rPr>
              <w:t>Interest and other income</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0.3</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Income tax provision</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0.4</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(0.5)</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Loss from discontinued operations, net of taxes</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0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00" w:hanging="452"/>
        <w:spacing w:after="0" w:line="254"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Revenues include reimbursable expenses of $2.8 million and $2.6 million for the three months ended September 30, 2010 and 2009, respectively, and $8.0 million and $6.6 million for the nine months ended September 30, 2010 and 2009, respectively.</w:t>
      </w:r>
    </w:p>
    <w:p>
      <w:pPr>
        <w:ind w:left="460" w:right="160" w:hanging="452"/>
        <w:spacing w:after="0" w:line="250"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 of revenues includes $0.5 million and $0.3 million for the three months ended September 30, 2010 and 2009, respectively, and $1.5 million and $1.1 million for the nine months ended September 30, 2010 and 2009, respectively, of non-cash amortization of stock compensation expense relating to the issuance of equity awards to employees directly involved in providing services to our clients as described in Note 13 to our Unaudited Consolidated Financial Statements contained herein.</w:t>
      </w:r>
    </w:p>
    <w:p>
      <w:pPr>
        <w:spacing w:after="0" w:line="1" w:lineRule="exact"/>
        <w:rPr>
          <w:rFonts w:ascii="Arial" w:cs="Arial" w:eastAsia="Arial" w:hAnsi="Arial"/>
          <w:sz w:val="18"/>
          <w:szCs w:val="18"/>
          <w:color w:val="auto"/>
        </w:rPr>
      </w:pPr>
    </w:p>
    <w:p>
      <w:pPr>
        <w:ind w:left="460" w:right="140" w:hanging="452"/>
        <w:spacing w:after="0" w:line="250"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General and administrative expenses and selling and marketing expenses include $1.7 million and $1.5 million for the three months ended September 30, 2010 and 2009, respectively, and $4.9 million and $4.3 million for the nine months ended September 30, 2010 and 2009, respectively, of non-cash amortization of stock compensation expense relating to the issuance of equity awards to our non-operations staff as described in Note 13 to our Unaudited Consolidated Financial Statements contained herein.</w:t>
      </w:r>
    </w:p>
    <w:p>
      <w:pPr>
        <w:spacing w:after="0" w:line="1" w:lineRule="exact"/>
        <w:rPr>
          <w:rFonts w:ascii="Arial" w:cs="Arial" w:eastAsia="Arial" w:hAnsi="Arial"/>
          <w:sz w:val="18"/>
          <w:szCs w:val="18"/>
          <w:color w:val="auto"/>
        </w:rPr>
      </w:pPr>
    </w:p>
    <w:p>
      <w:pPr>
        <w:ind w:left="460" w:hanging="452"/>
        <w:spacing w:after="0" w:line="255"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Depreciation and amortization expenses include $0.7 million and $0.1 million for the three months ended September 30, 2010 and 2009, respectively, and $1.4 million and $0.1 million for the nine months ended September 30, 2010 and 2009, respectively, of amortization of intangibles as described in Note 5 to our Unaudited Consolidated Financial Statements contained herein.</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Three Months Ended September 30, 2010 Compared to Three Months Ended September 30, 2009</w:t>
      </w:r>
    </w:p>
    <w:p>
      <w:pPr>
        <w:spacing w:after="0" w:line="90"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b w:val="1"/>
          <w:bCs w:val="1"/>
          <w:i w:val="1"/>
          <w:iCs w:val="1"/>
          <w:color w:val="auto"/>
        </w:rPr>
        <w:t xml:space="preserve">Revenues </w:t>
      </w:r>
      <w:r>
        <w:rPr>
          <w:rFonts w:ascii="Arial" w:cs="Arial" w:eastAsia="Arial" w:hAnsi="Arial"/>
          <w:sz w:val="15"/>
          <w:szCs w:val="15"/>
          <w:color w:val="auto"/>
        </w:rPr>
        <w:t>Revenues increased 40.3% from $48.2 million for the three months ended September 30, 2009 to $67.6 million for the three months ended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September 30, 2010. Revenues from outsourcing services increased from $37.7 million for the three months ended September 30, 2009 to $50.5 million for the three months ended September 30, 2010. The increase in revenues from outsourcing services is primarily driven by revenues from our acquisitions of $8.7 million, net volume increases within existing and new clients aggregating to $3.6 million and revenues of $0.5 million due to the appreciation of the Indian rupee against the U.S. dollar and the U.K. pound sterling during the three months ended September 30, 2010 compared to the three months ended September 30, 2009.</w:t>
      </w:r>
    </w:p>
    <w:p>
      <w:pPr>
        <w:spacing w:after="0" w:line="10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Revenues from transformation services increased from $10.5 million for the three months ended September 30, 2009 to $17.1 million for the three months ended September 30, 2010. The increase is primarily due to a combination of increased revenues in recurring or annuity decision analytics services and an increase in project-based engagements both in our decision analytics and risk and financial management practices. Revenues from new clients for transformation services were $0.1 million each during the three months ended September 30, 2010 and 2009, respectively.</w:t>
      </w:r>
    </w:p>
    <w:p>
      <w:pPr>
        <w:spacing w:after="0" w:line="11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b w:val="1"/>
          <w:bCs w:val="1"/>
          <w:i w:val="1"/>
          <w:iCs w:val="1"/>
          <w:color w:val="auto"/>
        </w:rPr>
        <w:t xml:space="preserve">Cost of Revenues </w:t>
      </w:r>
      <w:r>
        <w:rPr>
          <w:rFonts w:ascii="Arial" w:cs="Arial" w:eastAsia="Arial" w:hAnsi="Arial"/>
          <w:sz w:val="16"/>
          <w:szCs w:val="16"/>
          <w:color w:val="auto"/>
        </w:rPr>
        <w:t>Cost of revenues increased 40.9% from $28.8 million for the three months ended September 30, 2009 to $40.6 million for the three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September 30, 2010. The increase in cost of revenues is primarily due to increase in employee-related costs of $8.5 million as a result of an increase in our headcount of personnel directly involved in providing services to our clients, including $4.5 million of employee-related costs related to our acquisitions, an increase in reimbursable expenses of $1.1 million (resulting in an increase in revenues), an increase in facilities operating expenses by $1.0 million, primarily due to our new operating centers from our acquisitions, and an aggregate increase of $1.2 million due to the appreciation of the Indian rupee and the Philippine peso against the U.S. dollar during the three months ended September 30, 2010 compared to the three months ended September 30, 2009. As a percentage of revenues, cost of revenues increased marginally from 59.8% for the three months ended September 30, 2009 to 60.0% for the three months ended September 30, 2010.</w:t>
      </w:r>
    </w:p>
    <w:p>
      <w:pPr>
        <w:spacing w:after="0" w:line="118"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Gross profit increased 39.3% from $19.4 million for the three months ended September 30, 2009 to $27.0 million for the three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September 30, 2010. The increase in gross profit was primarily due to an increase in revenues of $19.4 million, offset by an increase in cost of revenues of $11.8 million. Gross profit as a percentage of revenues decreased marginally from 40.2% for the three months ended September 30, 2009 to 40.0% for the three months ended September 30, 2010, primarily due to an increase in cost of revenues as mentioned above.</w:t>
      </w:r>
    </w:p>
    <w:p>
      <w:pPr>
        <w:spacing w:after="0" w:line="11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b w:val="1"/>
          <w:bCs w:val="1"/>
          <w:i w:val="1"/>
          <w:iCs w:val="1"/>
          <w:color w:val="auto"/>
        </w:rPr>
        <w:t xml:space="preserve">SG&amp;A Expenses </w:t>
      </w:r>
      <w:r>
        <w:rPr>
          <w:rFonts w:ascii="Arial" w:cs="Arial" w:eastAsia="Arial" w:hAnsi="Arial"/>
          <w:sz w:val="18"/>
          <w:szCs w:val="18"/>
          <w:color w:val="auto"/>
        </w:rPr>
        <w:t>SG&amp;A expenses increased 40.0% from $11.3 million for the three months ended September 30, 2009 to $15.8 million for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September 30, 2010. The increase in SG&amp;A expenses is primarily due to an increase in employee-related costs of $3.1 million, an increase in facilities-related costs of $0.6 million, primarily related to our new operations centers in Jaipur and Noida, India, an increase in travel and other general and administrative costs of $0.5 million and an increase of $0.3 million due to the appreciation of the Indian rupee against the U.S. dollar during the three months ended September 30, 2010 compared to the three months ended September 30, 2009. SG&amp;A as a percentage of revenues was 23.4% each during the three months ended September 30, 2010 and 2009.</w:t>
      </w:r>
    </w:p>
    <w:p>
      <w:pPr>
        <w:spacing w:after="0" w:line="144"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Depreciation and amortization increased 44.6% from $2.9 million for the three months ended September 30, 2009 to $4.2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for the three months ended September 30, 2010. The increase is primarily due to the amortization of acquisition-related intangibles of $0.6 million, depreciation related to our new operations centers as a result of our acquisitions of $0.5 million and increase of $0.1 million due to the appreciation of the Indian rupee against the U.S. dollar during the three months ended September 30, 2010 compared to the three months ended September 30, 2009. As we add more operations centers, we expect that depreciation expense will increase to reflect the additional investment in equipment and facility build outs necessary to meet our service requirements.</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b w:val="1"/>
          <w:bCs w:val="1"/>
          <w:i w:val="1"/>
          <w:iCs w:val="1"/>
          <w:color w:val="auto"/>
        </w:rPr>
        <w:t xml:space="preserve">Income from Operations </w:t>
      </w:r>
      <w:r>
        <w:rPr>
          <w:rFonts w:ascii="Arial" w:cs="Arial" w:eastAsia="Arial" w:hAnsi="Arial"/>
          <w:sz w:val="16"/>
          <w:szCs w:val="16"/>
          <w:color w:val="auto"/>
        </w:rPr>
        <w:t>Income from operations increased 34.8% from $5.2 million for the three months ended September 30, 2009 to $7.0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three months ended September 30, 2010. The increase in income from operations was primarily due to an increase in gross profit by $7.6 million, offset by an increase in operating expenses of $5.8 million as mentioned above. As a percentage of revenues, income from operations decreased from 10.7% for the three months ended September 30, 2009 to 10.3% for the three months ended September 30, 2010.</w:t>
      </w:r>
    </w:p>
    <w:p>
      <w:pPr>
        <w:spacing w:after="0" w:line="11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i w:val="1"/>
          <w:iCs w:val="1"/>
          <w:color w:val="auto"/>
        </w:rPr>
        <w:t xml:space="preserve">Other Income/(Expense) </w:t>
      </w:r>
      <w:r>
        <w:rPr>
          <w:rFonts w:ascii="Arial" w:cs="Arial" w:eastAsia="Arial" w:hAnsi="Arial"/>
          <w:sz w:val="16"/>
          <w:szCs w:val="16"/>
          <w:color w:val="auto"/>
        </w:rPr>
        <w:t>Other income/(expense) is comprised of foreign exchange gains and losses, interest income, interest expense and other items.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income/(expense) increased from ($1.7) million for the three months ended September 30, 2009 to $1.2 million for the three months ended September 30, 2010, primarily as a result of net foreign exchange gain of $0.9 million during the three months ended September 30, 2010 compared to net foreign exchange losses of ($2.0) million during the three months ended September 30, 2009 attributable to movement of the U.S. dollar against the Indian rupee and the U.K. pound sterling relative to our foreign exchange hedged positions. The average exchange rate of the Indian rupee against the U.S. dollar was 46.14 during the three months ended September 30, 2010 compared to 48.29 during the three months ended September 30, 2009.</w:t>
      </w:r>
    </w:p>
    <w:p>
      <w:pPr>
        <w:spacing w:after="0" w:line="12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b w:val="1"/>
          <w:bCs w:val="1"/>
          <w:i w:val="1"/>
          <w:iCs w:val="1"/>
          <w:color w:val="auto"/>
        </w:rPr>
        <w:t xml:space="preserve">Income Tax Provision/(Benefit) </w:t>
      </w:r>
      <w:r>
        <w:rPr>
          <w:rFonts w:ascii="Arial" w:cs="Arial" w:eastAsia="Arial" w:hAnsi="Arial"/>
          <w:sz w:val="16"/>
          <w:szCs w:val="16"/>
          <w:color w:val="auto"/>
        </w:rPr>
        <w:t>Provision for income taxes increased from ($0.5) million for the three months ended September 30, 2009 to $0.4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three months ended September 30, 2010. The effective rate of taxes increased significantly from (15.7%) for the three months ended September 30, 2009 to 4.7% for the three months ended September 30, 2010, primarily as a result of the expiration of a tax holiday at certain units of our Indian operations and an increase in income in the U.S. Refer to Note 12 to our Unaudited Consolidated Financial Statements for further details.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Net Income </w:t>
      </w:r>
      <w:r>
        <w:rPr>
          <w:rFonts w:ascii="Arial" w:cs="Arial" w:eastAsia="Arial" w:hAnsi="Arial"/>
          <w:sz w:val="16"/>
          <w:szCs w:val="16"/>
          <w:color w:val="auto"/>
        </w:rPr>
        <w:t>Net income increased from $4.0 million for the three months ended September 30, 2009 to $7.8 million for the three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2010, primarily due to an increase in operating income of $1.8 million, other income of $2.9 million, partially offset by an increase in the provision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income taxes of $0.9 million. As a percentage of revenues, net income increased from 8.3% for the three months ended September 30, 2009 to 11.5% for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three months ended September 30, 2010.</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Nine Months Ended September 30, 2010 Compared to Nine Months Ended September 30, 2009</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b w:val="1"/>
          <w:bCs w:val="1"/>
          <w:i w:val="1"/>
          <w:iCs w:val="1"/>
          <w:color w:val="auto"/>
        </w:rPr>
        <w:t xml:space="preserve">Revenues </w:t>
      </w:r>
      <w:r>
        <w:rPr>
          <w:rFonts w:ascii="Arial" w:cs="Arial" w:eastAsia="Arial" w:hAnsi="Arial"/>
          <w:sz w:val="16"/>
          <w:szCs w:val="16"/>
          <w:color w:val="auto"/>
        </w:rPr>
        <w:t>Revenues increased 38.9% from $131.6 million for the nine months ended September 30, 2009 to $182.7 million for the nine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September 30, 2010. Revenues from outsourcing services increased from $105.6 million for the nine months ended September 30, 2009 to $138.6 million for the nine months ended September 30, 2010. The increase is primarily driven by revenues from our acquisitions of $21.2 million, net volume increases within existing clients and new clients aggregating to $9.5 million and revenues of $2.3 million due to the appreciation of the Indian rupee against the U.S. dollar and the U.K. pound sterling during the nine months ended September 30, 2010 compared to the nine months ended September 30, 2009.</w:t>
      </w:r>
    </w:p>
    <w:p>
      <w:pPr>
        <w:spacing w:after="0" w:line="11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Revenues from transformation services increased from $26.0 million for the nine months ended September 30, 2009 to $44.1 million for the nine months ended September 30, 2010. The increase is primarily due to a combination of increased revenues in recurring or annuity decision analytics services and an increase in project-based engagements both in our decision analytics and risk and financial management practices. Revenues from new clients for transformation services were $2.9 million and $1.0 million during the nine months ended September 30, 2010 and 2009, respectively.</w:t>
      </w:r>
    </w:p>
    <w:p>
      <w:pPr>
        <w:spacing w:after="0" w:line="113" w:lineRule="exact"/>
        <w:rPr>
          <w:sz w:val="20"/>
          <w:szCs w:val="20"/>
          <w:color w:val="auto"/>
        </w:rPr>
      </w:pPr>
    </w:p>
    <w:p>
      <w:pPr>
        <w:ind w:right="260" w:firstLine="456"/>
        <w:spacing w:after="0" w:line="289" w:lineRule="auto"/>
        <w:rPr>
          <w:sz w:val="20"/>
          <w:szCs w:val="20"/>
          <w:color w:val="auto"/>
        </w:rPr>
      </w:pPr>
      <w:r>
        <w:rPr>
          <w:rFonts w:ascii="Arial" w:cs="Arial" w:eastAsia="Arial" w:hAnsi="Arial"/>
          <w:sz w:val="16"/>
          <w:szCs w:val="16"/>
          <w:b w:val="1"/>
          <w:bCs w:val="1"/>
          <w:i w:val="1"/>
          <w:iCs w:val="1"/>
          <w:color w:val="auto"/>
        </w:rPr>
        <w:t xml:space="preserve">Cost of Revenues </w:t>
      </w:r>
      <w:r>
        <w:rPr>
          <w:rFonts w:ascii="Arial" w:cs="Arial" w:eastAsia="Arial" w:hAnsi="Arial"/>
          <w:sz w:val="16"/>
          <w:szCs w:val="16"/>
          <w:color w:val="auto"/>
        </w:rPr>
        <w:t>Cost of revenues increased 38.7% from $79.0 million for the nine months ended September 30, 2009 to $109.5 million for the nine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September 30, 2010. The increase in cost of revenues is primarily due to increases in employee-related costs of $20.4 million as a result of an increase in our headcount of personnel directly involved in providing services to our clients, including $9.7 million of employee-related costs related to our acquisitions, increase in reimbursable expenses of $3.2 million (resulting in an increase in revenues) increase in facilities operating expenses by $2.5 million, primarily due to the new operating centers from our acquisitions and an aggregate increase of $4.4 million due to the appreciation of the Indian rupee and the Philippine peso against the U.S. dollar during the nine months ended September 30, 2010 compared to the nine months ended September 30, 2009. As a percentage of revenues, cost of revenues decreased marginally from 60.0% for the nine months ended September 30, 2009 to 59.9% for the nine months ended September 30, 2010.</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increased 39.2% from $52.6 million for the nine months ended September 30, 2009 to $73.2 million for the nine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2010. The increase in gross profit was primarily due to an increase in revenues of $51.1 million, offset by an increase in cost of revenues of $30.5 million. Gross profit as a percentage of revenues increased marginally from 40.0% for the nine months ended September 30, 2009 to 40.1% for the nine months ended September 30, 2010.</w:t>
      </w:r>
    </w:p>
    <w:p>
      <w:pPr>
        <w:spacing w:after="0" w:line="14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i w:val="1"/>
          <w:iCs w:val="1"/>
          <w:color w:val="auto"/>
        </w:rPr>
        <w:t xml:space="preserve">SG&amp;A Expenses </w:t>
      </w:r>
      <w:r>
        <w:rPr>
          <w:rFonts w:ascii="Arial" w:cs="Arial" w:eastAsia="Arial" w:hAnsi="Arial"/>
          <w:sz w:val="16"/>
          <w:szCs w:val="16"/>
          <w:color w:val="auto"/>
        </w:rPr>
        <w:t>SG&amp;A expenses increased 34.6% from $32.2 million for the nine months ended September 30, 2009 to $43.3 million for the nine months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September 30, 2010. The increase in SG&amp;A expenses is primarily due to an increase in salaries and personnel expenses of $6.9 million, an increase in facilities-related costs of $1.5 million, primarily related to our new operations centers in Jaipur and Noida, India, acquisition-related costs of $0.4 million, an increase in travel and other general and administrative expenses of $1.3 million and an increase of $1.0 million due to the appreciation of the Indian rupee against the U.S. dollar during the nine months ended September 30, 2010 compared to the nine months ended September 30, 2009. As a percentage of revenues, SG&amp;A decreased marginally from 24.5% for the nine months ended September 30, 2009 to 23.7% for the nine months ended September 30, 2010.</w:t>
      </w:r>
    </w:p>
    <w:p>
      <w:pPr>
        <w:spacing w:after="0" w:line="120"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Depreciation and amortization increased 37.0% from $8.1 million for the nine months ended September 30, 2009 to $11.2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for the nine months ended September 30, 2010. The increase is primarily due to amortization of acquisition-related intangibles of $1.3 million, depreciation related to our new operations centers as a result of our acquisitions of $1.0 million and an increase of $0.6 million due to the appreciation of the Indian rupee against the U.S. dollar during the nine months ended September 30, 2010 compared to the nine months ended September 30, 2009. As we add more operations centers, we expect that depreciation expense will increase to reflect the additional investment in equipment and facility build outs necessary to meet our service requirements.</w:t>
      </w:r>
    </w:p>
    <w:p>
      <w:pPr>
        <w:spacing w:after="0" w:line="144"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b w:val="1"/>
          <w:bCs w:val="1"/>
          <w:i w:val="1"/>
          <w:iCs w:val="1"/>
          <w:color w:val="auto"/>
        </w:rPr>
        <w:t xml:space="preserve">Income from Operations </w:t>
      </w:r>
      <w:r>
        <w:rPr>
          <w:rFonts w:ascii="Arial" w:cs="Arial" w:eastAsia="Arial" w:hAnsi="Arial"/>
          <w:sz w:val="16"/>
          <w:szCs w:val="16"/>
          <w:color w:val="auto"/>
        </w:rPr>
        <w:t>Income from operations increased 52.8% from $12.3 million for the nine months ended September 30, 2009 to $18.7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nine months ended September 30, 2010. The increase in income from operations was primarily due to an increase in gross profit by $20.6 million, offset by an increase in operating expenses of $14.2 million as mentioned above. As a percentage of revenues, income from operations increased from 9.3% for the nine months ended September 30, 2009 to 10.3% for the nine months ended September 30, 2010.</w:t>
      </w:r>
    </w:p>
    <w:p>
      <w:pPr>
        <w:spacing w:after="0" w:line="11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b w:val="1"/>
          <w:bCs w:val="1"/>
          <w:i w:val="1"/>
          <w:iCs w:val="1"/>
          <w:color w:val="auto"/>
        </w:rPr>
        <w:t xml:space="preserve">Other Income/(Expense) </w:t>
      </w:r>
      <w:r>
        <w:rPr>
          <w:rFonts w:ascii="Arial" w:cs="Arial" w:eastAsia="Arial" w:hAnsi="Arial"/>
          <w:sz w:val="16"/>
          <w:szCs w:val="16"/>
          <w:color w:val="auto"/>
        </w:rPr>
        <w:t>Other income/(expense) is comprised of foreign exchange gains and losses, interest income, interest expense and other items.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income/(expense) increased from ($4.2) million for the nine months ended September 30, 2009 to $3.5 million for the nine months ended September 30, 2010, primarily as a result of net foreign exchange gain of $2.5 million during the nine months ended September 30, 2010 compared to net foreign exchange losses of ($5.0) million during the nine months ended September 30, 2009 attributable to movement of the U.S. dollar against the Indian rupee and the U.K. pound sterling relative to our foreign exchange hedged positions. The average exchange rate of the Indian rupee against the U.S. dollar was 45.86 during the nine months ended September 30, 2010 compared to 48.96 during the nine months ended September 30, 2009.</w:t>
      </w:r>
    </w:p>
    <w:p>
      <w:pPr>
        <w:spacing w:after="0" w:line="12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b w:val="1"/>
          <w:bCs w:val="1"/>
          <w:i w:val="1"/>
          <w:iCs w:val="1"/>
          <w:color w:val="auto"/>
        </w:rPr>
        <w:t xml:space="preserve">Income Tax Provision/(Benefit) </w:t>
      </w:r>
      <w:r>
        <w:rPr>
          <w:rFonts w:ascii="Arial" w:cs="Arial" w:eastAsia="Arial" w:hAnsi="Arial"/>
          <w:sz w:val="16"/>
          <w:szCs w:val="16"/>
          <w:color w:val="auto"/>
        </w:rPr>
        <w:t>Provision for income taxes increased from ($0.2) million for the nine months ended September 30, 2009 to $3.9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nine months ended September 30, 2010. The effective rate of taxes increased significantly from (2.7%) for the nine months ended September 30, 2009 to 17.5% for the nine months ended September 30, 2010, primarily as a result of the expiration of a tax holiday at certain units of our Indian operations and an increase in income in the U.S. Refer to Note 12 to our Unaudited Consolidated Financial Statements for further details.</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 xml:space="preserve">Net Income </w:t>
      </w:r>
      <w:r>
        <w:rPr>
          <w:rFonts w:ascii="Arial" w:cs="Arial" w:eastAsia="Arial" w:hAnsi="Arial"/>
          <w:sz w:val="18"/>
          <w:szCs w:val="18"/>
          <w:color w:val="auto"/>
        </w:rPr>
        <w:t>Net income increased from $8.1 million for the nine months ended September 30, 2009 to $18.3 million for the nine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2010, primarily due to an increase in operating income of $6.4 million and other income of $7.7 million, partially offset by an increase in the provision for income taxes of $4.1 million. As a percentage of revenues, net income increased from 6.2% for the nine months ended September 30, 2009 to 10.0% for the nine months ended September 30, 2010.</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September 30, 2010, we had $105.0 million in cash, cash equivalents and short-term investments.</w:t>
      </w:r>
    </w:p>
    <w:p>
      <w:pPr>
        <w:spacing w:after="0" w:line="171" w:lineRule="exact"/>
        <w:rPr>
          <w:sz w:val="20"/>
          <w:szCs w:val="20"/>
          <w:color w:val="auto"/>
        </w:rPr>
      </w:pPr>
    </w:p>
    <w:p>
      <w:pPr>
        <w:jc w:val="both"/>
        <w:ind w:firstLine="456"/>
        <w:spacing w:after="0" w:line="284" w:lineRule="auto"/>
        <w:rPr>
          <w:sz w:val="20"/>
          <w:szCs w:val="20"/>
          <w:color w:val="auto"/>
        </w:rPr>
      </w:pPr>
      <w:r>
        <w:rPr>
          <w:rFonts w:ascii="Arial" w:cs="Arial" w:eastAsia="Arial" w:hAnsi="Arial"/>
          <w:sz w:val="16"/>
          <w:szCs w:val="16"/>
          <w:color w:val="auto"/>
        </w:rPr>
        <w:t>Cash flows provided by operating activities increased from $16.3 million in the nine months ended September 30, 2009 to $23.7 million in the nine months ended September 30, 2010. Cash flows from net income adjusted for non-cash items increased by $19.6 million, primarily due to higher net income, depreciation and amortization and share-based compensation expense. The increase is offset by a decrease in cash flows from changes in working capital by $12.2 million.</w:t>
      </w:r>
    </w:p>
    <w:p>
      <w:pPr>
        <w:spacing w:after="0" w:line="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Changes in working capital arose primarily from an increase in accounts receivables and other assets of $6.0 million and $3.0 million, respectively, during the nine months ended September 30, 2010 compared to a decrease of $3.0 million and $0.7 million, respectively, during the nine months ended September 30, 2009, primarily due to an increase in revenues and amounts deposited in respect of our income tax assessments.</w:t>
      </w:r>
    </w:p>
    <w:p>
      <w:pPr>
        <w:spacing w:after="0" w:line="109"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Cash flows used for investing activities increased from $11.9 million in the nine months ended September 30, 2009 to $55.3 million in the nine months ended September 30, 2010. The increase is primarily due to the payment of the purchase consideration of approximately $29.1 million for the GTSC acquisition, $13.0 million for the acquisition of PDMA (net of cash acquired) during the nine months ended September 30, 2010 compared to the nine months ended September 30, 2009.</w:t>
      </w:r>
    </w:p>
    <w:p>
      <w:pPr>
        <w:spacing w:after="0" w:line="14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Cash flows provided by financing activities was $1.4 million during the nine months ended September 30, 2010, primarily representing the proceeds from exercises of stock options.</w:t>
      </w:r>
    </w:p>
    <w:p>
      <w:pPr>
        <w:spacing w:after="0" w:line="132"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We expect to use cash from operating activities to maintain and expand our business. As we have focused on expanding our cash flow from operating activities, we continue to make capital investments, primarily related to new facilities and capital expenditures associated with leasehold improvements to build out our facilities and purchase of telecommunications equipment and computer hardware and software in connection with managing client operations. We incurred approximately $14.8 million of capital expenditures in the nine months ended September 30, 2010. We expect to incur capital expenditures of approximately $5.0 million to $7.0 million in the remainder of 2010 primarily to meet the growth requirements of our clients, including additions to our existing facilities and establishing a new operations center in Noida, India as well as to improve our internal technology. The timing and volume of such capital expenditures in the future will be affected by new client contracts we may enter into or the expansion of business under our existing client contracts.</w:t>
      </w:r>
    </w:p>
    <w:p>
      <w:pPr>
        <w:spacing w:after="0" w:line="118"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In connection with the tax assessment orders issued against Exl India and Exl Inc. we may be required to deposit additional amounts with respect to the assessment orders received by us and for similar orders for subsequent years that may be received by us. Refer to Note 16 to our Unaudited Consolidated Financial Statements for further details.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anticipate that we will continue to rely upon cash from operating activities to finance our acquisitions, capital expenditures and working capital needs.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If we have significant growth through acquisitions, we may need to obtain additional financing.</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2010 and December 31, 2009, we had no off-balance sheet arrangements or obligations.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contractual obligations as of September 30, 2010: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w w:val="94"/>
              </w:rPr>
              <w:t>Payment Due by Period</w:t>
            </w: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72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Less than</w:t>
            </w:r>
          </w:p>
        </w:tc>
        <w:tc>
          <w:tcPr>
            <w:tcW w:w="500" w:type="dxa"/>
            <w:vAlign w:val="bottom"/>
            <w:gridSpan w:val="2"/>
          </w:tcPr>
          <w:p>
            <w:pPr>
              <w:jc w:val="right"/>
              <w:ind w:right="6"/>
              <w:spacing w:after="0" w:line="129" w:lineRule="exact"/>
              <w:rPr>
                <w:sz w:val="20"/>
                <w:szCs w:val="20"/>
                <w:color w:val="auto"/>
              </w:rPr>
            </w:pPr>
            <w:r>
              <w:rPr>
                <w:rFonts w:ascii="Arial" w:cs="Arial" w:eastAsia="Arial" w:hAnsi="Arial"/>
                <w:sz w:val="14"/>
                <w:szCs w:val="14"/>
                <w:b w:val="1"/>
                <w:bCs w:val="1"/>
                <w:color w:val="auto"/>
              </w:rPr>
              <w:t>1-3</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jc w:val="right"/>
              <w:ind w:right="16"/>
              <w:spacing w:after="0" w:line="129" w:lineRule="exact"/>
              <w:rPr>
                <w:sz w:val="20"/>
                <w:szCs w:val="20"/>
                <w:color w:val="auto"/>
              </w:rPr>
            </w:pPr>
            <w:r>
              <w:rPr>
                <w:rFonts w:ascii="Arial" w:cs="Arial" w:eastAsia="Arial" w:hAnsi="Arial"/>
                <w:sz w:val="14"/>
                <w:szCs w:val="14"/>
                <w:b w:val="1"/>
                <w:bCs w:val="1"/>
                <w:color w:val="auto"/>
                <w:w w:val="88"/>
              </w:rPr>
              <w:t>4-5</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3"/>
          </w:tcPr>
          <w:p>
            <w:pPr>
              <w:jc w:val="right"/>
              <w:ind w:right="220"/>
              <w:spacing w:after="0" w:line="129" w:lineRule="exact"/>
              <w:rPr>
                <w:sz w:val="20"/>
                <w:szCs w:val="20"/>
                <w:color w:val="auto"/>
              </w:rPr>
            </w:pPr>
            <w:r>
              <w:rPr>
                <w:rFonts w:ascii="Arial" w:cs="Arial" w:eastAsia="Arial" w:hAnsi="Arial"/>
                <w:sz w:val="14"/>
                <w:szCs w:val="14"/>
                <w:b w:val="1"/>
                <w:bCs w:val="1"/>
                <w:color w:val="auto"/>
              </w:rPr>
              <w:t>After</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3"/>
              </w:rPr>
              <w:t>1 year</w:t>
            </w:r>
          </w:p>
        </w:tc>
        <w:tc>
          <w:tcPr>
            <w:tcW w:w="140" w:type="dxa"/>
            <w:vAlign w:val="bottom"/>
          </w:tcPr>
          <w:p>
            <w:pPr>
              <w:spacing w:after="0"/>
              <w:rPr>
                <w:sz w:val="14"/>
                <w:szCs w:val="14"/>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7"/>
              </w:rPr>
              <w:t>years</w:t>
            </w:r>
          </w:p>
        </w:tc>
        <w:tc>
          <w:tcPr>
            <w:tcW w:w="24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3"/>
              </w:rPr>
              <w:t>(in</w:t>
            </w:r>
          </w:p>
        </w:tc>
        <w:tc>
          <w:tcPr>
            <w:tcW w:w="6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2"/>
              </w:rPr>
              <w:t>years</w:t>
            </w:r>
          </w:p>
        </w:tc>
        <w:tc>
          <w:tcPr>
            <w:tcW w:w="100" w:type="dxa"/>
            <w:vAlign w:val="bottom"/>
          </w:tcPr>
          <w:p>
            <w:pPr>
              <w:spacing w:after="0"/>
              <w:rPr>
                <w:sz w:val="14"/>
                <w:szCs w:val="14"/>
                <w:color w:val="auto"/>
              </w:rPr>
            </w:pPr>
          </w:p>
        </w:tc>
        <w:tc>
          <w:tcPr>
            <w:tcW w:w="5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82"/>
              </w:rPr>
              <w:t>5 years</w:t>
            </w:r>
          </w:p>
        </w:tc>
        <w:tc>
          <w:tcPr>
            <w:tcW w:w="140" w:type="dxa"/>
            <w:vAlign w:val="bottom"/>
          </w:tcPr>
          <w:p>
            <w:pPr>
              <w:spacing w:after="0"/>
              <w:rPr>
                <w:sz w:val="14"/>
                <w:szCs w:val="14"/>
                <w:color w:val="auto"/>
              </w:rPr>
            </w:pPr>
          </w:p>
        </w:tc>
        <w:tc>
          <w:tcPr>
            <w:tcW w:w="500" w:type="dxa"/>
            <w:vAlign w:val="bottom"/>
            <w:gridSpan w:val="3"/>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vMerge w:val="continue"/>
          </w:tcPr>
          <w:p>
            <w:pPr>
              <w:spacing w:after="0"/>
              <w:rPr>
                <w:sz w:val="12"/>
                <w:szCs w:val="12"/>
                <w:color w:val="auto"/>
              </w:rPr>
            </w:pPr>
          </w:p>
        </w:tc>
        <w:tc>
          <w:tcPr>
            <w:tcW w:w="400" w:type="dxa"/>
            <w:vAlign w:val="bottom"/>
            <w:tcBorders>
              <w:top w:val="single" w:sz="8" w:color="auto"/>
            </w:tcBorders>
            <w:gridSpan w:val="2"/>
          </w:tcPr>
          <w:p>
            <w:pPr>
              <w:spacing w:after="0"/>
              <w:rPr>
                <w:sz w:val="20"/>
                <w:szCs w:val="20"/>
                <w:color w:val="auto"/>
              </w:rPr>
            </w:pPr>
            <w:r>
              <w:rPr>
                <w:rFonts w:ascii="Arial" w:cs="Arial" w:eastAsia="Arial" w:hAnsi="Arial"/>
                <w:sz w:val="12"/>
                <w:szCs w:val="12"/>
                <w:b w:val="1"/>
                <w:bCs w:val="1"/>
                <w:color w:val="auto"/>
                <w:w w:val="76"/>
              </w:rPr>
              <w:t>millions)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2800" w:type="dxa"/>
            <w:vAlign w:val="bottom"/>
            <w:gridSpan w:val="2"/>
            <w:shd w:val="clear" w:color="auto" w:fill="CCEEFF"/>
          </w:tcPr>
          <w:p>
            <w:pPr>
              <w:ind w:left="270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w:t>
            </w: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$ 0.4</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Operating leases</w:t>
            </w: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5.6</w:t>
            </w: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rPr>
              <w:t>6.4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79"/>
              </w:rPr>
              <w:t>15.2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obligations</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Other obligations(a)</w:t>
            </w: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0.5</w:t>
            </w: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contractual cash obligations(b)</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w:t>
            </w: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$ 8.0</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3.4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12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estimated payments under the Company’s Gratuity Plan.</w:t>
      </w:r>
    </w:p>
    <w:p>
      <w:pPr>
        <w:spacing w:after="0" w:line="15" w:lineRule="exact"/>
        <w:rPr>
          <w:rFonts w:ascii="Arial" w:cs="Arial" w:eastAsia="Arial" w:hAnsi="Arial"/>
          <w:sz w:val="18"/>
          <w:szCs w:val="18"/>
          <w:color w:val="auto"/>
        </w:rPr>
      </w:pPr>
    </w:p>
    <w:p>
      <w:pPr>
        <w:ind w:left="460" w:right="660" w:hanging="452"/>
        <w:spacing w:after="0" w:line="261"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Excludes $3.8 million related to uncertain tax positions, since the extent of the amount and timing of payment is currently not reliably estimable or determinable.</w:t>
      </w:r>
    </w:p>
    <w:p>
      <w:pPr>
        <w:spacing w:after="0" w:line="57"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Certain units of our Indian subsidiaries have been established as 100% Export-Oriented units under the “Export Import Policy” (the “Policy”) or Software Technology Parks of India units (“STPI”) under the STPI guidelines issued by the Government of India that has provided us with certain incentives on imported and indigenous capital goods. Under the Policy, these units must achieve certain export ratios and realize revenues attributable to exports over a specified period. In the event that these units are unable to meet the requirements over the specified period, we may be required to refund these incentives along with penalties and fines. However, we believe that these units will continue to achieve the export levels within the required timeframe as they have consistently generated the required levels of export revenues.</w:t>
      </w:r>
    </w:p>
    <w:p>
      <w:pPr>
        <w:spacing w:after="0" w:line="144"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Exl Philippines is registered as an Ecozone IT Enterprise with the Philippines Economic Zone Authority. The registration has provided the Company with certain incentives on the import of capital goods. Exl Philippines has an export obligation of $39.3 million during the three year period ending March 2011.</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 xml:space="preserve">In January 2010, the Financial Accounting Standards Board (“FASB”) issued Update No. 2010-6, </w:t>
      </w:r>
      <w:r>
        <w:rPr>
          <w:rFonts w:ascii="Arial" w:cs="Arial" w:eastAsia="Arial" w:hAnsi="Arial"/>
          <w:sz w:val="16"/>
          <w:szCs w:val="16"/>
          <w:i w:val="1"/>
          <w:iCs w:val="1"/>
          <w:color w:val="auto"/>
        </w:rPr>
        <w:t>“Improving Disclosures about Fair Value Measurement</w:t>
      </w:r>
      <w:r>
        <w:rPr>
          <w:rFonts w:ascii="Arial" w:cs="Arial" w:eastAsia="Arial" w:hAnsi="Arial"/>
          <w:sz w:val="16"/>
          <w:szCs w:val="16"/>
          <w:color w:val="auto"/>
        </w:rPr>
        <w:t>” (“ASU 2010-6”) to amend the disclosure requirements related to recurring and nonrecurring fair value measurements. The guidance requires new disclosures on the transfers of assets and liabilities between Level 1 (quoted prices in active market for identical assets or liabilities) and Level 2 (significant other observable inputs) of the fair value measurement hierarchy, including the reasons and the timing of the transfers. Additionally, the guidance requires a roll forward of activities on purchases, sales, issuance and settlements of the assets and liabilities measured using significant unobservable inputs (Level 3 fair value measurements). This guidance is effective for interim and annual reporting periods beginning after December 15, 2009, except for the disclosures regarding Level 3 fair value measurements which are effective for fiscal years beginning after December 15, 2010. The adoption of this new guidance did not have a material impact on our unaudited consolidated financial statements. Refer to Note 6 to our Unaudited Consolidated Financial Statements for further details.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Forward Looking Statements</w:t>
      </w:r>
    </w:p>
    <w:p>
      <w:pPr>
        <w:spacing w:after="0" w:line="90"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This Quarterly Report on Form 10-Q contains forward looking statements. You should not place undue reliance on those statements because they are subject to numerous uncertainties and factors relating to our operations and business environment, all of which are difficult to predict and many of which are beyond our control. Forward looking statements include information concerning our possible or assumed future results of operations, including descriptions of our business strategy. These statements often include words such as “may,” “will,” “should,” “believe,” “expect,” “anticipate,” “intend,” “plan,” “estimate” or similar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Quarterly Report on Form 10-Q, you should understand that these statements are not guarantees of performance or results. They involve known and unknown risks, uncertainties and assumptions. Although we believe that these forward looking statements are based on reasonable assumptions, you should be aware that many factors could affect our actual financial results or results of operations and could cause actual results to differ materially from those in the forward looking statements. These factors include but are not limited to:</w:t>
      </w:r>
    </w:p>
    <w:p>
      <w:pPr>
        <w:spacing w:after="0" w:line="42"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dependence on a limited number of clients in a limited number of industries;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worldwide political, economic or business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negative public reaction in the United States or elsewhere to offshore outsourcing;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fluctuations in our earnings;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attract and retain clients;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restrictions on immigration;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hire and retain enough sufficiently trained employees to support our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grow our business or effectively manage growth and international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increasing competition in our industry;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telecommunications or technology disruptions;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fluctuations in exchange rates between the currencies in which we receive our revenues and the currencies in which we incur our costs;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regulatory, legislative and judicial developments, including changes to or the withdrawal of governmental fiscal incentives;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technological innovation;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political or economic instability in the geographies in which we operate;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successfully consummate or integrate strategic acquisitions;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adverse outcome of our disputes with the Indian tax authorities.</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These and other factors are more fully discussed elsewhere in this Quarterly Report on Form 10-Q. These and other risks could cause actual results to differ materially from those implied by forward looking statements in this Quarterly Report of Form 10-Q.</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You should keep in mind that any forward looking statement made by us in this Quarterly Report on Form 10-Q, or elsewhere, speaks only as of the date on which we make it. New risks and uncertainties come up from time to time, and it is impossible for us to predict these events or how they may affect us. We have no obligation to update any forward looking statements in this Quarterly Report on Form 10-Q after the date of this Quarterly Report on Form 10-Q, except as required by federal securities laws.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During the nine months ended September 30, 2010, there were no material changes in our market risk exposure. For a discussion of our market risk associated with exchange rate risk and interest rate risk, see Item 7A “Quantitative and Qualitative Disclosures about Market Risk” in our Annual Report on Form 10-K for the year ended December 31, 2009.</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Company maintains disclosure controls and procedures that are designed to ensure that information required to be disclosed in the reports the Company files under the Securities Exchange Act of 1934 (the “Exchange Act”) is recorded, processed, summarized and reported within the time periods specified in the SEC’s rules and forms, and that such information is accumulated and communicated to the Company’s management, including its Chief Executive Officer (“CEO”) and Chief Financial Officer (“CFO”), to allow timely decisions regarding required financial disclosure. In connection with the preparation of this Quarterly Report on Form 10-Q, the Company’s management carried out an evaluation, under the supervision and with the participation of the CEO and CFO, of the effectiveness and operation of our disclosure controls and procedures as of September 30, 2010. Based upon that evaluation, the CEO and CFO have concluded that, as of September 30, 2010, our disclosure controls and procedures were effective.</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During the nine months ended September 30, 2010, there was no change in our internal control over financial reporting (as defined in Rules 13a-15(f) and 15d-15(f) under the Exchange Act) that has materially affected, or is reasonably likely to materially affect, our internal control over financial reporting.</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5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Note 16 to our Unaudited Consolidated Financial Statements contained herein for the information regarding our ongoing legal proceedings.</w:t>
      </w:r>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disclosed under the heading “Risk Factors” in our Annual Report on Form 10-K for the year ended December 31, 2009 the risk factors which materially affect our business, financial condition or results of operations. You should carefully consider the “Risk Factors” set forth in our Annual Report on Form 10-K for the year ended December 31, 2009 and the other information set forth elsewhere in this Quarterly Report on Form 10-Q. You should be aware that these risk factors and other information may not describe every risk facing our Company. Additional risks and uncertainties not currently known to us also may materially adversely affect our business, financial condition and/or results of operations.</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UNREGISTERED SALES OF EQUITY SECURITIES AND USE OF PROCEEDS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Use of Proceeds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Purchases of Equity Securities by the Issuer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(REMOVED AND RESERVED)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40" w:top="459" w:right="2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exhibits are being filed as part of this Quarterly Report on Form 10-Q:</w:t>
      </w:r>
    </w:p>
    <w:p>
      <w:pPr>
        <w:spacing w:after="0" w:line="21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Summary of terms of compensation for Vikram Talwar.</w:t>
      </w:r>
    </w:p>
    <w:p>
      <w:pPr>
        <w:spacing w:after="0" w:line="117" w:lineRule="exact"/>
        <w:rPr>
          <w:sz w:val="20"/>
          <w:szCs w:val="20"/>
          <w:color w:val="auto"/>
        </w:rPr>
      </w:pPr>
    </w:p>
    <w:p>
      <w:pPr>
        <w:ind w:left="700" w:right="200" w:hanging="688"/>
        <w:spacing w:after="0" w:line="268" w:lineRule="auto"/>
        <w:tabs>
          <w:tab w:leader="none" w:pos="6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of the Executive Chairman of ExlService Holdings, pursuant to Rule 13a-14 of the Exchange Act, as adopted pursuant to Section 302 of the Sarbanes-Oxley Act of 2002.</w:t>
      </w:r>
    </w:p>
    <w:p>
      <w:pPr>
        <w:spacing w:after="0" w:line="78" w:lineRule="exact"/>
        <w:rPr>
          <w:sz w:val="20"/>
          <w:szCs w:val="20"/>
          <w:color w:val="auto"/>
        </w:rPr>
      </w:pPr>
    </w:p>
    <w:p>
      <w:pPr>
        <w:ind w:left="700" w:right="20" w:hanging="688"/>
        <w:spacing w:after="0" w:line="268" w:lineRule="auto"/>
        <w:tabs>
          <w:tab w:leader="none" w:pos="6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of the President and Chief Executive Officer of ExlService Holdings, pursuant to Rule 13a-14 of the Exchange Act, as adopted pursuant to Section 302 of the Sarbanes-Oxley Act of 2002.</w:t>
      </w:r>
    </w:p>
    <w:p>
      <w:pPr>
        <w:spacing w:after="0" w:line="78" w:lineRule="exact"/>
        <w:rPr>
          <w:sz w:val="20"/>
          <w:szCs w:val="20"/>
          <w:color w:val="auto"/>
        </w:rPr>
      </w:pPr>
    </w:p>
    <w:p>
      <w:pPr>
        <w:ind w:left="700" w:hanging="688"/>
        <w:spacing w:after="0" w:line="268" w:lineRule="auto"/>
        <w:tabs>
          <w:tab w:leader="none" w:pos="68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8"/>
          <w:szCs w:val="18"/>
          <w:color w:val="auto"/>
        </w:rPr>
        <w:t>Certification of the Chief Financial Officer of ExlService Holdings, pursuant to Rule 13a-14 of the Exchange Act, as adopted pursuant to Section 302 of the Sarbanes-Oxley Act of 2002.</w:t>
      </w:r>
    </w:p>
    <w:p>
      <w:pPr>
        <w:spacing w:after="0" w:line="78"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5"/>
          <w:szCs w:val="15"/>
          <w:color w:val="auto"/>
        </w:rPr>
        <w:t>Certification of the Executive Chairman pursuant to Rule 13a-14(b) of the Exchange Act and 18 U.S.C. Section 1350, as adopted pursuant to Section</w:t>
      </w:r>
    </w:p>
    <w:p>
      <w:pPr>
        <w:spacing w:after="0" w:line="1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906 of the Sarbanes-Oxley Act of 2002.</w:t>
      </w:r>
    </w:p>
    <w:p>
      <w:pPr>
        <w:spacing w:after="0" w:line="111" w:lineRule="exact"/>
        <w:rPr>
          <w:sz w:val="20"/>
          <w:szCs w:val="20"/>
          <w:color w:val="auto"/>
        </w:rPr>
      </w:pPr>
    </w:p>
    <w:p>
      <w:pPr>
        <w:ind w:left="700" w:right="380" w:hanging="688"/>
        <w:spacing w:after="0" w:line="268" w:lineRule="auto"/>
        <w:tabs>
          <w:tab w:leader="none" w:pos="6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Certification of the President and Chief Executive Officer pursuant to Rule 13a-14(b) of the Exchange Act and 18 U.S.C. Section 1350, as adopted pursuant to Section 906 of the Sarbanes-Oxley Act of 2002.</w:t>
      </w:r>
    </w:p>
    <w:p>
      <w:pPr>
        <w:spacing w:after="0" w:line="78"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32.3</w:t>
      </w:r>
      <w:r>
        <w:rPr>
          <w:sz w:val="20"/>
          <w:szCs w:val="20"/>
          <w:color w:val="auto"/>
        </w:rPr>
        <w:tab/>
      </w:r>
      <w:r>
        <w:rPr>
          <w:rFonts w:ascii="Arial" w:cs="Arial" w:eastAsia="Arial" w:hAnsi="Arial"/>
          <w:sz w:val="15"/>
          <w:szCs w:val="15"/>
          <w:color w:val="auto"/>
        </w:rPr>
        <w:t>Certification of the Chief Financial Officer pursuant to Rule 13a-14(b) of the Exchange Act and 18 U.S.C. Section 1350, as adopted pursuant to Section</w:t>
      </w:r>
    </w:p>
    <w:p>
      <w:pPr>
        <w:spacing w:after="0" w:line="1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906 of the Sarbanes-Oxley Act of 2002.</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EXLSERVICE HOLDINGS, INC.</w:t>
      </w:r>
    </w:p>
    <w:p>
      <w:pPr>
        <w:spacing w:after="0" w:line="231" w:lineRule="exact"/>
        <w:rPr>
          <w:sz w:val="20"/>
          <w:szCs w:val="20"/>
          <w:color w:val="auto"/>
        </w:rPr>
      </w:pPr>
    </w:p>
    <w:p>
      <w:pPr>
        <w:spacing w:after="0"/>
        <w:tabs>
          <w:tab w:leader="none" w:pos="5480" w:val="left"/>
          <w:tab w:leader="none" w:pos="7700" w:val="left"/>
          <w:tab w:leader="none" w:pos="8060" w:val="left"/>
        </w:tabs>
        <w:rPr>
          <w:sz w:val="20"/>
          <w:szCs w:val="20"/>
          <w:color w:val="auto"/>
        </w:rPr>
      </w:pPr>
      <w:r>
        <w:rPr>
          <w:rFonts w:ascii="Arial" w:cs="Arial" w:eastAsia="Arial" w:hAnsi="Arial"/>
          <w:sz w:val="18"/>
          <w:szCs w:val="18"/>
          <w:color w:val="auto"/>
        </w:rPr>
        <w:t>Date: November 9,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V</w:t>
      </w:r>
      <w:r>
        <w:rPr>
          <w:rFonts w:ascii="Arial" w:cs="Arial" w:eastAsia="Arial" w:hAnsi="Arial"/>
          <w:sz w:val="14"/>
          <w:szCs w:val="14"/>
          <w:color w:val="auto"/>
        </w:rPr>
        <w:t>ISHAL</w:t>
      </w:r>
      <w:r>
        <w:rPr>
          <w:rFonts w:ascii="Arial" w:cs="Arial" w:eastAsia="Arial" w:hAnsi="Arial"/>
          <w:sz w:val="18"/>
          <w:szCs w:val="18"/>
          <w:color w:val="auto"/>
        </w:rPr>
        <w:t xml:space="preserve"> C</w:t>
      </w:r>
      <w:r>
        <w:rPr>
          <w:rFonts w:ascii="Arial" w:cs="Arial" w:eastAsia="Arial" w:hAnsi="Arial"/>
          <w:sz w:val="14"/>
          <w:szCs w:val="14"/>
          <w:color w:val="auto"/>
        </w:rPr>
        <w:t>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3" w:lineRule="exact"/>
        <w:rPr>
          <w:sz w:val="20"/>
          <w:szCs w:val="20"/>
          <w:color w:val="auto"/>
        </w:rPr>
      </w:pPr>
    </w:p>
    <w:p>
      <w:pPr>
        <w:jc w:val="center"/>
        <w:ind w:left="6060"/>
        <w:spacing w:after="0"/>
        <w:rPr>
          <w:sz w:val="20"/>
          <w:szCs w:val="20"/>
          <w:color w:val="auto"/>
        </w:rPr>
      </w:pPr>
      <w:r>
        <w:rPr>
          <w:rFonts w:ascii="Arial" w:cs="Arial" w:eastAsia="Arial" w:hAnsi="Arial"/>
          <w:sz w:val="14"/>
          <w:szCs w:val="14"/>
          <w:b w:val="1"/>
          <w:bCs w:val="1"/>
          <w:color w:val="auto"/>
        </w:rPr>
        <w:t>Vishal Chhibbar</w:t>
      </w:r>
    </w:p>
    <w:p>
      <w:pPr>
        <w:jc w:val="center"/>
        <w:ind w:left="6060"/>
        <w:spacing w:after="0" w:line="221" w:lineRule="auto"/>
        <w:rPr>
          <w:sz w:val="20"/>
          <w:szCs w:val="20"/>
          <w:color w:val="auto"/>
        </w:rPr>
      </w:pPr>
      <w:r>
        <w:rPr>
          <w:rFonts w:ascii="Arial" w:cs="Arial" w:eastAsia="Arial" w:hAnsi="Arial"/>
          <w:sz w:val="14"/>
          <w:szCs w:val="14"/>
          <w:b w:val="1"/>
          <w:bCs w:val="1"/>
          <w:color w:val="auto"/>
        </w:rPr>
        <w:t>Chief Financial Officer</w:t>
      </w:r>
    </w:p>
    <w:p>
      <w:pPr>
        <w:jc w:val="center"/>
        <w:ind w:left="6060"/>
        <w:spacing w:after="0"/>
        <w:rPr>
          <w:sz w:val="20"/>
          <w:szCs w:val="20"/>
          <w:color w:val="auto"/>
        </w:rPr>
      </w:pPr>
      <w:r>
        <w:rPr>
          <w:rFonts w:ascii="Arial" w:cs="Arial" w:eastAsia="Arial" w:hAnsi="Arial"/>
          <w:sz w:val="12"/>
          <w:szCs w:val="12"/>
          <w:b w:val="1"/>
          <w:bCs w:val="1"/>
          <w:color w:val="auto"/>
        </w:rPr>
        <w:t>(Duly Authorized Signatory, Principal Financial and Accounting Officer)</w:t>
      </w:r>
    </w:p>
    <w:p>
      <w:pPr>
        <w:spacing w:after="0" w:line="16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840"/>
          </w:cols>
          <w:pgMar w:left="240" w:top="459" w:right="819" w:bottom="1440" w:gutter="0" w:footer="0" w:header="0"/>
        </w:sectPr>
      </w:pPr>
    </w:p>
    <w:bookmarkStart w:id="36" w:name="page37"/>
    <w:bookmarkEnd w:id="36"/>
    <w:p>
      <w:pPr>
        <w:ind w:left="10520"/>
        <w:spacing w:after="0"/>
        <w:rPr>
          <w:sz w:val="20"/>
          <w:szCs w:val="20"/>
          <w:color w:val="auto"/>
        </w:rPr>
      </w:pPr>
      <w:r>
        <w:rPr>
          <w:rFonts w:ascii="Arial" w:cs="Arial" w:eastAsia="Arial" w:hAnsi="Arial"/>
          <w:sz w:val="16"/>
          <w:szCs w:val="16"/>
          <w:b w:val="1"/>
          <w:bCs w:val="1"/>
          <w:color w:val="auto"/>
        </w:rPr>
        <w:t>Exhibit 10.1</w:t>
      </w:r>
    </w:p>
    <w:p>
      <w:pPr>
        <w:spacing w:after="0" w:line="226"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1960" w:type="dxa"/>
            <w:vAlign w:val="bottom"/>
            <w:tcBorders>
              <w:top w:val="single" w:sz="8" w:color="auto"/>
              <w:left w:val="single" w:sz="8" w:color="auto"/>
            </w:tcBorders>
          </w:tcPr>
          <w:p>
            <w:pPr>
              <w:spacing w:after="0"/>
              <w:rPr>
                <w:sz w:val="16"/>
                <w:szCs w:val="16"/>
                <w:color w:val="auto"/>
              </w:rPr>
            </w:pPr>
          </w:p>
        </w:tc>
        <w:tc>
          <w:tcPr>
            <w:tcW w:w="9480" w:type="dxa"/>
            <w:vAlign w:val="bottom"/>
            <w:tcBorders>
              <w:top w:val="single" w:sz="8" w:color="auto"/>
              <w:right w:val="single" w:sz="8" w:color="auto"/>
            </w:tcBorders>
            <w:gridSpan w:val="5"/>
          </w:tcPr>
          <w:p>
            <w:pPr>
              <w:jc w:val="center"/>
              <w:ind w:right="1960"/>
              <w:spacing w:after="0" w:line="192" w:lineRule="exact"/>
              <w:rPr>
                <w:sz w:val="20"/>
                <w:szCs w:val="20"/>
                <w:color w:val="auto"/>
              </w:rPr>
            </w:pPr>
            <w:r>
              <w:rPr>
                <w:rFonts w:ascii="Arial" w:cs="Arial" w:eastAsia="Arial" w:hAnsi="Arial"/>
                <w:sz w:val="18"/>
                <w:szCs w:val="18"/>
                <w:b w:val="1"/>
                <w:bCs w:val="1"/>
                <w:color w:val="auto"/>
                <w:w w:val="89"/>
              </w:rPr>
              <w:t>ExlService Holdings, Inc. (the “Corporation”)</w:t>
            </w:r>
          </w:p>
        </w:tc>
      </w:tr>
      <w:tr>
        <w:trPr>
          <w:trHeight w:val="20"/>
        </w:trPr>
        <w:tc>
          <w:tcPr>
            <w:tcW w:w="1960" w:type="dxa"/>
            <w:vAlign w:val="bottom"/>
            <w:tcBorders>
              <w:left w:val="single" w:sz="8" w:color="auto"/>
            </w:tcBorders>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160" w:type="dxa"/>
            <w:vAlign w:val="bottom"/>
            <w:tcBorders>
              <w:right w:val="single" w:sz="8" w:color="auto"/>
            </w:tcBorders>
          </w:tcPr>
          <w:p>
            <w:pPr>
              <w:spacing w:after="0" w:line="20" w:lineRule="exact"/>
              <w:rPr>
                <w:sz w:val="1"/>
                <w:szCs w:val="1"/>
                <w:color w:val="auto"/>
              </w:rPr>
            </w:pPr>
          </w:p>
        </w:tc>
      </w:tr>
      <w:tr>
        <w:trPr>
          <w:trHeight w:val="222"/>
        </w:trPr>
        <w:tc>
          <w:tcPr>
            <w:tcW w:w="1960" w:type="dxa"/>
            <w:vAlign w:val="bottom"/>
            <w:tcBorders>
              <w:left w:val="single" w:sz="8" w:color="auto"/>
            </w:tcBorders>
          </w:tcPr>
          <w:p>
            <w:pPr>
              <w:spacing w:after="0"/>
              <w:rPr>
                <w:sz w:val="19"/>
                <w:szCs w:val="19"/>
                <w:color w:val="auto"/>
              </w:rPr>
            </w:pPr>
          </w:p>
        </w:tc>
        <w:tc>
          <w:tcPr>
            <w:tcW w:w="9480" w:type="dxa"/>
            <w:vAlign w:val="bottom"/>
            <w:tcBorders>
              <w:right w:val="single" w:sz="8" w:color="auto"/>
            </w:tcBorders>
            <w:gridSpan w:val="5"/>
          </w:tcPr>
          <w:p>
            <w:pPr>
              <w:jc w:val="center"/>
              <w:ind w:right="1980"/>
              <w:spacing w:after="0"/>
              <w:rPr>
                <w:sz w:val="20"/>
                <w:szCs w:val="20"/>
                <w:color w:val="auto"/>
              </w:rPr>
            </w:pPr>
            <w:r>
              <w:rPr>
                <w:rFonts w:ascii="Arial" w:cs="Arial" w:eastAsia="Arial" w:hAnsi="Arial"/>
                <w:sz w:val="18"/>
                <w:szCs w:val="18"/>
                <w:b w:val="1"/>
                <w:bCs w:val="1"/>
                <w:color w:val="auto"/>
                <w:w w:val="88"/>
              </w:rPr>
              <w:t>Term Sheet for Board Chairperson</w:t>
            </w:r>
          </w:p>
        </w:tc>
      </w:tr>
      <w:tr>
        <w:trPr>
          <w:trHeight w:val="241"/>
        </w:trPr>
        <w:tc>
          <w:tcPr>
            <w:tcW w:w="1960" w:type="dxa"/>
            <w:vAlign w:val="bottom"/>
            <w:tcBorders>
              <w:left w:val="single" w:sz="8" w:color="auto"/>
              <w:bottom w:val="single" w:sz="8" w:color="auto"/>
            </w:tcBorders>
          </w:tcPr>
          <w:p>
            <w:pPr>
              <w:spacing w:after="0"/>
              <w:rPr>
                <w:sz w:val="20"/>
                <w:szCs w:val="20"/>
                <w:color w:val="auto"/>
              </w:rPr>
            </w:pPr>
          </w:p>
        </w:tc>
        <w:tc>
          <w:tcPr>
            <w:tcW w:w="9480" w:type="dxa"/>
            <w:vAlign w:val="bottom"/>
            <w:tcBorders>
              <w:bottom w:val="single" w:sz="8" w:color="auto"/>
              <w:right w:val="single" w:sz="8" w:color="auto"/>
            </w:tcBorders>
            <w:gridSpan w:val="5"/>
          </w:tcPr>
          <w:p>
            <w:pPr>
              <w:jc w:val="center"/>
              <w:ind w:right="1960"/>
              <w:spacing w:after="0"/>
              <w:rPr>
                <w:sz w:val="20"/>
                <w:szCs w:val="20"/>
                <w:color w:val="auto"/>
              </w:rPr>
            </w:pPr>
            <w:r>
              <w:rPr>
                <w:rFonts w:ascii="Arial" w:cs="Arial" w:eastAsia="Arial" w:hAnsi="Arial"/>
                <w:sz w:val="18"/>
                <w:szCs w:val="18"/>
                <w:b w:val="1"/>
                <w:bCs w:val="1"/>
                <w:color w:val="auto"/>
                <w:w w:val="94"/>
              </w:rPr>
              <w:t>Vikram Talwar</w:t>
            </w:r>
          </w:p>
        </w:tc>
      </w:tr>
      <w:tr>
        <w:trPr>
          <w:trHeight w:val="172"/>
        </w:trPr>
        <w:tc>
          <w:tcPr>
            <w:tcW w:w="1960" w:type="dxa"/>
            <w:vAlign w:val="bottom"/>
            <w:tcBorders>
              <w:right w:val="single" w:sz="8" w:color="auto"/>
            </w:tcBorders>
          </w:tcPr>
          <w:p>
            <w:pPr>
              <w:ind w:left="120"/>
              <w:spacing w:after="0" w:line="172" w:lineRule="exact"/>
              <w:rPr>
                <w:sz w:val="20"/>
                <w:szCs w:val="20"/>
                <w:color w:val="auto"/>
              </w:rPr>
            </w:pPr>
            <w:r>
              <w:rPr>
                <w:rFonts w:ascii="Arial" w:cs="Arial" w:eastAsia="Arial" w:hAnsi="Arial"/>
                <w:sz w:val="18"/>
                <w:szCs w:val="18"/>
                <w:color w:val="auto"/>
              </w:rPr>
              <w:t>Position</w:t>
            </w:r>
          </w:p>
        </w:tc>
        <w:tc>
          <w:tcPr>
            <w:tcW w:w="9480" w:type="dxa"/>
            <w:vAlign w:val="bottom"/>
            <w:tcBorders>
              <w:right w:val="single" w:sz="8" w:color="auto"/>
            </w:tcBorders>
            <w:gridSpan w:val="5"/>
          </w:tcPr>
          <w:p>
            <w:pPr>
              <w:ind w:left="340"/>
              <w:spacing w:after="0" w:line="172" w:lineRule="exact"/>
              <w:rPr>
                <w:sz w:val="20"/>
                <w:szCs w:val="20"/>
                <w:color w:val="auto"/>
              </w:rPr>
            </w:pPr>
            <w:r>
              <w:rPr>
                <w:rFonts w:ascii="Arial" w:cs="Arial" w:eastAsia="Arial" w:hAnsi="Arial"/>
                <w:sz w:val="18"/>
                <w:szCs w:val="18"/>
                <w:color w:val="auto"/>
              </w:rPr>
              <w:t>Chairperson of the Board of Directors of the Corporation (the “Board”)</w:t>
            </w:r>
          </w:p>
        </w:tc>
      </w:tr>
      <w:tr>
        <w:trPr>
          <w:trHeight w:val="21"/>
        </w:trPr>
        <w:tc>
          <w:tcPr>
            <w:tcW w:w="1960" w:type="dxa"/>
            <w:vAlign w:val="bottom"/>
            <w:tcBorders>
              <w:bottom w:val="single" w:sz="8" w:color="auto"/>
              <w:right w:val="single" w:sz="8" w:color="auto"/>
            </w:tcBorders>
          </w:tcPr>
          <w:p>
            <w:pPr>
              <w:spacing w:after="0" w:line="20" w:lineRule="exact"/>
              <w:rPr>
                <w:sz w:val="1"/>
                <w:szCs w:val="1"/>
                <w:color w:val="auto"/>
              </w:rPr>
            </w:pPr>
          </w:p>
        </w:tc>
        <w:tc>
          <w:tcPr>
            <w:tcW w:w="44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160" w:type="dxa"/>
            <w:vAlign w:val="bottom"/>
            <w:tcBorders>
              <w:bottom w:val="single" w:sz="8" w:color="auto"/>
              <w:right w:val="single" w:sz="8" w:color="auto"/>
            </w:tcBorders>
          </w:tcPr>
          <w:p>
            <w:pPr>
              <w:spacing w:after="0" w:line="20" w:lineRule="exact"/>
              <w:rPr>
                <w:sz w:val="1"/>
                <w:szCs w:val="1"/>
                <w:color w:val="auto"/>
              </w:rPr>
            </w:pPr>
          </w:p>
        </w:tc>
      </w:tr>
      <w:tr>
        <w:trPr>
          <w:trHeight w:val="210"/>
        </w:trPr>
        <w:tc>
          <w:tcPr>
            <w:tcW w:w="19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Term</w:t>
            </w:r>
          </w:p>
        </w:tc>
        <w:tc>
          <w:tcPr>
            <w:tcW w:w="9480" w:type="dxa"/>
            <w:vAlign w:val="bottom"/>
            <w:tcBorders>
              <w:bottom w:val="single" w:sz="8" w:color="auto"/>
              <w:right w:val="single" w:sz="8" w:color="auto"/>
            </w:tcBorders>
            <w:gridSpan w:val="5"/>
          </w:tcPr>
          <w:p>
            <w:pPr>
              <w:ind w:left="340"/>
              <w:spacing w:after="0"/>
              <w:rPr>
                <w:sz w:val="20"/>
                <w:szCs w:val="20"/>
                <w:color w:val="auto"/>
              </w:rPr>
            </w:pPr>
            <w:r>
              <w:rPr>
                <w:rFonts w:ascii="Arial" w:cs="Arial" w:eastAsia="Arial" w:hAnsi="Arial"/>
                <w:sz w:val="18"/>
                <w:szCs w:val="18"/>
                <w:color w:val="auto"/>
              </w:rPr>
              <w:t>Begins April 1, 2011</w:t>
            </w:r>
          </w:p>
        </w:tc>
      </w:tr>
      <w:tr>
        <w:trPr>
          <w:trHeight w:val="210"/>
        </w:trPr>
        <w:tc>
          <w:tcPr>
            <w:tcW w:w="19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Annual Retainer</w:t>
            </w:r>
          </w:p>
        </w:tc>
        <w:tc>
          <w:tcPr>
            <w:tcW w:w="9480" w:type="dxa"/>
            <w:vAlign w:val="bottom"/>
            <w:tcBorders>
              <w:bottom w:val="single" w:sz="8" w:color="auto"/>
              <w:right w:val="single" w:sz="8" w:color="auto"/>
            </w:tcBorders>
            <w:gridSpan w:val="5"/>
          </w:tcPr>
          <w:p>
            <w:pPr>
              <w:ind w:left="340"/>
              <w:spacing w:after="0"/>
              <w:rPr>
                <w:sz w:val="20"/>
                <w:szCs w:val="20"/>
                <w:color w:val="auto"/>
              </w:rPr>
            </w:pPr>
            <w:r>
              <w:rPr>
                <w:rFonts w:ascii="Arial" w:cs="Arial" w:eastAsia="Arial" w:hAnsi="Arial"/>
                <w:sz w:val="18"/>
                <w:szCs w:val="18"/>
                <w:color w:val="auto"/>
              </w:rPr>
              <w:t>To be paid from April 1, 2011. Amount to be decided by the Board or Compensation Committee.</w:t>
            </w:r>
          </w:p>
        </w:tc>
      </w:tr>
      <w:tr>
        <w:trPr>
          <w:trHeight w:val="210"/>
        </w:trPr>
        <w:tc>
          <w:tcPr>
            <w:tcW w:w="19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w w:val="92"/>
              </w:rPr>
              <w:t>Meeting and Other Fees</w:t>
            </w:r>
          </w:p>
        </w:tc>
        <w:tc>
          <w:tcPr>
            <w:tcW w:w="9480" w:type="dxa"/>
            <w:vAlign w:val="bottom"/>
            <w:tcBorders>
              <w:bottom w:val="single" w:sz="8" w:color="auto"/>
              <w:right w:val="single" w:sz="8" w:color="auto"/>
            </w:tcBorders>
            <w:gridSpan w:val="5"/>
          </w:tcPr>
          <w:p>
            <w:pPr>
              <w:ind w:left="340"/>
              <w:spacing w:after="0"/>
              <w:rPr>
                <w:sz w:val="20"/>
                <w:szCs w:val="20"/>
                <w:color w:val="auto"/>
              </w:rPr>
            </w:pPr>
            <w:r>
              <w:rPr>
                <w:rFonts w:ascii="Arial" w:cs="Arial" w:eastAsia="Arial" w:hAnsi="Arial"/>
                <w:sz w:val="18"/>
                <w:szCs w:val="18"/>
                <w:color w:val="auto"/>
              </w:rPr>
              <w:t>Based on the Corporation’s standard terms for Board members.</w:t>
            </w:r>
          </w:p>
        </w:tc>
      </w:tr>
      <w:tr>
        <w:trPr>
          <w:trHeight w:val="201"/>
        </w:trPr>
        <w:tc>
          <w:tcPr>
            <w:tcW w:w="196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2010 Annual Bonus</w:t>
            </w:r>
          </w:p>
        </w:tc>
        <w:tc>
          <w:tcPr>
            <w:tcW w:w="9480" w:type="dxa"/>
            <w:vAlign w:val="bottom"/>
            <w:tcBorders>
              <w:right w:val="single" w:sz="8" w:color="auto"/>
            </w:tcBorders>
            <w:gridSpan w:val="5"/>
          </w:tcPr>
          <w:p>
            <w:pPr>
              <w:ind w:left="340"/>
              <w:spacing w:after="0" w:line="201" w:lineRule="exact"/>
              <w:rPr>
                <w:sz w:val="20"/>
                <w:szCs w:val="20"/>
                <w:color w:val="auto"/>
              </w:rPr>
            </w:pPr>
            <w:r>
              <w:rPr>
                <w:rFonts w:ascii="Arial" w:cs="Arial" w:eastAsia="Arial" w:hAnsi="Arial"/>
                <w:sz w:val="18"/>
                <w:szCs w:val="18"/>
                <w:color w:val="auto"/>
                <w:w w:val="93"/>
              </w:rPr>
              <w:t>Notwithstanding the Corporation’s bonus policy, amount to be paid at the same time and subject to the same performance</w:t>
            </w:r>
          </w:p>
        </w:tc>
      </w:tr>
      <w:tr>
        <w:trPr>
          <w:trHeight w:val="216"/>
        </w:trPr>
        <w:tc>
          <w:tcPr>
            <w:tcW w:w="1960" w:type="dxa"/>
            <w:vAlign w:val="bottom"/>
            <w:tcBorders>
              <w:right w:val="single" w:sz="8" w:color="auto"/>
            </w:tcBorders>
          </w:tcPr>
          <w:p>
            <w:pPr>
              <w:spacing w:after="0"/>
              <w:rPr>
                <w:sz w:val="18"/>
                <w:szCs w:val="18"/>
                <w:color w:val="auto"/>
              </w:rPr>
            </w:pPr>
          </w:p>
        </w:tc>
        <w:tc>
          <w:tcPr>
            <w:tcW w:w="9480" w:type="dxa"/>
            <w:vAlign w:val="bottom"/>
            <w:tcBorders>
              <w:right w:val="single" w:sz="8" w:color="auto"/>
            </w:tcBorders>
            <w:gridSpan w:val="5"/>
          </w:tcPr>
          <w:p>
            <w:pPr>
              <w:ind w:left="340"/>
              <w:spacing w:after="0"/>
              <w:rPr>
                <w:sz w:val="20"/>
                <w:szCs w:val="20"/>
                <w:color w:val="auto"/>
              </w:rPr>
            </w:pPr>
            <w:r>
              <w:rPr>
                <w:rFonts w:ascii="Arial" w:cs="Arial" w:eastAsia="Arial" w:hAnsi="Arial"/>
                <w:sz w:val="18"/>
                <w:szCs w:val="18"/>
                <w:color w:val="auto"/>
                <w:w w:val="93"/>
              </w:rPr>
              <w:t>conditions as would have applied had Mr. Talwar not given notice of his intention to end his employment term on March 31,</w:t>
            </w:r>
          </w:p>
        </w:tc>
      </w:tr>
      <w:tr>
        <w:trPr>
          <w:trHeight w:val="223"/>
        </w:trPr>
        <w:tc>
          <w:tcPr>
            <w:tcW w:w="1960" w:type="dxa"/>
            <w:vAlign w:val="bottom"/>
            <w:tcBorders>
              <w:bottom w:val="single" w:sz="8" w:color="auto"/>
              <w:right w:val="single" w:sz="8" w:color="auto"/>
            </w:tcBorders>
          </w:tcPr>
          <w:p>
            <w:pPr>
              <w:spacing w:after="0"/>
              <w:rPr>
                <w:sz w:val="19"/>
                <w:szCs w:val="19"/>
                <w:color w:val="auto"/>
              </w:rPr>
            </w:pPr>
          </w:p>
        </w:tc>
        <w:tc>
          <w:tcPr>
            <w:tcW w:w="44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2011.</w:t>
            </w:r>
          </w:p>
        </w:tc>
        <w:tc>
          <w:tcPr>
            <w:tcW w:w="3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160" w:type="dxa"/>
            <w:vAlign w:val="bottom"/>
            <w:tcBorders>
              <w:bottom w:val="single" w:sz="8" w:color="auto"/>
              <w:right w:val="single" w:sz="8" w:color="auto"/>
            </w:tcBorders>
          </w:tcPr>
          <w:p>
            <w:pPr>
              <w:spacing w:after="0"/>
              <w:rPr>
                <w:sz w:val="19"/>
                <w:szCs w:val="19"/>
                <w:color w:val="auto"/>
              </w:rPr>
            </w:pPr>
          </w:p>
        </w:tc>
      </w:tr>
      <w:tr>
        <w:trPr>
          <w:trHeight w:val="202"/>
        </w:trPr>
        <w:tc>
          <w:tcPr>
            <w:tcW w:w="196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w w:val="98"/>
              </w:rPr>
              <w:t>Vesting of Outstanding</w:t>
            </w:r>
          </w:p>
        </w:tc>
        <w:tc>
          <w:tcPr>
            <w:tcW w:w="9480" w:type="dxa"/>
            <w:vAlign w:val="bottom"/>
            <w:tcBorders>
              <w:right w:val="single" w:sz="8" w:color="auto"/>
            </w:tcBorders>
            <w:gridSpan w:val="5"/>
          </w:tcPr>
          <w:p>
            <w:pPr>
              <w:ind w:left="340"/>
              <w:spacing w:after="0" w:line="202" w:lineRule="exact"/>
              <w:rPr>
                <w:sz w:val="20"/>
                <w:szCs w:val="20"/>
                <w:color w:val="auto"/>
              </w:rPr>
            </w:pPr>
            <w:r>
              <w:rPr>
                <w:rFonts w:ascii="Arial" w:cs="Arial" w:eastAsia="Arial" w:hAnsi="Arial"/>
                <w:sz w:val="18"/>
                <w:szCs w:val="18"/>
                <w:color w:val="auto"/>
                <w:w w:val="90"/>
              </w:rPr>
              <w:t>Mr. Talwar’s outstanding and unvested equity awards shall continue to vest according to their respective vesting schedules so</w:t>
            </w:r>
          </w:p>
        </w:tc>
      </w:tr>
      <w:tr>
        <w:trPr>
          <w:trHeight w:val="223"/>
        </w:trPr>
        <w:tc>
          <w:tcPr>
            <w:tcW w:w="19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Equity Awards</w:t>
            </w:r>
          </w:p>
        </w:tc>
        <w:tc>
          <w:tcPr>
            <w:tcW w:w="9480" w:type="dxa"/>
            <w:vAlign w:val="bottom"/>
            <w:tcBorders>
              <w:bottom w:val="single" w:sz="8" w:color="auto"/>
              <w:right w:val="single" w:sz="8" w:color="auto"/>
            </w:tcBorders>
            <w:gridSpan w:val="5"/>
          </w:tcPr>
          <w:p>
            <w:pPr>
              <w:ind w:left="340"/>
              <w:spacing w:after="0"/>
              <w:rPr>
                <w:sz w:val="20"/>
                <w:szCs w:val="20"/>
                <w:color w:val="auto"/>
              </w:rPr>
            </w:pPr>
            <w:r>
              <w:rPr>
                <w:rFonts w:ascii="Arial" w:cs="Arial" w:eastAsia="Arial" w:hAnsi="Arial"/>
                <w:sz w:val="18"/>
                <w:szCs w:val="18"/>
                <w:color w:val="auto"/>
              </w:rPr>
              <w:t>long as Mr. Talwar continues to serve as Chairperson.</w:t>
            </w:r>
          </w:p>
        </w:tc>
      </w:tr>
      <w:tr>
        <w:trPr>
          <w:trHeight w:val="202"/>
        </w:trPr>
        <w:tc>
          <w:tcPr>
            <w:tcW w:w="196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w w:val="93"/>
              </w:rPr>
              <w:t>Benefits After March 31,</w:t>
            </w:r>
          </w:p>
        </w:tc>
        <w:tc>
          <w:tcPr>
            <w:tcW w:w="9480" w:type="dxa"/>
            <w:vAlign w:val="bottom"/>
            <w:tcBorders>
              <w:right w:val="single" w:sz="8" w:color="auto"/>
            </w:tcBorders>
            <w:gridSpan w:val="5"/>
          </w:tcPr>
          <w:p>
            <w:pPr>
              <w:ind w:left="340"/>
              <w:spacing w:after="0" w:line="202" w:lineRule="exact"/>
              <w:rPr>
                <w:sz w:val="20"/>
                <w:szCs w:val="20"/>
                <w:color w:val="auto"/>
              </w:rPr>
            </w:pPr>
            <w:r>
              <w:rPr>
                <w:rFonts w:ascii="Arial" w:cs="Arial" w:eastAsia="Arial" w:hAnsi="Arial"/>
                <w:sz w:val="18"/>
                <w:szCs w:val="18"/>
                <w:color w:val="auto"/>
                <w:w w:val="92"/>
              </w:rPr>
              <w:t>Mr. Talwar shall be entitled to the following benefits until the earlier of (1) March 31, 2013 or (2) Mr. Talwar’s departure from</w:t>
            </w:r>
          </w:p>
        </w:tc>
      </w:tr>
      <w:tr>
        <w:trPr>
          <w:trHeight w:val="222"/>
        </w:trPr>
        <w:tc>
          <w:tcPr>
            <w:tcW w:w="19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2011</w:t>
            </w:r>
          </w:p>
        </w:tc>
        <w:tc>
          <w:tcPr>
            <w:tcW w:w="9480" w:type="dxa"/>
            <w:vAlign w:val="bottom"/>
            <w:tcBorders>
              <w:right w:val="single" w:sz="8" w:color="auto"/>
            </w:tcBorders>
            <w:gridSpan w:val="5"/>
          </w:tcPr>
          <w:p>
            <w:pPr>
              <w:ind w:left="340"/>
              <w:spacing w:after="0"/>
              <w:rPr>
                <w:sz w:val="20"/>
                <w:szCs w:val="20"/>
                <w:color w:val="auto"/>
              </w:rPr>
            </w:pPr>
            <w:r>
              <w:rPr>
                <w:rFonts w:ascii="Arial" w:cs="Arial" w:eastAsia="Arial" w:hAnsi="Arial"/>
                <w:sz w:val="18"/>
                <w:szCs w:val="18"/>
                <w:color w:val="auto"/>
              </w:rPr>
              <w:t>the Board:</w:t>
            </w:r>
          </w:p>
        </w:tc>
      </w:tr>
      <w:tr>
        <w:trPr>
          <w:trHeight w:val="297"/>
        </w:trPr>
        <w:tc>
          <w:tcPr>
            <w:tcW w:w="1960" w:type="dxa"/>
            <w:vAlign w:val="bottom"/>
            <w:tcBorders>
              <w:right w:val="single" w:sz="8" w:color="auto"/>
            </w:tcBorders>
          </w:tcPr>
          <w:p>
            <w:pPr>
              <w:spacing w:after="0"/>
              <w:rPr>
                <w:sz w:val="24"/>
                <w:szCs w:val="24"/>
                <w:color w:val="auto"/>
              </w:rPr>
            </w:pPr>
          </w:p>
        </w:tc>
        <w:tc>
          <w:tcPr>
            <w:tcW w:w="9480" w:type="dxa"/>
            <w:vAlign w:val="bottom"/>
            <w:tcBorders>
              <w:right w:val="single" w:sz="8" w:color="auto"/>
            </w:tcBorders>
            <w:gridSpan w:val="5"/>
          </w:tcPr>
          <w:p>
            <w:pPr>
              <w:ind w:left="440"/>
              <w:spacing w:after="0"/>
              <w:rPr>
                <w:sz w:val="20"/>
                <w:szCs w:val="20"/>
                <w:color w:val="auto"/>
              </w:rPr>
            </w:pPr>
            <w:r>
              <w:rPr>
                <w:rFonts w:ascii="Arial" w:cs="Arial" w:eastAsia="Arial" w:hAnsi="Arial"/>
                <w:sz w:val="18"/>
                <w:szCs w:val="18"/>
                <w:color w:val="auto"/>
              </w:rPr>
              <w:t>•  Automobile and automobile-related expenses in India consistent with his existing employment agreement.</w:t>
            </w:r>
          </w:p>
        </w:tc>
      </w:tr>
      <w:tr>
        <w:trPr>
          <w:trHeight w:val="297"/>
        </w:trPr>
        <w:tc>
          <w:tcPr>
            <w:tcW w:w="1960" w:type="dxa"/>
            <w:vAlign w:val="bottom"/>
            <w:tcBorders>
              <w:right w:val="single" w:sz="8" w:color="auto"/>
            </w:tcBorders>
          </w:tcPr>
          <w:p>
            <w:pPr>
              <w:spacing w:after="0"/>
              <w:rPr>
                <w:sz w:val="24"/>
                <w:szCs w:val="24"/>
                <w:color w:val="auto"/>
              </w:rPr>
            </w:pPr>
          </w:p>
        </w:tc>
        <w:tc>
          <w:tcPr>
            <w:tcW w:w="9480" w:type="dxa"/>
            <w:vAlign w:val="bottom"/>
            <w:tcBorders>
              <w:right w:val="single" w:sz="8" w:color="auto"/>
            </w:tcBorders>
            <w:gridSpan w:val="5"/>
          </w:tcPr>
          <w:p>
            <w:pPr>
              <w:ind w:left="440"/>
              <w:spacing w:after="0"/>
              <w:rPr>
                <w:sz w:val="20"/>
                <w:szCs w:val="20"/>
                <w:color w:val="auto"/>
              </w:rPr>
            </w:pPr>
            <w:r>
              <w:rPr>
                <w:rFonts w:ascii="Arial" w:cs="Arial" w:eastAsia="Arial" w:hAnsi="Arial"/>
                <w:sz w:val="18"/>
                <w:szCs w:val="18"/>
                <w:color w:val="auto"/>
              </w:rPr>
              <w:t>•  Home office in India consistent with his existing employment agreement.</w:t>
            </w:r>
          </w:p>
        </w:tc>
      </w:tr>
      <w:tr>
        <w:trPr>
          <w:trHeight w:val="297"/>
        </w:trPr>
        <w:tc>
          <w:tcPr>
            <w:tcW w:w="1960" w:type="dxa"/>
            <w:vAlign w:val="bottom"/>
            <w:tcBorders>
              <w:right w:val="single" w:sz="8" w:color="auto"/>
            </w:tcBorders>
          </w:tcPr>
          <w:p>
            <w:pPr>
              <w:spacing w:after="0"/>
              <w:rPr>
                <w:sz w:val="24"/>
                <w:szCs w:val="24"/>
                <w:color w:val="auto"/>
              </w:rPr>
            </w:pPr>
          </w:p>
        </w:tc>
        <w:tc>
          <w:tcPr>
            <w:tcW w:w="9480" w:type="dxa"/>
            <w:vAlign w:val="bottom"/>
            <w:tcBorders>
              <w:right w:val="single" w:sz="8" w:color="auto"/>
            </w:tcBorders>
            <w:gridSpan w:val="5"/>
          </w:tcPr>
          <w:p>
            <w:pPr>
              <w:ind w:left="440"/>
              <w:spacing w:after="0"/>
              <w:rPr>
                <w:sz w:val="20"/>
                <w:szCs w:val="20"/>
                <w:color w:val="auto"/>
              </w:rPr>
            </w:pPr>
            <w:r>
              <w:rPr>
                <w:rFonts w:ascii="Arial" w:cs="Arial" w:eastAsia="Arial" w:hAnsi="Arial"/>
                <w:sz w:val="18"/>
                <w:szCs w:val="18"/>
                <w:color w:val="auto"/>
              </w:rPr>
              <w:t>•  Use of a full time executive assistant in India.</w:t>
            </w:r>
          </w:p>
        </w:tc>
      </w:tr>
      <w:tr>
        <w:trPr>
          <w:trHeight w:val="291"/>
        </w:trPr>
        <w:tc>
          <w:tcPr>
            <w:tcW w:w="1960" w:type="dxa"/>
            <w:vAlign w:val="bottom"/>
            <w:tcBorders>
              <w:right w:val="single" w:sz="8" w:color="auto"/>
            </w:tcBorders>
          </w:tcPr>
          <w:p>
            <w:pPr>
              <w:spacing w:after="0"/>
              <w:rPr>
                <w:sz w:val="24"/>
                <w:szCs w:val="24"/>
                <w:color w:val="auto"/>
              </w:rPr>
            </w:pPr>
          </w:p>
        </w:tc>
        <w:tc>
          <w:tcPr>
            <w:tcW w:w="9480" w:type="dxa"/>
            <w:vAlign w:val="bottom"/>
            <w:tcBorders>
              <w:right w:val="single" w:sz="8" w:color="auto"/>
            </w:tcBorders>
            <w:gridSpan w:val="5"/>
          </w:tcPr>
          <w:p>
            <w:pPr>
              <w:ind w:left="440"/>
              <w:spacing w:after="0"/>
              <w:rPr>
                <w:sz w:val="20"/>
                <w:szCs w:val="20"/>
                <w:color w:val="auto"/>
              </w:rPr>
            </w:pPr>
            <w:r>
              <w:rPr>
                <w:rFonts w:ascii="Arial" w:cs="Arial" w:eastAsia="Arial" w:hAnsi="Arial"/>
                <w:sz w:val="18"/>
                <w:szCs w:val="18"/>
                <w:color w:val="auto"/>
                <w:w w:val="91"/>
              </w:rPr>
              <w:t>•  Corporation to (a) pay on behalf of Mr. Talwar and his dependents the cost of continued coverage under the Corporation’s</w:t>
            </w:r>
          </w:p>
        </w:tc>
      </w:tr>
      <w:tr>
        <w:trPr>
          <w:trHeight w:val="216"/>
        </w:trPr>
        <w:tc>
          <w:tcPr>
            <w:tcW w:w="1960" w:type="dxa"/>
            <w:vAlign w:val="bottom"/>
            <w:tcBorders>
              <w:right w:val="single" w:sz="8" w:color="auto"/>
            </w:tcBorders>
          </w:tcPr>
          <w:p>
            <w:pPr>
              <w:spacing w:after="0"/>
              <w:rPr>
                <w:sz w:val="18"/>
                <w:szCs w:val="18"/>
                <w:color w:val="auto"/>
              </w:rPr>
            </w:pPr>
          </w:p>
        </w:tc>
        <w:tc>
          <w:tcPr>
            <w:tcW w:w="9480" w:type="dxa"/>
            <w:vAlign w:val="bottom"/>
            <w:tcBorders>
              <w:right w:val="single" w:sz="8" w:color="auto"/>
            </w:tcBorders>
            <w:gridSpan w:val="5"/>
          </w:tcPr>
          <w:p>
            <w:pPr>
              <w:ind w:left="760"/>
              <w:spacing w:after="0"/>
              <w:rPr>
                <w:sz w:val="20"/>
                <w:szCs w:val="20"/>
                <w:color w:val="auto"/>
              </w:rPr>
            </w:pPr>
            <w:r>
              <w:rPr>
                <w:rFonts w:ascii="Arial" w:cs="Arial" w:eastAsia="Arial" w:hAnsi="Arial"/>
                <w:sz w:val="18"/>
                <w:szCs w:val="18"/>
                <w:color w:val="auto"/>
                <w:w w:val="92"/>
              </w:rPr>
              <w:t>group medical plan under the Consolidated Omnibus Budget Reconciliation Act of 1985 (COBRA) or (b) provide health</w:t>
            </w:r>
          </w:p>
        </w:tc>
      </w:tr>
      <w:tr>
        <w:trPr>
          <w:trHeight w:val="222"/>
        </w:trPr>
        <w:tc>
          <w:tcPr>
            <w:tcW w:w="1960" w:type="dxa"/>
            <w:vAlign w:val="bottom"/>
            <w:tcBorders>
              <w:right w:val="single" w:sz="8" w:color="auto"/>
            </w:tcBorders>
          </w:tcPr>
          <w:p>
            <w:pPr>
              <w:spacing w:after="0"/>
              <w:rPr>
                <w:sz w:val="19"/>
                <w:szCs w:val="19"/>
                <w:color w:val="auto"/>
              </w:rPr>
            </w:pPr>
          </w:p>
        </w:tc>
        <w:tc>
          <w:tcPr>
            <w:tcW w:w="9480" w:type="dxa"/>
            <w:vAlign w:val="bottom"/>
            <w:tcBorders>
              <w:right w:val="single" w:sz="8" w:color="auto"/>
            </w:tcBorders>
            <w:gridSpan w:val="5"/>
          </w:tcPr>
          <w:p>
            <w:pPr>
              <w:ind w:left="760"/>
              <w:spacing w:after="0"/>
              <w:rPr>
                <w:sz w:val="20"/>
                <w:szCs w:val="20"/>
                <w:color w:val="auto"/>
              </w:rPr>
            </w:pPr>
            <w:r>
              <w:rPr>
                <w:rFonts w:ascii="Arial" w:cs="Arial" w:eastAsia="Arial" w:hAnsi="Arial"/>
                <w:sz w:val="18"/>
                <w:szCs w:val="18"/>
                <w:color w:val="auto"/>
              </w:rPr>
              <w:t>benefits to Mr. Talwar and his dependents consistent with the benefits in effect on March 31, 2011.</w:t>
            </w:r>
          </w:p>
        </w:tc>
      </w:tr>
      <w:tr>
        <w:trPr>
          <w:trHeight w:val="306"/>
        </w:trPr>
        <w:tc>
          <w:tcPr>
            <w:tcW w:w="1960" w:type="dxa"/>
            <w:vAlign w:val="bottom"/>
            <w:tcBorders>
              <w:bottom w:val="single" w:sz="8" w:color="auto"/>
              <w:right w:val="single" w:sz="8" w:color="auto"/>
            </w:tcBorders>
          </w:tcPr>
          <w:p>
            <w:pPr>
              <w:spacing w:after="0"/>
              <w:rPr>
                <w:sz w:val="24"/>
                <w:szCs w:val="24"/>
                <w:color w:val="auto"/>
              </w:rPr>
            </w:pPr>
          </w:p>
        </w:tc>
        <w:tc>
          <w:tcPr>
            <w:tcW w:w="9480" w:type="dxa"/>
            <w:vAlign w:val="bottom"/>
            <w:tcBorders>
              <w:bottom w:val="single" w:sz="8" w:color="auto"/>
              <w:right w:val="single" w:sz="8" w:color="auto"/>
            </w:tcBorders>
            <w:gridSpan w:val="5"/>
          </w:tcPr>
          <w:p>
            <w:pPr>
              <w:ind w:left="440"/>
              <w:spacing w:after="0"/>
              <w:rPr>
                <w:sz w:val="20"/>
                <w:szCs w:val="20"/>
                <w:color w:val="auto"/>
              </w:rPr>
            </w:pPr>
            <w:r>
              <w:rPr>
                <w:rFonts w:ascii="Arial" w:cs="Arial" w:eastAsia="Arial" w:hAnsi="Arial"/>
                <w:sz w:val="18"/>
                <w:szCs w:val="18"/>
                <w:color w:val="auto"/>
                <w:w w:val="94"/>
              </w:rPr>
              <w:t>•  Personal security for Mr. Talwar and his immediate family in India consistent with his existing employment agreement.</w:t>
            </w:r>
          </w:p>
        </w:tc>
      </w:tr>
      <w:tr>
        <w:trPr>
          <w:trHeight w:val="216"/>
        </w:trPr>
        <w:tc>
          <w:tcPr>
            <w:tcW w:w="19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Taxes</w:t>
            </w:r>
          </w:p>
        </w:tc>
        <w:tc>
          <w:tcPr>
            <w:tcW w:w="9480" w:type="dxa"/>
            <w:vAlign w:val="bottom"/>
            <w:tcBorders>
              <w:bottom w:val="single" w:sz="8" w:color="auto"/>
              <w:right w:val="single" w:sz="8" w:color="auto"/>
            </w:tcBorders>
            <w:gridSpan w:val="5"/>
          </w:tcPr>
          <w:p>
            <w:pPr>
              <w:ind w:left="340"/>
              <w:spacing w:after="0"/>
              <w:rPr>
                <w:sz w:val="20"/>
                <w:szCs w:val="20"/>
                <w:color w:val="auto"/>
              </w:rPr>
            </w:pPr>
            <w:r>
              <w:rPr>
                <w:rFonts w:ascii="Arial" w:cs="Arial" w:eastAsia="Arial" w:hAnsi="Arial"/>
                <w:sz w:val="18"/>
                <w:szCs w:val="18"/>
                <w:color w:val="auto"/>
              </w:rPr>
              <w:t>Mr. Talwar will be responsible for all taxes applicable to the compensation and benefits set forth herein.</w:t>
            </w:r>
          </w:p>
        </w:tc>
      </w:tr>
    </w:tbl>
    <w:p>
      <w:pPr>
        <w:sectPr>
          <w:pgSz w:w="11900" w:h="16838" w:orient="portrait"/>
          <w:cols w:equalWidth="0" w:num="1">
            <w:col w:w="11420"/>
          </w:cols>
          <w:pgMar w:left="240" w:top="139"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Vikram Talwar, certify that:</w:t>
      </w:r>
    </w:p>
    <w:p>
      <w:pPr>
        <w:spacing w:after="0" w:line="90"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of ExlService Holdings,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140" w:hanging="452"/>
        <w:spacing w:after="0" w:line="259"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580" w:hanging="452"/>
        <w:spacing w:after="0" w:line="332"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2010</w:t>
      </w:r>
    </w:p>
    <w:p>
      <w:pPr>
        <w:spacing w:after="0" w:line="212" w:lineRule="exact"/>
        <w:rPr>
          <w:sz w:val="20"/>
          <w:szCs w:val="20"/>
          <w:color w:val="auto"/>
        </w:rPr>
      </w:pPr>
    </w:p>
    <w:p>
      <w:pPr>
        <w:ind w:left="1340"/>
        <w:spacing w:after="0"/>
        <w:tabs>
          <w:tab w:leader="none" w:pos="16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V</w:t>
      </w:r>
      <w:r>
        <w:rPr>
          <w:rFonts w:ascii="Arial" w:cs="Arial" w:eastAsia="Arial" w:hAnsi="Arial"/>
          <w:sz w:val="14"/>
          <w:szCs w:val="14"/>
          <w:color w:val="auto"/>
        </w:rPr>
        <w:t>IKRAM</w:t>
      </w:r>
      <w:r>
        <w:rPr>
          <w:rFonts w:ascii="Arial" w:cs="Arial" w:eastAsia="Arial" w:hAnsi="Arial"/>
          <w:sz w:val="18"/>
          <w:szCs w:val="18"/>
          <w:color w:val="auto"/>
        </w:rPr>
        <w:t xml:space="preserve"> T</w:t>
      </w:r>
      <w:r>
        <w:rPr>
          <w:rFonts w:ascii="Arial" w:cs="Arial" w:eastAsia="Arial" w:hAnsi="Arial"/>
          <w:sz w:val="14"/>
          <w:szCs w:val="14"/>
          <w:color w:val="auto"/>
        </w:rPr>
        <w:t>ALWAR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Vikram Talwar</w:t>
      </w:r>
    </w:p>
    <w:p>
      <w:pPr>
        <w:spacing w:after="0" w:line="21"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Executive Chairman</w:t>
      </w:r>
    </w:p>
    <w:p>
      <w:pPr>
        <w:sectPr>
          <w:pgSz w:w="11900" w:h="16838" w:orient="portrait"/>
          <w:cols w:equalWidth="0" w:num="1">
            <w:col w:w="11420"/>
          </w:cols>
          <w:pgMar w:left="240" w:top="139"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Rohit Kapoor, certify that:</w:t>
      </w:r>
    </w:p>
    <w:p>
      <w:pPr>
        <w:spacing w:after="0" w:line="90"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of ExlService Holdings,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140" w:hanging="452"/>
        <w:spacing w:after="0" w:line="259"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580" w:hanging="452"/>
        <w:spacing w:after="0" w:line="332"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2010</w:t>
      </w:r>
    </w:p>
    <w:p>
      <w:pPr>
        <w:spacing w:after="0" w:line="212" w:lineRule="exact"/>
        <w:rPr>
          <w:sz w:val="20"/>
          <w:szCs w:val="20"/>
          <w:color w:val="auto"/>
        </w:rPr>
      </w:pPr>
    </w:p>
    <w:p>
      <w:pPr>
        <w:ind w:left="1400"/>
        <w:spacing w:after="0"/>
        <w:tabs>
          <w:tab w:leader="none" w:pos="174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OHIT</w:t>
      </w:r>
      <w:r>
        <w:rPr>
          <w:rFonts w:ascii="Arial" w:cs="Arial" w:eastAsia="Arial" w:hAnsi="Arial"/>
          <w:sz w:val="16"/>
          <w:szCs w:val="16"/>
          <w:color w:val="auto"/>
        </w:rPr>
        <w:t xml:space="preserve"> K</w:t>
      </w:r>
      <w:r>
        <w:rPr>
          <w:rFonts w:ascii="Arial" w:cs="Arial" w:eastAsia="Arial" w:hAnsi="Arial"/>
          <w:sz w:val="13"/>
          <w:szCs w:val="13"/>
          <w:color w:val="auto"/>
        </w:rPr>
        <w:t>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Rohit Kapoor</w:t>
      </w:r>
    </w:p>
    <w:p>
      <w:pPr>
        <w:spacing w:after="0" w:line="21"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President and Chief Executive Officer</w:t>
      </w:r>
    </w:p>
    <w:p>
      <w:pPr>
        <w:sectPr>
          <w:pgSz w:w="11900" w:h="16838" w:orient="portrait"/>
          <w:cols w:equalWidth="0" w:num="1">
            <w:col w:w="11420"/>
          </w:cols>
          <w:pgMar w:left="240" w:top="139"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31.3</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Vishal Chhibbar, certify that:</w:t>
      </w:r>
    </w:p>
    <w:p>
      <w:pPr>
        <w:spacing w:after="0" w:line="90"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of ExlService Holdings,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140" w:hanging="452"/>
        <w:spacing w:after="0" w:line="259"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580" w:hanging="452"/>
        <w:spacing w:after="0" w:line="332"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2010</w:t>
      </w:r>
    </w:p>
    <w:p>
      <w:pPr>
        <w:spacing w:after="0" w:line="212" w:lineRule="exact"/>
        <w:rPr>
          <w:sz w:val="20"/>
          <w:szCs w:val="20"/>
          <w:color w:val="auto"/>
        </w:rPr>
      </w:pPr>
    </w:p>
    <w:p>
      <w:pPr>
        <w:ind w:left="1280"/>
        <w:spacing w:after="0"/>
        <w:tabs>
          <w:tab w:leader="none" w:pos="162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V</w:t>
      </w:r>
      <w:r>
        <w:rPr>
          <w:rFonts w:ascii="Arial" w:cs="Arial" w:eastAsia="Arial" w:hAnsi="Arial"/>
          <w:sz w:val="14"/>
          <w:szCs w:val="14"/>
          <w:color w:val="auto"/>
        </w:rPr>
        <w:t>ISHAL</w:t>
      </w:r>
      <w:r>
        <w:rPr>
          <w:rFonts w:ascii="Arial" w:cs="Arial" w:eastAsia="Arial" w:hAnsi="Arial"/>
          <w:sz w:val="18"/>
          <w:szCs w:val="18"/>
          <w:color w:val="auto"/>
        </w:rPr>
        <w:t xml:space="preserve"> C</w:t>
      </w:r>
      <w:r>
        <w:rPr>
          <w:rFonts w:ascii="Arial" w:cs="Arial" w:eastAsia="Arial" w:hAnsi="Arial"/>
          <w:sz w:val="14"/>
          <w:szCs w:val="14"/>
          <w:color w:val="auto"/>
        </w:rPr>
        <w:t>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Vishal Chhibbar</w:t>
      </w:r>
    </w:p>
    <w:p>
      <w:pPr>
        <w:spacing w:after="0" w:line="21"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420"/>
          </w:cols>
          <w:pgMar w:left="240" w:top="139"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connection with the Quarterly Report of ExlService Holdings, Inc. (the “Company”) on Form 10-Q for the period ending September 30, 2010 as filed with the Securities and Exchange Commission on the date hereof (the “Report”), I, Vikram Talwar, Executive Chairman of the Company, certify, pursuant to 18 U.S.C. Section 1350, as adopted pursuant to Section 906 of the Sarbanes-Oxley Act of 2002, that:</w:t>
      </w:r>
    </w:p>
    <w:p>
      <w:pPr>
        <w:spacing w:after="0" w:line="59"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1340"/>
        <w:spacing w:after="0"/>
        <w:tabs>
          <w:tab w:leader="none" w:pos="16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V</w:t>
      </w:r>
      <w:r>
        <w:rPr>
          <w:rFonts w:ascii="Arial" w:cs="Arial" w:eastAsia="Arial" w:hAnsi="Arial"/>
          <w:sz w:val="14"/>
          <w:szCs w:val="14"/>
          <w:color w:val="auto"/>
        </w:rPr>
        <w:t>IKRAM</w:t>
      </w:r>
      <w:r>
        <w:rPr>
          <w:rFonts w:ascii="Arial" w:cs="Arial" w:eastAsia="Arial" w:hAnsi="Arial"/>
          <w:sz w:val="18"/>
          <w:szCs w:val="18"/>
          <w:color w:val="auto"/>
        </w:rPr>
        <w:t xml:space="preserve"> T</w:t>
      </w:r>
      <w:r>
        <w:rPr>
          <w:rFonts w:ascii="Arial" w:cs="Arial" w:eastAsia="Arial" w:hAnsi="Arial"/>
          <w:sz w:val="14"/>
          <w:szCs w:val="14"/>
          <w:color w:val="auto"/>
        </w:rPr>
        <w:t>ALWAR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Vikram Talwar</w:t>
      </w:r>
    </w:p>
    <w:p>
      <w:pPr>
        <w:spacing w:after="0" w:line="21"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Executive Chairman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2010</w:t>
      </w:r>
    </w:p>
    <w:p>
      <w:pPr>
        <w:sectPr>
          <w:pgSz w:w="11900" w:h="16838" w:orient="portrait"/>
          <w:cols w:equalWidth="0" w:num="1">
            <w:col w:w="11420"/>
          </w:cols>
          <w:pgMar w:left="240" w:top="139"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1"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In connection with the Quarterly Report of ExlService Holdings, Inc. (the “Company”) on Form 10-Q for the period ending September 30, 2010 as filed with the Securities and Exchange Commission on the date hereof (the “Report”), I, Rohit Kapoor, President and Chief Executive Officer of the Company, certify, pursuant to 18 U.S.C. Section 1350, as adopted pursuant to Section 906 of the Sarbanes-Oxley Act of 2002, that:</w:t>
      </w:r>
    </w:p>
    <w:p>
      <w:pPr>
        <w:spacing w:after="0" w:line="59"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1400"/>
        <w:spacing w:after="0"/>
        <w:tabs>
          <w:tab w:leader="none" w:pos="174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OHIT</w:t>
      </w:r>
      <w:r>
        <w:rPr>
          <w:rFonts w:ascii="Arial" w:cs="Arial" w:eastAsia="Arial" w:hAnsi="Arial"/>
          <w:sz w:val="16"/>
          <w:szCs w:val="16"/>
          <w:color w:val="auto"/>
        </w:rPr>
        <w:t xml:space="preserve"> K</w:t>
      </w:r>
      <w:r>
        <w:rPr>
          <w:rFonts w:ascii="Arial" w:cs="Arial" w:eastAsia="Arial" w:hAnsi="Arial"/>
          <w:sz w:val="13"/>
          <w:szCs w:val="13"/>
          <w:color w:val="auto"/>
        </w:rPr>
        <w:t>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Rohit Kapoor</w:t>
      </w:r>
    </w:p>
    <w:p>
      <w:pPr>
        <w:spacing w:after="0" w:line="21"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2010</w:t>
      </w:r>
    </w:p>
    <w:p>
      <w:pPr>
        <w:sectPr>
          <w:pgSz w:w="11900" w:h="16838" w:orient="portrait"/>
          <w:cols w:equalWidth="0" w:num="1">
            <w:col w:w="11420"/>
          </w:cols>
          <w:pgMar w:left="240" w:top="139"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32.3</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connection with the Quarterly Report of ExlService Holdings, Inc. (the “Company”) on Form 10-Q for the period ending September 30, 2010 as filed with the Securities and Exchange Commission on the date hereof (the “Report”), I, Vishal Chhibbar, Chief Financial Officer of the Company, certify, pursuant to 18 U.S.C. Section 1350, as adopted pursuant to Section 906 of the Sarbanes-Oxley Act of 2002, that:</w:t>
      </w:r>
    </w:p>
    <w:p>
      <w:pPr>
        <w:spacing w:after="0" w:line="59"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1280"/>
        <w:spacing w:after="0"/>
        <w:tabs>
          <w:tab w:leader="none" w:pos="162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V</w:t>
      </w:r>
      <w:r>
        <w:rPr>
          <w:rFonts w:ascii="Arial" w:cs="Arial" w:eastAsia="Arial" w:hAnsi="Arial"/>
          <w:sz w:val="14"/>
          <w:szCs w:val="14"/>
          <w:color w:val="auto"/>
        </w:rPr>
        <w:t>ISHAL</w:t>
      </w:r>
      <w:r>
        <w:rPr>
          <w:rFonts w:ascii="Arial" w:cs="Arial" w:eastAsia="Arial" w:hAnsi="Arial"/>
          <w:sz w:val="18"/>
          <w:szCs w:val="18"/>
          <w:color w:val="auto"/>
        </w:rPr>
        <w:t xml:space="preserve"> C</w:t>
      </w:r>
      <w:r>
        <w:rPr>
          <w:rFonts w:ascii="Arial" w:cs="Arial" w:eastAsia="Arial" w:hAnsi="Arial"/>
          <w:sz w:val="14"/>
          <w:szCs w:val="14"/>
          <w:color w:val="auto"/>
        </w:rPr>
        <w:t>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Vishal Chhibbar</w:t>
      </w:r>
    </w:p>
    <w:p>
      <w:pPr>
        <w:spacing w:after="0" w:line="21"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Chief Financial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2010</w:t>
      </w:r>
    </w:p>
    <w:sectPr>
      <w:pgSz w:w="11900" w:h="16838" w:orient="portrait"/>
      <w:cols w:equalWidth="0" w:num="1">
        <w:col w:w="11420"/>
      </w:cols>
      <w:pgMar w:left="240" w:top="13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bullet"/>
      <w:start w:val="1"/>
    </w:lvl>
  </w:abstractNum>
  <w:abstractNum w:abstractNumId="3">
    <w:nsid w:val="4DB127F8"/>
    <w:multiLevelType w:val="hybridMultilevel"/>
    <w:lvl w:ilvl="0">
      <w:lvlJc w:val="left"/>
      <w:lvlText w:val="%1."/>
      <w:numFmt w:val="decimal"/>
      <w:start w:val="2"/>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decimal"/>
      <w:start w:val="16"/>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1)"/>
      <w:numFmt w:val="lowerLetter"/>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1."/>
      <w:numFmt w:val="decimal"/>
      <w:start w:val="1"/>
    </w:lvl>
    <w:lvl w:ilvl="1">
      <w:lvlJc w:val="left"/>
      <w:lvlText w:val="(%2)"/>
      <w:numFmt w:val="lowerLetter"/>
      <w:start w:val="1"/>
    </w:lvl>
  </w:abstractNum>
  <w:abstractNum w:abstractNumId="11">
    <w:nsid w:val="DED7263"/>
    <w:multiLevelType w:val="hybridMultilevel"/>
    <w:lvl w:ilvl="0">
      <w:lvlJc w:val="left"/>
      <w:lvlText w:val="%1."/>
      <w:numFmt w:val="decimal"/>
      <w:start w:val="1"/>
    </w:lvl>
    <w:lvl w:ilvl="1">
      <w:lvlJc w:val="left"/>
      <w:lvlText w:val="(%2)"/>
      <w:numFmt w:val="lowerLetter"/>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lowerLetter"/>
      <w:start w:val="1"/>
    </w:lvl>
  </w:abstractNum>
  <w:abstractNum w:abstractNumId="14">
    <w:nsid w:val="41A7C4C9"/>
    <w:multiLevelType w:val="hybridMultilevel"/>
    <w:lvl w:ilvl="0">
      <w:lvlJc w:val="left"/>
      <w:lvlText w:val="(%1)"/>
      <w:numFmt w:val="lowerLetter"/>
      <w:start w:val="1"/>
    </w:lvl>
  </w:abstractNum>
  <w:abstractNum w:abstractNumId="15">
    <w:nsid w:val="6B68079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2019-12-11T00:13:19Z</dcterms:created>
  <dcterms:modified xsi:type="dcterms:W3CDTF">2019-12-11T00:13:19Z</dcterms:modified>
</cp:coreProperties>
</file>