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02/22/2020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2,650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41,758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1,133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40,625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02/23/2020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2,875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43,500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1,229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42,271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2,650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02/22/2020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2,650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5,300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2,875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2,875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10,600 restricted stock units, vesting in four equal annual installments beginning on the first anniversary of the grant date. 25 percent of the restricted stock units became vested on February 22, 2019, an additional 25 percent of the restricted stock units became vested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11,500 restricted stock units, vesting in four equal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became vested on February 23, 2020, and the remaining balance of 25 percent of the restricted stock units will vest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2020-02-25T19:43:01Z</dcterms:created>
  <dcterms:modified xsi:type="dcterms:W3CDTF">2020-02-25T19:43:01Z</dcterms:modified>
</cp:coreProperties>
</file>