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5911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59117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AYYAPPAN AJAY</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320 PARK AVENUE</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29TH FL</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12/13/2019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463"/>
        <w:spacing w:after="0"/>
        <w:rPr>
          <w:sz w:val="20"/>
          <w:szCs w:val="20"/>
          <w:color w:val="auto"/>
        </w:rPr>
      </w:pPr>
      <w:r>
        <w:rPr>
          <w:rFonts w:ascii="Arial" w:cs="Arial" w:eastAsia="Arial" w:hAnsi="Arial"/>
          <w:sz w:val="16"/>
          <w:szCs w:val="16"/>
          <w:color w:val="0000FF"/>
        </w:rPr>
        <w:t>SVP &amp; Gen Counsel/Corp. Sec'y.</w:t>
      </w:r>
    </w:p>
    <w:p>
      <w:pPr>
        <w:spacing w:after="0" w:line="429"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800" w:type="dxa"/>
            <w:vAlign w:val="bottom"/>
            <w:gridSpan w:val="8"/>
          </w:tcPr>
          <w:p>
            <w:pPr>
              <w:jc w:val="center"/>
              <w:spacing w:after="0" w:line="146" w:lineRule="exact"/>
              <w:rPr>
                <w:sz w:val="20"/>
                <w:szCs w:val="20"/>
                <w:color w:val="auto"/>
              </w:rPr>
            </w:pPr>
            <w:r>
              <w:rPr>
                <w:rFonts w:ascii="Arial" w:cs="Arial" w:eastAsia="Arial" w:hAnsi="Arial"/>
                <w:sz w:val="14"/>
                <w:szCs w:val="14"/>
                <w:color w:val="auto"/>
                <w:w w:val="95"/>
              </w:rPr>
              <w:t>4. If Amendment, Date of Original Filed (Month/Day/Year)</w:t>
            </w:r>
          </w:p>
        </w:tc>
        <w:tc>
          <w:tcPr>
            <w:tcW w:w="3800" w:type="dxa"/>
            <w:vAlign w:val="bottom"/>
            <w:gridSpan w:val="10"/>
          </w:tcPr>
          <w:p>
            <w:pPr>
              <w:ind w:left="34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0" w:type="dxa"/>
            <w:vAlign w:val="bottom"/>
            <w:gridSpan w:val="4"/>
          </w:tcPr>
          <w:p>
            <w:pPr>
              <w:ind w:left="340"/>
              <w:spacing w:after="0"/>
              <w:rPr>
                <w:sz w:val="20"/>
                <w:szCs w:val="20"/>
                <w:color w:val="auto"/>
              </w:rPr>
            </w:pPr>
            <w:r>
              <w:rPr>
                <w:rFonts w:ascii="Arial" w:cs="Arial" w:eastAsia="Arial" w:hAnsi="Arial"/>
                <w:sz w:val="14"/>
                <w:szCs w:val="14"/>
                <w:color w:val="auto"/>
              </w:rPr>
              <w:t>Line)</w:t>
            </w: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3800" w:type="dxa"/>
            <w:vAlign w:val="bottom"/>
            <w:gridSpan w:val="10"/>
            <w:vMerge w:val="restart"/>
          </w:tcPr>
          <w:p>
            <w:pPr>
              <w:ind w:left="54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8"/>
                <w:szCs w:val="18"/>
                <w:color w:val="0000FF"/>
              </w:rPr>
              <w:t>NEW YORK</w:t>
            </w: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NY</w:t>
            </w:r>
          </w:p>
        </w:tc>
        <w:tc>
          <w:tcPr>
            <w:tcW w:w="600" w:type="dxa"/>
            <w:vAlign w:val="bottom"/>
            <w:vMerge w:val="restart"/>
          </w:tcPr>
          <w:p>
            <w:pPr>
              <w:ind w:left="20"/>
              <w:spacing w:after="0"/>
              <w:rPr>
                <w:sz w:val="20"/>
                <w:szCs w:val="20"/>
                <w:color w:val="auto"/>
              </w:rPr>
            </w:pPr>
            <w:r>
              <w:rPr>
                <w:rFonts w:ascii="Arial" w:cs="Arial" w:eastAsia="Arial" w:hAnsi="Arial"/>
                <w:sz w:val="18"/>
                <w:szCs w:val="18"/>
                <w:color w:val="0000FF"/>
              </w:rPr>
              <w:t>10022</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80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60" w:type="dxa"/>
            <w:vAlign w:val="bottom"/>
            <w:gridSpan w:val="7"/>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vMerge w:val="restart"/>
          </w:tcPr>
          <w:p>
            <w:pPr>
              <w:spacing w:after="0"/>
              <w:rPr>
                <w:sz w:val="5"/>
                <w:szCs w:val="5"/>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Person</w:t>
            </w:r>
          </w:p>
        </w:tc>
        <w:tc>
          <w:tcPr>
            <w:tcW w:w="2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7"/>
                <w:szCs w:val="7"/>
                <w:color w:val="auto"/>
              </w:rPr>
            </w:pPr>
          </w:p>
        </w:tc>
        <w:tc>
          <w:tcPr>
            <w:tcW w:w="1240" w:type="dxa"/>
            <w:vAlign w:val="bottom"/>
            <w:gridSpan w:val="2"/>
            <w:vMerge w:val="restart"/>
          </w:tcPr>
          <w:p>
            <w:pPr>
              <w:spacing w:after="0"/>
              <w:rPr>
                <w:sz w:val="20"/>
                <w:szCs w:val="20"/>
                <w:color w:val="auto"/>
              </w:rPr>
            </w:pPr>
            <w:r>
              <w:rPr>
                <w:rFonts w:ascii="Arial" w:cs="Arial" w:eastAsia="Arial" w:hAnsi="Arial"/>
                <w:sz w:val="14"/>
                <w:szCs w:val="14"/>
                <w:color w:val="auto"/>
              </w:rPr>
              <w:t>(State)</w:t>
            </w:r>
          </w:p>
        </w:tc>
        <w:tc>
          <w:tcPr>
            <w:tcW w:w="6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vMerge w:val="continue"/>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26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60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gridSpan w:val="4"/>
          </w:tcPr>
          <w:p>
            <w:pPr>
              <w:spacing w:after="0"/>
              <w:rPr>
                <w:sz w:val="11"/>
                <w:szCs w:val="11"/>
                <w:color w:val="auto"/>
              </w:rPr>
            </w:pPr>
          </w:p>
        </w:tc>
        <w:tc>
          <w:tcPr>
            <w:tcW w:w="1700" w:type="dxa"/>
            <w:vAlign w:val="bottom"/>
            <w:tcBorders>
              <w:bottom w:val="single" w:sz="8" w:color="2C2C2C"/>
            </w:tcBorders>
            <w:gridSpan w:val="4"/>
          </w:tcPr>
          <w:p>
            <w:pPr>
              <w:spacing w:after="0"/>
              <w:rPr>
                <w:sz w:val="11"/>
                <w:szCs w:val="11"/>
                <w:color w:val="auto"/>
              </w:rPr>
            </w:pPr>
          </w:p>
        </w:tc>
        <w:tc>
          <w:tcPr>
            <w:tcW w:w="2660" w:type="dxa"/>
            <w:vAlign w:val="bottom"/>
            <w:tcBorders>
              <w:bottom w:val="single" w:sz="8" w:color="2C2C2C"/>
            </w:tcBorders>
            <w:gridSpan w:val="5"/>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1260" w:type="dxa"/>
            <w:vAlign w:val="bottom"/>
            <w:tcBorders>
              <w:bottom w:val="single" w:sz="8" w:color="2C2C2C"/>
            </w:tcBorders>
            <w:gridSpan w:val="2"/>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8160" w:type="dxa"/>
            <w:vAlign w:val="bottom"/>
            <w:tcBorders>
              <w:top w:val="single" w:sz="8" w:color="2C2C2C"/>
            </w:tcBorders>
            <w:gridSpan w:val="17"/>
          </w:tcPr>
          <w:p>
            <w:pPr>
              <w:ind w:left="82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tc>
        <w:tc>
          <w:tcPr>
            <w:tcW w:w="2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5"/>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600" w:type="dxa"/>
            <w:vAlign w:val="bottom"/>
          </w:tcPr>
          <w:p>
            <w:pPr>
              <w:spacing w:after="0"/>
              <w:rPr>
                <w:sz w:val="15"/>
                <w:szCs w:val="15"/>
                <w:color w:val="auto"/>
              </w:rPr>
            </w:pPr>
          </w:p>
        </w:tc>
        <w:tc>
          <w:tcPr>
            <w:tcW w:w="1260" w:type="dxa"/>
            <w:vAlign w:val="bottom"/>
            <w:gridSpan w:val="3"/>
          </w:tcPr>
          <w:p>
            <w:pPr>
              <w:ind w:left="18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5"/>
                <w:szCs w:val="15"/>
                <w:color w:val="auto"/>
              </w:rPr>
            </w:pPr>
          </w:p>
        </w:tc>
        <w:tc>
          <w:tcPr>
            <w:tcW w:w="180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5"/>
                <w:szCs w:val="15"/>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1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6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60" w:type="dxa"/>
            <w:vAlign w:val="bottom"/>
            <w:gridSpan w:val="3"/>
          </w:tcPr>
          <w:p>
            <w:pPr>
              <w:ind w:left="180"/>
              <w:spacing w:after="0" w:line="135" w:lineRule="exact"/>
              <w:rPr>
                <w:sz w:val="20"/>
                <w:szCs w:val="20"/>
                <w:color w:val="auto"/>
              </w:rPr>
            </w:pPr>
            <w:r>
              <w:rPr>
                <w:rFonts w:ascii="Arial" w:cs="Arial" w:eastAsia="Arial" w:hAnsi="Arial"/>
                <w:sz w:val="12"/>
                <w:szCs w:val="12"/>
                <w:b w:val="1"/>
                <w:bCs w:val="1"/>
                <w:color w:val="auto"/>
              </w:rPr>
              <w:t>(Month/Day/Year)</w:t>
            </w:r>
          </w:p>
        </w:tc>
        <w:tc>
          <w:tcPr>
            <w:tcW w:w="9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spacing w:after="0" w:line="135"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78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60" w:type="dxa"/>
            <w:vAlign w:val="bottom"/>
            <w:vMerge w:val="restart"/>
          </w:tcPr>
          <w:p>
            <w:pPr>
              <w:jc w:val="right"/>
              <w:ind w:right="134"/>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20" w:type="dxa"/>
            <w:vAlign w:val="bottom"/>
            <w:tcBorders>
              <w:bottom w:val="single" w:sz="8" w:color="2C2C2C"/>
            </w:tcBorders>
            <w:gridSpan w:val="6"/>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220" w:type="dxa"/>
            <w:vAlign w:val="bottom"/>
            <w:gridSpan w:val="6"/>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260" w:type="dxa"/>
            <w:vAlign w:val="bottom"/>
            <w:gridSpan w:val="3"/>
          </w:tcPr>
          <w:p>
            <w:pPr>
              <w:jc w:val="right"/>
              <w:ind w:right="112"/>
              <w:spacing w:after="0"/>
              <w:rPr>
                <w:sz w:val="20"/>
                <w:szCs w:val="20"/>
                <w:color w:val="auto"/>
              </w:rPr>
            </w:pPr>
            <w:r>
              <w:rPr>
                <w:rFonts w:ascii="Arial" w:cs="Arial" w:eastAsia="Arial" w:hAnsi="Arial"/>
                <w:sz w:val="18"/>
                <w:szCs w:val="18"/>
                <w:color w:val="0000FF"/>
              </w:rPr>
              <w:t>12/13/2019</w:t>
            </w:r>
          </w:p>
        </w:tc>
        <w:tc>
          <w:tcPr>
            <w:tcW w:w="1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jc w:val="center"/>
              <w:ind w:right="119"/>
              <w:spacing w:after="0"/>
              <w:rPr>
                <w:sz w:val="20"/>
                <w:szCs w:val="20"/>
                <w:color w:val="auto"/>
              </w:rPr>
            </w:pPr>
            <w:r>
              <w:rPr>
                <w:rFonts w:ascii="Arial" w:cs="Arial" w:eastAsia="Arial" w:hAnsi="Arial"/>
                <w:sz w:val="14"/>
                <w:szCs w:val="14"/>
                <w:color w:val="0000FF"/>
              </w:rPr>
              <w:t>M</w:t>
            </w:r>
          </w:p>
        </w:tc>
        <w:tc>
          <w:tcPr>
            <w:tcW w:w="22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0000FF"/>
              </w:rPr>
              <w:t>1,123</w:t>
            </w:r>
          </w:p>
        </w:tc>
        <w:tc>
          <w:tcPr>
            <w:tcW w:w="660" w:type="dxa"/>
            <w:vAlign w:val="bottom"/>
          </w:tcPr>
          <w:p>
            <w:pPr>
              <w:ind w:left="400"/>
              <w:spacing w:after="0"/>
              <w:rPr>
                <w:sz w:val="20"/>
                <w:szCs w:val="20"/>
                <w:color w:val="auto"/>
              </w:rPr>
            </w:pPr>
            <w:r>
              <w:rPr>
                <w:rFonts w:ascii="Arial" w:cs="Arial" w:eastAsia="Arial" w:hAnsi="Arial"/>
                <w:sz w:val="18"/>
                <w:szCs w:val="18"/>
                <w:color w:val="0000FF"/>
              </w:rPr>
              <w:t>A</w:t>
            </w:r>
          </w:p>
        </w:tc>
        <w:tc>
          <w:tcPr>
            <w:tcW w:w="560" w:type="dxa"/>
            <w:vAlign w:val="bottom"/>
          </w:tcPr>
          <w:p>
            <w:pPr>
              <w:jc w:val="right"/>
              <w:ind w:right="12"/>
              <w:spacing w:after="0"/>
              <w:rPr>
                <w:sz w:val="20"/>
                <w:szCs w:val="20"/>
                <w:color w:val="auto"/>
              </w:rPr>
            </w:pPr>
            <w:r>
              <w:rPr>
                <w:rFonts w:ascii="Arial" w:cs="Arial" w:eastAsia="Arial" w:hAnsi="Arial"/>
                <w:sz w:val="11"/>
                <w:szCs w:val="11"/>
                <w:color w:val="008000"/>
              </w:rPr>
              <w:t>(1)</w:t>
            </w:r>
          </w:p>
        </w:tc>
        <w:tc>
          <w:tcPr>
            <w:tcW w:w="20" w:type="dxa"/>
            <w:vAlign w:val="bottom"/>
          </w:tcPr>
          <w:p>
            <w:pPr>
              <w:spacing w:after="0"/>
              <w:rPr>
                <w:sz w:val="23"/>
                <w:szCs w:val="23"/>
                <w:color w:val="auto"/>
              </w:rPr>
            </w:pPr>
          </w:p>
        </w:tc>
        <w:tc>
          <w:tcPr>
            <w:tcW w:w="1420" w:type="dxa"/>
            <w:vAlign w:val="bottom"/>
            <w:gridSpan w:val="3"/>
          </w:tcPr>
          <w:p>
            <w:pPr>
              <w:jc w:val="right"/>
              <w:ind w:right="396"/>
              <w:spacing w:after="0"/>
              <w:rPr>
                <w:sz w:val="20"/>
                <w:szCs w:val="20"/>
                <w:color w:val="auto"/>
              </w:rPr>
            </w:pPr>
            <w:r>
              <w:rPr>
                <w:rFonts w:ascii="Arial" w:cs="Arial" w:eastAsia="Arial" w:hAnsi="Arial"/>
                <w:sz w:val="18"/>
                <w:szCs w:val="18"/>
                <w:color w:val="0000FF"/>
              </w:rPr>
              <w:t>1,123</w:t>
            </w:r>
          </w:p>
        </w:tc>
        <w:tc>
          <w:tcPr>
            <w:tcW w:w="26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20" w:type="dxa"/>
            <w:vAlign w:val="bottom"/>
            <w:tcBorders>
              <w:bottom w:val="single" w:sz="8" w:color="2C2C2C"/>
            </w:tcBorders>
            <w:gridSpan w:val="6"/>
          </w:tcPr>
          <w:p>
            <w:pPr>
              <w:spacing w:after="0"/>
              <w:rPr>
                <w:sz w:val="5"/>
                <w:szCs w:val="5"/>
                <w:color w:val="auto"/>
              </w:rPr>
            </w:pPr>
          </w:p>
        </w:tc>
        <w:tc>
          <w:tcPr>
            <w:tcW w:w="1260" w:type="dxa"/>
            <w:vAlign w:val="bottom"/>
            <w:tcBorders>
              <w:bottom w:val="single" w:sz="8" w:color="2C2C2C"/>
            </w:tcBorders>
            <w:gridSpan w:val="3"/>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gridSpan w:val="2"/>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6"/>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260" w:type="dxa"/>
            <w:vAlign w:val="bottom"/>
            <w:tcBorders>
              <w:bottom w:val="single" w:sz="8" w:color="2C2C2C"/>
            </w:tcBorders>
            <w:gridSpan w:val="3"/>
          </w:tcPr>
          <w:p>
            <w:pPr>
              <w:jc w:val="right"/>
              <w:ind w:right="112"/>
              <w:spacing w:after="0"/>
              <w:rPr>
                <w:sz w:val="20"/>
                <w:szCs w:val="20"/>
                <w:color w:val="auto"/>
              </w:rPr>
            </w:pPr>
            <w:r>
              <w:rPr>
                <w:rFonts w:ascii="Arial" w:cs="Arial" w:eastAsia="Arial" w:hAnsi="Arial"/>
                <w:sz w:val="18"/>
                <w:szCs w:val="18"/>
                <w:color w:val="0000FF"/>
              </w:rPr>
              <w:t>12/13/2019</w:t>
            </w:r>
          </w:p>
        </w:tc>
        <w:tc>
          <w:tcPr>
            <w:tcW w:w="1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119"/>
              <w:spacing w:after="0"/>
              <w:rPr>
                <w:sz w:val="20"/>
                <w:szCs w:val="20"/>
                <w:color w:val="auto"/>
              </w:rPr>
            </w:pPr>
            <w:r>
              <w:rPr>
                <w:rFonts w:ascii="Arial" w:cs="Arial" w:eastAsia="Arial" w:hAnsi="Arial"/>
                <w:sz w:val="27"/>
                <w:szCs w:val="27"/>
                <w:color w:val="0000FF"/>
                <w:w w:val="81"/>
                <w:vertAlign w:val="subscript"/>
              </w:rPr>
              <w:t>F</w:t>
            </w:r>
            <w:r>
              <w:rPr>
                <w:rFonts w:ascii="Arial" w:cs="Arial" w:eastAsia="Arial" w:hAnsi="Arial"/>
                <w:sz w:val="11"/>
                <w:szCs w:val="11"/>
                <w:color w:val="008000"/>
                <w:w w:val="81"/>
              </w:rPr>
              <w:t>(2)</w:t>
            </w:r>
          </w:p>
        </w:tc>
        <w:tc>
          <w:tcPr>
            <w:tcW w:w="2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right"/>
              <w:ind w:right="10"/>
              <w:spacing w:after="0"/>
              <w:rPr>
                <w:sz w:val="20"/>
                <w:szCs w:val="20"/>
                <w:color w:val="auto"/>
              </w:rPr>
            </w:pPr>
            <w:r>
              <w:rPr>
                <w:rFonts w:ascii="Arial" w:cs="Arial" w:eastAsia="Arial" w:hAnsi="Arial"/>
                <w:sz w:val="18"/>
                <w:szCs w:val="18"/>
                <w:color w:val="0000FF"/>
              </w:rPr>
              <w:t>542</w:t>
            </w:r>
          </w:p>
        </w:tc>
        <w:tc>
          <w:tcPr>
            <w:tcW w:w="66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69.46</w:t>
            </w:r>
          </w:p>
        </w:tc>
        <w:tc>
          <w:tcPr>
            <w:tcW w:w="4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right"/>
              <w:ind w:right="476"/>
              <w:spacing w:after="0"/>
              <w:rPr>
                <w:sz w:val="20"/>
                <w:szCs w:val="20"/>
                <w:color w:val="auto"/>
              </w:rPr>
            </w:pPr>
            <w:r>
              <w:rPr>
                <w:rFonts w:ascii="Arial" w:cs="Arial" w:eastAsia="Arial" w:hAnsi="Arial"/>
                <w:sz w:val="18"/>
                <w:szCs w:val="18"/>
                <w:color w:val="0000FF"/>
                <w:w w:val="79"/>
              </w:rPr>
              <w:t>581</w:t>
            </w:r>
          </w:p>
        </w:tc>
        <w:tc>
          <w:tcPr>
            <w:tcW w:w="2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8160" w:type="dxa"/>
            <w:vAlign w:val="bottom"/>
            <w:tcBorders>
              <w:top w:val="single" w:sz="8" w:color="2C2C2C"/>
            </w:tcBorders>
            <w:gridSpan w:val="17"/>
          </w:tcPr>
          <w:p>
            <w:pPr>
              <w:jc w:val="center"/>
              <w:ind w:left="169"/>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26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060" w:type="dxa"/>
            <w:vAlign w:val="bottom"/>
            <w:gridSpan w:val="12"/>
          </w:tcPr>
          <w:p>
            <w:pPr>
              <w:jc w:val="center"/>
              <w:ind w:right="2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5"/>
                <w:szCs w:val="15"/>
                <w:color w:val="auto"/>
              </w:rPr>
            </w:pP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gridSpan w:val="2"/>
          </w:tcPr>
          <w:p>
            <w:pPr>
              <w:ind w:left="40"/>
              <w:spacing w:after="0"/>
              <w:rPr>
                <w:sz w:val="20"/>
                <w:szCs w:val="20"/>
                <w:color w:val="auto"/>
              </w:rPr>
            </w:pPr>
            <w:r>
              <w:rPr>
                <w:rFonts w:ascii="Arial" w:cs="Arial" w:eastAsia="Arial" w:hAnsi="Arial"/>
                <w:sz w:val="12"/>
                <w:szCs w:val="12"/>
                <w:b w:val="1"/>
                <w:bCs w:val="1"/>
                <w:color w:val="auto"/>
                <w:w w:val="97"/>
              </w:rPr>
              <w:t>8. Price of</w:t>
            </w:r>
          </w:p>
        </w:tc>
        <w:tc>
          <w:tcPr>
            <w:tcW w:w="1060" w:type="dxa"/>
            <w:vAlign w:val="bottom"/>
            <w:gridSpan w:val="2"/>
          </w:tcPr>
          <w:p>
            <w:pPr>
              <w:ind w:left="16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0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7"/>
              </w:rPr>
              <w:t>Derivative</w:t>
            </w:r>
          </w:p>
        </w:tc>
        <w:tc>
          <w:tcPr>
            <w:tcW w:w="80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106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6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0" w:type="dxa"/>
            <w:vAlign w:val="bottom"/>
          </w:tcPr>
          <w:p>
            <w:pPr>
              <w:spacing w:after="0"/>
              <w:rPr>
                <w:sz w:val="4"/>
                <w:szCs w:val="4"/>
                <w:color w:val="auto"/>
              </w:rPr>
            </w:pPr>
          </w:p>
        </w:tc>
        <w:tc>
          <w:tcPr>
            <w:tcW w:w="26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60" w:type="dxa"/>
            <w:vAlign w:val="bottom"/>
          </w:tcPr>
          <w:p>
            <w:pPr>
              <w:ind w:left="40"/>
              <w:spacing w:after="0"/>
              <w:rPr>
                <w:sz w:val="20"/>
                <w:szCs w:val="20"/>
                <w:color w:val="auto"/>
              </w:rPr>
            </w:pPr>
            <w:r>
              <w:rPr>
                <w:rFonts w:ascii="Arial" w:cs="Arial" w:eastAsia="Arial" w:hAnsi="Arial"/>
                <w:sz w:val="14"/>
                <w:szCs w:val="14"/>
                <w:color w:val="0000FF"/>
              </w:rPr>
              <w:t>Common</w:t>
            </w: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Restricted</w:t>
            </w:r>
          </w:p>
        </w:tc>
        <w:tc>
          <w:tcPr>
            <w:tcW w:w="66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0" w:type="dxa"/>
            <w:vAlign w:val="bottom"/>
            <w:gridSpan w:val="2"/>
            <w:vMerge w:val="restart"/>
          </w:tcPr>
          <w:p>
            <w:pPr>
              <w:jc w:val="center"/>
              <w:spacing w:after="0"/>
              <w:rPr>
                <w:sz w:val="20"/>
                <w:szCs w:val="20"/>
                <w:color w:val="auto"/>
              </w:rPr>
            </w:pPr>
            <w:r>
              <w:rPr>
                <w:rFonts w:ascii="Arial" w:cs="Arial" w:eastAsia="Arial" w:hAnsi="Arial"/>
                <w:sz w:val="11"/>
                <w:szCs w:val="11"/>
                <w:color w:val="008000"/>
              </w:rPr>
              <w:t>(3)</w:t>
            </w: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60" w:type="dxa"/>
            <w:vAlign w:val="bottom"/>
          </w:tcPr>
          <w:p>
            <w:pPr>
              <w:jc w:val="right"/>
              <w:ind w:right="134"/>
              <w:spacing w:after="0" w:line="149" w:lineRule="exact"/>
              <w:rPr>
                <w:sz w:val="20"/>
                <w:szCs w:val="20"/>
                <w:color w:val="auto"/>
              </w:rPr>
            </w:pPr>
            <w:r>
              <w:rPr>
                <w:rFonts w:ascii="Arial" w:cs="Arial" w:eastAsia="Arial" w:hAnsi="Arial"/>
                <w:sz w:val="14"/>
                <w:szCs w:val="14"/>
                <w:color w:val="0000FF"/>
              </w:rPr>
              <w:t>Stock,</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0000FF"/>
              </w:rPr>
              <w:t>1,123</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0" w:type="dxa"/>
            <w:vAlign w:val="bottom"/>
            <w:vMerge w:val="restart"/>
          </w:tcPr>
          <w:p>
            <w:pPr>
              <w:ind w:left="360"/>
              <w:spacing w:after="0"/>
              <w:rPr>
                <w:sz w:val="20"/>
                <w:szCs w:val="20"/>
                <w:color w:val="auto"/>
              </w:rPr>
            </w:pPr>
            <w:r>
              <w:rPr>
                <w:rFonts w:ascii="Arial" w:cs="Arial" w:eastAsia="Arial" w:hAnsi="Arial"/>
                <w:sz w:val="14"/>
                <w:szCs w:val="14"/>
                <w:color w:val="0000FF"/>
                <w:w w:val="79"/>
              </w:rPr>
              <w:t>3,369</w:t>
            </w:r>
            <w:r>
              <w:rPr>
                <w:rFonts w:ascii="Arial" w:cs="Arial" w:eastAsia="Arial" w:hAnsi="Arial"/>
                <w:sz w:val="22"/>
                <w:szCs w:val="22"/>
                <w:color w:val="008000"/>
                <w:w w:val="79"/>
                <w:vertAlign w:val="superscript"/>
              </w:rPr>
              <w:t>(4)</w:t>
            </w: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ind w:left="260"/>
              <w:spacing w:after="0" w:line="149" w:lineRule="exact"/>
              <w:rPr>
                <w:sz w:val="20"/>
                <w:szCs w:val="20"/>
                <w:color w:val="auto"/>
              </w:rPr>
            </w:pPr>
            <w:r>
              <w:rPr>
                <w:rFonts w:ascii="Arial" w:cs="Arial" w:eastAsia="Arial" w:hAnsi="Arial"/>
                <w:sz w:val="14"/>
                <w:szCs w:val="14"/>
                <w:color w:val="0000FF"/>
              </w:rPr>
              <w:t>12/13/2019</w:t>
            </w: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ind w:right="312"/>
              <w:spacing w:after="0" w:line="149" w:lineRule="exact"/>
              <w:rPr>
                <w:sz w:val="20"/>
                <w:szCs w:val="20"/>
                <w:color w:val="auto"/>
              </w:rPr>
            </w:pPr>
            <w:r>
              <w:rPr>
                <w:rFonts w:ascii="Arial" w:cs="Arial" w:eastAsia="Arial" w:hAnsi="Arial"/>
                <w:sz w:val="14"/>
                <w:szCs w:val="14"/>
                <w:color w:val="0000FF"/>
              </w:rPr>
              <w:t>M</w:t>
            </w:r>
          </w:p>
        </w:tc>
        <w:tc>
          <w:tcPr>
            <w:tcW w:w="160" w:type="dxa"/>
            <w:vAlign w:val="bottom"/>
          </w:tcPr>
          <w:p>
            <w:pPr>
              <w:spacing w:after="0"/>
              <w:rPr>
                <w:sz w:val="12"/>
                <w:szCs w:val="12"/>
                <w:color w:val="auto"/>
              </w:rPr>
            </w:pPr>
          </w:p>
        </w:tc>
        <w:tc>
          <w:tcPr>
            <w:tcW w:w="820" w:type="dxa"/>
            <w:vAlign w:val="bottom"/>
          </w:tcPr>
          <w:p>
            <w:pPr>
              <w:ind w:left="400"/>
              <w:spacing w:after="0" w:line="149" w:lineRule="exact"/>
              <w:rPr>
                <w:sz w:val="20"/>
                <w:szCs w:val="20"/>
                <w:color w:val="auto"/>
              </w:rPr>
            </w:pPr>
            <w:r>
              <w:rPr>
                <w:rFonts w:ascii="Arial" w:cs="Arial" w:eastAsia="Arial" w:hAnsi="Arial"/>
                <w:sz w:val="14"/>
                <w:szCs w:val="14"/>
                <w:color w:val="0000FF"/>
              </w:rPr>
              <w:t>1,123</w:t>
            </w:r>
          </w:p>
        </w:tc>
        <w:tc>
          <w:tcPr>
            <w:tcW w:w="800" w:type="dxa"/>
            <w:vAlign w:val="bottom"/>
            <w:gridSpan w:val="2"/>
            <w:vMerge w:val="continue"/>
          </w:tcPr>
          <w:p>
            <w:pPr>
              <w:spacing w:after="0"/>
              <w:rPr>
                <w:sz w:val="12"/>
                <w:szCs w:val="12"/>
                <w:color w:val="auto"/>
              </w:rPr>
            </w:pPr>
          </w:p>
        </w:tc>
        <w:tc>
          <w:tcPr>
            <w:tcW w:w="780" w:type="dxa"/>
            <w:vAlign w:val="bottom"/>
            <w:gridSpan w:val="2"/>
          </w:tcPr>
          <w:p>
            <w:pPr>
              <w:ind w:left="60"/>
              <w:spacing w:after="0" w:line="149" w:lineRule="exact"/>
              <w:rPr>
                <w:sz w:val="20"/>
                <w:szCs w:val="20"/>
                <w:color w:val="auto"/>
              </w:rPr>
            </w:pPr>
            <w:r>
              <w:rPr>
                <w:rFonts w:ascii="Arial" w:cs="Arial" w:eastAsia="Arial" w:hAnsi="Arial"/>
                <w:sz w:val="14"/>
                <w:szCs w:val="14"/>
                <w:color w:val="0000FF"/>
                <w:w w:val="99"/>
              </w:rPr>
              <w:t>12/13/2028</w:t>
            </w:r>
          </w:p>
        </w:tc>
        <w:tc>
          <w:tcPr>
            <w:tcW w:w="660" w:type="dxa"/>
            <w:vAlign w:val="bottom"/>
          </w:tcPr>
          <w:p>
            <w:pPr>
              <w:ind w:left="40"/>
              <w:spacing w:after="0" w:line="149" w:lineRule="exact"/>
              <w:rPr>
                <w:sz w:val="20"/>
                <w:szCs w:val="20"/>
                <w:color w:val="auto"/>
              </w:rPr>
            </w:pPr>
            <w:r>
              <w:rPr>
                <w:rFonts w:ascii="Arial" w:cs="Arial" w:eastAsia="Arial" w:hAnsi="Arial"/>
                <w:sz w:val="14"/>
                <w:szCs w:val="14"/>
                <w:color w:val="0000FF"/>
              </w:rPr>
              <w:t>par value</w:t>
            </w:r>
          </w:p>
        </w:tc>
        <w:tc>
          <w:tcPr>
            <w:tcW w:w="5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gridSpan w:val="2"/>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8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ind w:left="340"/>
              <w:spacing w:after="0" w:line="149" w:lineRule="exact"/>
              <w:rPr>
                <w:sz w:val="20"/>
                <w:szCs w:val="20"/>
                <w:color w:val="auto"/>
              </w:rPr>
            </w:pPr>
            <w:r>
              <w:rPr>
                <w:rFonts w:ascii="Arial" w:cs="Arial" w:eastAsia="Arial" w:hAnsi="Arial"/>
                <w:sz w:val="14"/>
                <w:szCs w:val="14"/>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Units</w:t>
            </w: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jc w:val="right"/>
              <w:ind w:right="134"/>
              <w:spacing w:after="0"/>
              <w:rPr>
                <w:sz w:val="20"/>
                <w:szCs w:val="20"/>
                <w:color w:val="auto"/>
              </w:rPr>
            </w:pPr>
            <w:r>
              <w:rPr>
                <w:rFonts w:ascii="Arial" w:cs="Arial" w:eastAsia="Arial" w:hAnsi="Arial"/>
                <w:sz w:val="14"/>
                <w:szCs w:val="14"/>
                <w:color w:val="0000FF"/>
              </w:rPr>
              <w:t>$0.001</w:t>
            </w: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7100"/>
        <w:spacing w:after="0"/>
        <w:rPr>
          <w:sz w:val="20"/>
          <w:szCs w:val="20"/>
          <w:color w:val="auto"/>
        </w:rPr>
      </w:pPr>
      <w:r>
        <w:rPr>
          <w:rFonts w:ascii="Arial" w:cs="Arial" w:eastAsia="Arial" w:hAnsi="Arial"/>
          <w:sz w:val="14"/>
          <w:szCs w:val="14"/>
          <w:color w:val="0000FF"/>
        </w:rPr>
        <w:t>per share</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Restricted stock units of ExlService Holdings, Inc. (the "Company") convert into common stock, par value $0.001 per share (the "Common Stock") on a one-for-one basis.</w:t>
      </w:r>
    </w:p>
    <w:p>
      <w:pPr>
        <w:spacing w:after="0" w:line="41" w:lineRule="exact"/>
        <w:rPr>
          <w:rFonts w:ascii="Arial" w:cs="Arial" w:eastAsia="Arial" w:hAnsi="Arial"/>
          <w:sz w:val="14"/>
          <w:szCs w:val="14"/>
          <w:color w:val="008000"/>
        </w:rPr>
      </w:pPr>
    </w:p>
    <w:p>
      <w:pPr>
        <w:ind w:left="40" w:right="32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person's restricted stock units reported in this report vested on December 13, 2019. Pursuant to the ExlService Holdings, Inc. 2018 Omnibus Incentive Plan, pursuant to which such restricted stock units were granted, the closing price of the Common Stock on the Nasdaq Global Select Market on the preceding day is used for purposes of computing tax reporting and withholding.</w:t>
      </w:r>
    </w:p>
    <w:p>
      <w:pPr>
        <w:ind w:left="40" w:right="28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December 13, 2018, the reporting person was granted 4,492 restricted stock units, 25 percent of the restricted stock units became vested on December 13, 2019, an additional 25 percent of the restricted stock units will vest December 13, 2020, an additional 25 percent of the restricted stock units will vest on December 13, 2021, and the remaining balance 25 percent of the restricted stock units will vest on December 13, 2022.</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total number of unvested Restricted Stock Units indicated above has been adjusted to correct a prior inadvertent understatement due to administrative error.</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12/17/2019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762098"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2019-12-17T16:08:46Z</dcterms:created>
  <dcterms:modified xsi:type="dcterms:W3CDTF">2019-12-17T16:08:46Z</dcterms:modified>
</cp:coreProperties>
</file>