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15, 2005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5"/>
          <w:szCs w:val="15"/>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82-0572194</w:t>
      </w:r>
    </w:p>
    <w:p>
      <w:pPr>
        <w:spacing w:after="0" w:line="29" w:lineRule="exact"/>
        <w:rPr>
          <w:sz w:val="24"/>
          <w:szCs w:val="24"/>
          <w:color w:val="auto"/>
        </w:rPr>
      </w:pPr>
    </w:p>
    <w:p>
      <w:pPr>
        <w:sectPr>
          <w:pgSz w:w="11900" w:h="16838" w:orient="portrait"/>
          <w:cols w:equalWidth="0" w:num="3">
            <w:col w:w="4860" w:space="720"/>
            <w:col w:w="2880" w:space="720"/>
            <w:col w:w="2240"/>
          </w:cols>
          <w:pgMar w:left="240" w:top="230" w:right="2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27" w:lineRule="exact"/>
        <w:rPr>
          <w:sz w:val="24"/>
          <w:szCs w:val="24"/>
          <w:color w:val="auto"/>
        </w:rPr>
      </w:pPr>
    </w:p>
    <w:p>
      <w:pPr>
        <w:sectPr>
          <w:pgSz w:w="11900" w:h="16838" w:orient="portrait"/>
          <w:cols w:equalWidth="0" w:num="3">
            <w:col w:w="4260" w:space="720"/>
            <w:col w:w="2920" w:space="720"/>
            <w:col w:w="2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Arial" w:cs="Arial" w:eastAsia="Arial" w:hAnsi="Arial"/>
                <w:sz w:val="14"/>
                <w:szCs w:val="14"/>
                <w:b w:val="1"/>
                <w:bCs w:val="1"/>
                <w:color w:val="auto"/>
                <w:w w:val="85"/>
              </w:rPr>
              <w:t>John C. Kennedy,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6"/>
              </w:rPr>
              <w:t>Amit Shashank, Esq.</w:t>
            </w:r>
          </w:p>
        </w:tc>
        <w:tc>
          <w:tcPr>
            <w:tcW w:w="3060" w:type="dxa"/>
            <w:vAlign w:val="bottom"/>
          </w:tcPr>
          <w:p>
            <w:pPr>
              <w:jc w:val="center"/>
              <w:ind w:left="692"/>
              <w:spacing w:after="0"/>
              <w:rPr>
                <w:sz w:val="20"/>
                <w:szCs w:val="20"/>
                <w:color w:val="auto"/>
              </w:rPr>
            </w:pPr>
            <w:r>
              <w:rPr>
                <w:rFonts w:ascii="Arial" w:cs="Arial" w:eastAsia="Arial" w:hAnsi="Arial"/>
                <w:sz w:val="14"/>
                <w:szCs w:val="14"/>
                <w:b w:val="1"/>
                <w:bCs w:val="1"/>
                <w:color w:val="auto"/>
                <w:w w:val="86"/>
              </w:rPr>
              <w:t>Janet L. Fisher, Esq.</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7"/>
              </w:rPr>
              <w:t>Kenneth M. Schneider, Esq.</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General Counsel and Vice President</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91"/>
              </w:rPr>
              <w:t>Cleary Gottlieb Steen &amp; Hamilton LLP</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0"/>
              </w:rPr>
              <w:t>Paul, Weiss, Rifkind, Wharton &amp; Garrison LLP</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ExlService Holdings, Inc.</w:t>
            </w:r>
          </w:p>
        </w:tc>
        <w:tc>
          <w:tcPr>
            <w:tcW w:w="306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0"/>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5"/>
              </w:rPr>
              <w:t>1285 Avenue of the Americas</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350 Park Avenue</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9"/>
              </w:rPr>
              <w:t>New York, New York 10006</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8"/>
              </w:rPr>
              <w:t>New York, New York 10019-6064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New York, New York 10022</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(212) 225-2000</w:t>
            </w:r>
          </w:p>
        </w:tc>
      </w:tr>
      <w:tr>
        <w:trPr>
          <w:trHeight w:val="174"/>
        </w:trPr>
        <w:tc>
          <w:tcPr>
            <w:tcW w:w="3480" w:type="dxa"/>
            <w:vAlign w:val="bottom"/>
          </w:tcPr>
          <w:p>
            <w:pPr>
              <w:jc w:val="center"/>
              <w:ind w:right="652"/>
              <w:spacing w:after="0"/>
              <w:rPr>
                <w:sz w:val="20"/>
                <w:szCs w:val="20"/>
                <w:color w:val="auto"/>
              </w:rPr>
            </w:pPr>
            <w:r>
              <w:rPr>
                <w:rFonts w:ascii="Arial" w:cs="Arial" w:eastAsia="Arial" w:hAnsi="Arial"/>
                <w:sz w:val="14"/>
                <w:szCs w:val="14"/>
                <w:b w:val="1"/>
                <w:bCs w:val="1"/>
                <w:color w:val="auto"/>
                <w:w w:val="87"/>
              </w:rPr>
              <w:t>(212) 373-3000</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7"/>
              </w:rPr>
              <w:t>(212) 277-7100</w:t>
            </w:r>
          </w:p>
        </w:tc>
        <w:tc>
          <w:tcPr>
            <w:tcW w:w="3060" w:type="dxa"/>
            <w:vAlign w:val="bottom"/>
          </w:tcPr>
          <w:p>
            <w:pPr>
              <w:spacing w:after="0"/>
              <w:rPr>
                <w:sz w:val="15"/>
                <w:szCs w:val="15"/>
                <w:color w:val="auto"/>
              </w:rPr>
            </w:pPr>
          </w:p>
        </w:tc>
      </w:tr>
    </w:tbl>
    <w:p>
      <w:pPr>
        <w:ind w:left="360"/>
        <w:spacing w:after="0"/>
        <w:tabs>
          <w:tab w:leader="none" w:pos="5260" w:val="left"/>
        </w:tabs>
        <w:rPr>
          <w:sz w:val="20"/>
          <w:szCs w:val="20"/>
          <w:color w:val="auto"/>
        </w:rPr>
      </w:pPr>
      <w:r>
        <w:rPr>
          <w:rFonts w:ascii="Arial" w:cs="Arial" w:eastAsia="Arial" w:hAnsi="Arial"/>
          <w:sz w:val="18"/>
          <w:szCs w:val="18"/>
          <w:b w:val="1"/>
          <w:bCs w:val="1"/>
          <w:color w:val="auto"/>
        </w:rPr>
        <w:t>Approximate date of commencement of proposed sale to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8" w:lineRule="exact"/>
        <w:rPr>
          <w:sz w:val="24"/>
          <w:szCs w:val="24"/>
          <w:color w:val="auto"/>
        </w:rPr>
      </w:pPr>
    </w:p>
    <w:p>
      <w:pPr>
        <w:ind w:right="420" w:firstLine="342"/>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420" w:firstLine="342"/>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80" w:firstLine="342"/>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60" w:firstLine="342"/>
        <w:spacing w:after="0" w:line="21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74930</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jc w:val="center"/>
              <w:ind w:left="6"/>
              <w:spacing w:after="0"/>
              <w:rPr>
                <w:sz w:val="20"/>
                <w:szCs w:val="20"/>
                <w:color w:val="auto"/>
              </w:rPr>
            </w:pPr>
            <w:r>
              <w:rPr>
                <w:rFonts w:ascii="Arial" w:cs="Arial" w:eastAsia="Arial" w:hAnsi="Arial"/>
                <w:sz w:val="14"/>
                <w:szCs w:val="14"/>
                <w:b w:val="1"/>
                <w:bCs w:val="1"/>
                <w:color w:val="auto"/>
                <w:w w:val="82"/>
              </w:rPr>
              <w:t>Title of each class</w:t>
            </w:r>
          </w:p>
        </w:tc>
        <w:tc>
          <w:tcPr>
            <w:tcW w:w="4320" w:type="dxa"/>
            <w:vAlign w:val="bottom"/>
          </w:tcPr>
          <w:p>
            <w:pPr>
              <w:jc w:val="center"/>
              <w:ind w:left="846"/>
              <w:spacing w:after="0"/>
              <w:rPr>
                <w:sz w:val="20"/>
                <w:szCs w:val="20"/>
                <w:color w:val="auto"/>
              </w:rPr>
            </w:pPr>
            <w:r>
              <w:rPr>
                <w:rFonts w:ascii="Arial" w:cs="Arial" w:eastAsia="Arial" w:hAnsi="Arial"/>
                <w:sz w:val="14"/>
                <w:szCs w:val="14"/>
                <w:b w:val="1"/>
                <w:bCs w:val="1"/>
                <w:color w:val="auto"/>
                <w:w w:val="86"/>
              </w:rPr>
              <w:t>Proposed maximum</w:t>
            </w:r>
          </w:p>
        </w:tc>
        <w:tc>
          <w:tcPr>
            <w:tcW w:w="1880" w:type="dxa"/>
            <w:vAlign w:val="bottom"/>
          </w:tcPr>
          <w:p>
            <w:pPr>
              <w:jc w:val="center"/>
              <w:ind w:left="746"/>
              <w:spacing w:after="0"/>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20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3"/>
              </w:rPr>
              <w:t>of securities to be registered</w:t>
            </w:r>
          </w:p>
        </w:tc>
        <w:tc>
          <w:tcPr>
            <w:tcW w:w="4320" w:type="dxa"/>
            <w:vAlign w:val="bottom"/>
            <w:tcBorders>
              <w:bottom w:val="single" w:sz="8" w:color="auto"/>
            </w:tcBorders>
          </w:tcPr>
          <w:p>
            <w:pPr>
              <w:jc w:val="center"/>
              <w:ind w:left="846"/>
              <w:spacing w:after="0"/>
              <w:rPr>
                <w:sz w:val="20"/>
                <w:szCs w:val="20"/>
                <w:color w:val="auto"/>
              </w:rPr>
            </w:pPr>
            <w:r>
              <w:rPr>
                <w:rFonts w:ascii="Arial" w:cs="Arial" w:eastAsia="Arial" w:hAnsi="Arial"/>
                <w:sz w:val="14"/>
                <w:szCs w:val="14"/>
                <w:b w:val="1"/>
                <w:bCs w:val="1"/>
                <w:color w:val="auto"/>
                <w:w w:val="86"/>
              </w:rPr>
              <w:t>aggregate offering price (1) (2)</w:t>
            </w:r>
          </w:p>
        </w:tc>
        <w:tc>
          <w:tcPr>
            <w:tcW w:w="1880" w:type="dxa"/>
            <w:vAlign w:val="bottom"/>
            <w:tcBorders>
              <w:bottom w:val="single" w:sz="8" w:color="auto"/>
            </w:tcBorders>
          </w:tcPr>
          <w:p>
            <w:pPr>
              <w:jc w:val="center"/>
              <w:ind w:left="746"/>
              <w:spacing w:after="0"/>
              <w:rPr>
                <w:sz w:val="20"/>
                <w:szCs w:val="20"/>
                <w:color w:val="auto"/>
              </w:rPr>
            </w:pPr>
            <w:r>
              <w:rPr>
                <w:rFonts w:ascii="Arial" w:cs="Arial" w:eastAsia="Arial" w:hAnsi="Arial"/>
                <w:sz w:val="14"/>
                <w:szCs w:val="14"/>
                <w:b w:val="1"/>
                <w:bCs w:val="1"/>
                <w:color w:val="auto"/>
                <w:w w:val="86"/>
              </w:rPr>
              <w:t>registration fee (3)</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Common Stock, par value $0.001</w:t>
            </w:r>
          </w:p>
        </w:tc>
        <w:tc>
          <w:tcPr>
            <w:tcW w:w="4320" w:type="dxa"/>
            <w:vAlign w:val="bottom"/>
          </w:tcPr>
          <w:p>
            <w:pPr>
              <w:jc w:val="center"/>
              <w:ind w:left="846"/>
              <w:spacing w:after="0"/>
              <w:rPr>
                <w:sz w:val="20"/>
                <w:szCs w:val="20"/>
                <w:color w:val="auto"/>
              </w:rPr>
            </w:pPr>
            <w:r>
              <w:rPr>
                <w:rFonts w:ascii="Arial" w:cs="Arial" w:eastAsia="Arial" w:hAnsi="Arial"/>
                <w:sz w:val="18"/>
                <w:szCs w:val="18"/>
                <w:color w:val="auto"/>
                <w:w w:val="87"/>
              </w:rPr>
              <w:t>$75,000,000</w:t>
            </w:r>
          </w:p>
        </w:tc>
        <w:tc>
          <w:tcPr>
            <w:tcW w:w="1880" w:type="dxa"/>
            <w:vAlign w:val="bottom"/>
          </w:tcPr>
          <w:p>
            <w:pPr>
              <w:jc w:val="center"/>
              <w:ind w:left="726"/>
              <w:spacing w:after="0"/>
              <w:rPr>
                <w:sz w:val="20"/>
                <w:szCs w:val="20"/>
                <w:color w:val="auto"/>
              </w:rPr>
            </w:pPr>
            <w:r>
              <w:rPr>
                <w:rFonts w:ascii="Arial" w:cs="Arial" w:eastAsia="Arial" w:hAnsi="Arial"/>
                <w:sz w:val="18"/>
                <w:szCs w:val="18"/>
                <w:color w:val="auto"/>
                <w:w w:val="87"/>
              </w:rPr>
              <w:t>$9,503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of the Securities Act of 1933.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additional shares of common stock which may be purchased by the underwriters at their option.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6" w:lineRule="exact"/>
        <w:rPr>
          <w:sz w:val="24"/>
          <w:szCs w:val="24"/>
          <w:color w:val="auto"/>
        </w:rPr>
      </w:pPr>
    </w:p>
    <w:p>
      <w:pPr>
        <w:jc w:val="both"/>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April 15, 2005.</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186690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This is an initial public offering of</w:t>
      </w:r>
      <w:r>
        <w:rPr>
          <w:sz w:val="20"/>
          <w:szCs w:val="20"/>
          <w:color w:val="auto"/>
        </w:rPr>
        <w:tab/>
      </w:r>
      <w:r>
        <w:rPr>
          <w:rFonts w:ascii="Arial" w:cs="Arial" w:eastAsia="Arial" w:hAnsi="Arial"/>
          <w:sz w:val="16"/>
          <w:szCs w:val="16"/>
          <w:color w:val="auto"/>
        </w:rPr>
        <w:t>shares of common stock of ExlService Holdings, Inc., all of which are being offered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this offering, there has been no public market for the common stock. We currently estimate that the initial public offering price per share will be</w:t>
      </w:r>
    </w:p>
    <w:p>
      <w:pPr>
        <w:spacing w:after="0" w:line="3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between $ and $ per share. We have applied to have our common stock quoted on the Nasdaq National Market under the symbol “EXLS.”</w:t>
      </w:r>
    </w:p>
    <w:p>
      <w:pPr>
        <w:spacing w:after="0" w:line="105"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10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95250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93980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95"/>
        </w:trPr>
        <w:tc>
          <w:tcPr>
            <w:tcW w:w="4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44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Underwriting discount and commission</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Proceeds, before expenses</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365"/>
        </w:trPr>
        <w:tc>
          <w:tcPr>
            <w:tcW w:w="4400" w:type="dxa"/>
            <w:vAlign w:val="bottom"/>
          </w:tcPr>
          <w:p>
            <w:pPr>
              <w:ind w:left="460"/>
              <w:spacing w:after="0"/>
              <w:rPr>
                <w:sz w:val="20"/>
                <w:szCs w:val="20"/>
                <w:color w:val="auto"/>
              </w:rPr>
            </w:pPr>
            <w:r>
              <w:rPr>
                <w:rFonts w:ascii="Arial" w:cs="Arial" w:eastAsia="Arial" w:hAnsi="Arial"/>
                <w:sz w:val="18"/>
                <w:szCs w:val="18"/>
                <w:color w:val="auto"/>
                <w:w w:val="99"/>
              </w:rPr>
              <w:t>To the extent that the underwriters sell more than</w:t>
            </w:r>
          </w:p>
        </w:tc>
        <w:tc>
          <w:tcPr>
            <w:tcW w:w="7020" w:type="dxa"/>
            <w:vAlign w:val="bottom"/>
            <w:gridSpan w:val="4"/>
          </w:tcPr>
          <w:p>
            <w:pPr>
              <w:jc w:val="right"/>
              <w:ind w:right="772"/>
              <w:spacing w:after="0"/>
              <w:rPr>
                <w:sz w:val="20"/>
                <w:szCs w:val="20"/>
                <w:color w:val="auto"/>
              </w:rPr>
            </w:pPr>
            <w:r>
              <w:rPr>
                <w:rFonts w:ascii="Arial" w:cs="Arial" w:eastAsia="Arial" w:hAnsi="Arial"/>
                <w:sz w:val="18"/>
                <w:szCs w:val="18"/>
                <w:color w:val="auto"/>
                <w:w w:val="94"/>
              </w:rPr>
              <w:t>shares of our common stock, they have the option to purchase up to an additional</w:t>
            </w:r>
          </w:p>
        </w:tc>
      </w:tr>
    </w:tbl>
    <w:p>
      <w:pPr>
        <w:ind w:left="920"/>
        <w:spacing w:after="0"/>
        <w:rPr>
          <w:sz w:val="20"/>
          <w:szCs w:val="20"/>
          <w:color w:val="auto"/>
        </w:rPr>
      </w:pPr>
      <w:r>
        <w:rPr>
          <w:rFonts w:ascii="Arial" w:cs="Arial" w:eastAsia="Arial" w:hAnsi="Arial"/>
          <w:sz w:val="16"/>
          <w:szCs w:val="16"/>
          <w:color w:val="auto"/>
        </w:rPr>
        <w:t>shares from us at the public offering price less the underwriting discount. Up to 5% of the shares offered hereby have been reserved for sale at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gridSpan w:val="4"/>
          </w:tcPr>
          <w:p>
            <w:pPr>
              <w:spacing w:after="0"/>
              <w:rPr>
                <w:sz w:val="20"/>
                <w:szCs w:val="20"/>
                <w:color w:val="auto"/>
              </w:rPr>
            </w:pPr>
            <w:r>
              <w:rPr>
                <w:rFonts w:ascii="Arial" w:cs="Arial" w:eastAsia="Arial" w:hAnsi="Arial"/>
                <w:sz w:val="18"/>
                <w:szCs w:val="18"/>
                <w:color w:val="auto"/>
              </w:rPr>
              <w:t>initial public offering price to specified persons under our directed share program.</w:t>
            </w:r>
          </w:p>
        </w:tc>
        <w:tc>
          <w:tcPr>
            <w:tcW w:w="3420" w:type="dxa"/>
            <w:vAlign w:val="bottom"/>
          </w:tcPr>
          <w:p>
            <w:pPr>
              <w:spacing w:after="0"/>
              <w:rPr>
                <w:sz w:val="19"/>
                <w:szCs w:val="19"/>
                <w:color w:val="auto"/>
              </w:rPr>
            </w:pPr>
          </w:p>
        </w:tc>
      </w:tr>
      <w:tr>
        <w:trPr>
          <w:trHeight w:val="171"/>
        </w:trPr>
        <w:tc>
          <w:tcPr>
            <w:tcW w:w="4840" w:type="dxa"/>
            <w:vAlign w:val="bottom"/>
            <w:gridSpan w:val="2"/>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83"/>
        </w:trPr>
        <w:tc>
          <w:tcPr>
            <w:tcW w:w="8000" w:type="dxa"/>
            <w:vAlign w:val="bottom"/>
            <w:gridSpan w:val="4"/>
          </w:tcPr>
          <w:p>
            <w:pPr>
              <w:ind w:left="460"/>
              <w:spacing w:after="0"/>
              <w:rPr>
                <w:sz w:val="20"/>
                <w:szCs w:val="20"/>
                <w:color w:val="auto"/>
              </w:rPr>
            </w:pPr>
            <w:r>
              <w:rPr>
                <w:rFonts w:ascii="Arial" w:cs="Arial" w:eastAsia="Arial" w:hAnsi="Arial"/>
                <w:sz w:val="18"/>
                <w:szCs w:val="18"/>
                <w:color w:val="auto"/>
                <w:w w:val="90"/>
              </w:rPr>
              <w:t>The underwriters expect to deliver the shares to purchasers against payment in New York, New York on</w:t>
            </w:r>
          </w:p>
        </w:tc>
        <w:tc>
          <w:tcPr>
            <w:tcW w:w="3420" w:type="dxa"/>
            <w:vAlign w:val="bottom"/>
          </w:tcPr>
          <w:p>
            <w:pPr>
              <w:jc w:val="right"/>
              <w:ind w:right="2136"/>
              <w:spacing w:after="0"/>
              <w:rPr>
                <w:sz w:val="20"/>
                <w:szCs w:val="20"/>
                <w:color w:val="auto"/>
              </w:rPr>
            </w:pPr>
            <w:r>
              <w:rPr>
                <w:rFonts w:ascii="Arial" w:cs="Arial" w:eastAsia="Arial" w:hAnsi="Arial"/>
                <w:sz w:val="18"/>
                <w:szCs w:val="18"/>
                <w:color w:val="auto"/>
              </w:rPr>
              <w:t>, 2005.</w:t>
            </w:r>
          </w:p>
        </w:tc>
      </w:tr>
      <w:tr>
        <w:trPr>
          <w:trHeight w:val="530"/>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32"/>
                <w:szCs w:val="32"/>
                <w:b w:val="1"/>
                <w:bCs w:val="1"/>
                <w:color w:val="auto"/>
                <w:w w:val="99"/>
              </w:rPr>
              <w:t>Goldman, Sachs &amp; Co.</w:t>
            </w:r>
          </w:p>
        </w:tc>
      </w:tr>
      <w:tr>
        <w:trPr>
          <w:trHeight w:val="422"/>
        </w:trPr>
        <w:tc>
          <w:tcPr>
            <w:tcW w:w="8000" w:type="dxa"/>
            <w:vAlign w:val="bottom"/>
            <w:gridSpan w:val="4"/>
          </w:tcPr>
          <w:p>
            <w:pPr>
              <w:spacing w:after="0"/>
              <w:rPr>
                <w:sz w:val="20"/>
                <w:szCs w:val="20"/>
                <w:color w:val="auto"/>
              </w:rPr>
            </w:pPr>
            <w:r>
              <w:rPr>
                <w:rFonts w:ascii="Arial" w:cs="Arial" w:eastAsia="Arial" w:hAnsi="Arial"/>
                <w:sz w:val="24"/>
                <w:szCs w:val="24"/>
                <w:b w:val="1"/>
                <w:bCs w:val="1"/>
                <w:color w:val="auto"/>
              </w:rPr>
              <w:t>Merrill Lynch &amp; Co.</w:t>
            </w:r>
          </w:p>
        </w:tc>
        <w:tc>
          <w:tcPr>
            <w:tcW w:w="34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358"/>
        </w:trPr>
        <w:tc>
          <w:tcPr>
            <w:tcW w:w="1740" w:type="dxa"/>
            <w:vAlign w:val="bottom"/>
          </w:tcPr>
          <w:p>
            <w:pPr>
              <w:spacing w:after="0"/>
              <w:rPr>
                <w:sz w:val="20"/>
                <w:szCs w:val="20"/>
                <w:color w:val="auto"/>
              </w:rPr>
            </w:pPr>
            <w:r>
              <w:rPr>
                <w:rFonts w:ascii="Arial" w:cs="Arial" w:eastAsia="Arial" w:hAnsi="Arial"/>
                <w:sz w:val="18"/>
                <w:szCs w:val="18"/>
                <w:color w:val="auto"/>
              </w:rPr>
              <w:t>Prospectus dated</w:t>
            </w:r>
          </w:p>
        </w:tc>
        <w:tc>
          <w:tcPr>
            <w:tcW w:w="3100" w:type="dxa"/>
            <w:vAlign w:val="bottom"/>
          </w:tcPr>
          <w:p>
            <w:pPr>
              <w:jc w:val="right"/>
              <w:ind w:right="2152"/>
              <w:spacing w:after="0"/>
              <w:rPr>
                <w:sz w:val="20"/>
                <w:szCs w:val="20"/>
                <w:color w:val="auto"/>
              </w:rPr>
            </w:pPr>
            <w:r>
              <w:rPr>
                <w:rFonts w:ascii="Arial" w:cs="Arial" w:eastAsia="Arial" w:hAnsi="Arial"/>
                <w:sz w:val="18"/>
                <w:szCs w:val="18"/>
                <w:color w:val="auto"/>
              </w:rPr>
              <w:t>, 2005.</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125730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6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and Market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700" w:type="dxa"/>
            <w:vAlign w:val="bottom"/>
            <w:gridSpan w:val="8"/>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Dividend Policy</w:t>
              </w:r>
            </w:hyperlink>
          </w:p>
        </w:tc>
        <w:tc>
          <w:tcPr>
            <w:tcW w:w="4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10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Capitalization</w:t>
              </w:r>
            </w:hyperlink>
          </w:p>
        </w:tc>
        <w:tc>
          <w:tcPr>
            <w:tcW w:w="600" w:type="dxa"/>
            <w:vAlign w:val="bottom"/>
            <w:gridSpan w:val="4"/>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Dilution</w:t>
              </w:r>
            </w:hyperlink>
          </w:p>
        </w:tc>
        <w:tc>
          <w:tcPr>
            <w:tcW w:w="1000" w:type="dxa"/>
            <w:vAlign w:val="bottom"/>
            <w:gridSpan w:val="10"/>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47">
              <w:r>
                <w:rPr>
                  <w:rFonts w:ascii="Arial" w:cs="Arial" w:eastAsia="Arial" w:hAnsi="Arial"/>
                  <w:sz w:val="18"/>
                  <w:szCs w:val="18"/>
                  <w:color w:val="0000EE"/>
                  <w:w w:val="84"/>
                </w:rPr>
                <w:t>Business</w:t>
              </w:r>
            </w:hyperlink>
          </w:p>
        </w:tc>
        <w:tc>
          <w:tcPr>
            <w:tcW w:w="960" w:type="dxa"/>
            <w:vAlign w:val="bottom"/>
            <w:tcBorders>
              <w:top w:val="single" w:sz="8" w:color="0000EE"/>
            </w:tcBorders>
            <w:gridSpan w:val="9"/>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Management</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Principal Stockholders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3380" w:type="dxa"/>
            <w:vAlign w:val="bottom"/>
            <w:tcBorders>
              <w:bottom w:val="single" w:sz="8" w:color="0000EE"/>
            </w:tcBorders>
            <w:gridSpan w:val="20"/>
          </w:tcPr>
          <w:p>
            <w:pPr>
              <w:spacing w:after="0"/>
              <w:rPr>
                <w:rFonts w:ascii="Arial" w:cs="Arial" w:eastAsia="Arial" w:hAnsi="Arial"/>
                <w:sz w:val="18"/>
                <w:szCs w:val="18"/>
                <w:color w:val="0000EE"/>
                <w:w w:val="87"/>
              </w:rPr>
            </w:pPr>
            <w:hyperlink w:anchor="page79">
              <w:r>
                <w:rPr>
                  <w:rFonts w:ascii="Arial" w:cs="Arial" w:eastAsia="Arial" w:hAnsi="Arial"/>
                  <w:sz w:val="18"/>
                  <w:szCs w:val="18"/>
                  <w:color w:val="0000EE"/>
                  <w:w w:val="87"/>
                </w:rPr>
                <w:t>Certain Relationships and Related Transactions</w:t>
              </w:r>
            </w:hyperlink>
          </w:p>
        </w:tc>
        <w:tc>
          <w:tcPr>
            <w:tcW w:w="76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20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Description of Capital Stock</w:t>
              </w:r>
            </w:hyperlink>
          </w:p>
        </w:tc>
        <w:tc>
          <w:tcPr>
            <w:tcW w:w="9040" w:type="dxa"/>
            <w:vAlign w:val="bottom"/>
            <w:gridSpan w:val="10"/>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Shares Available For Future Sale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Underwriting</w:t>
              </w:r>
            </w:hyperlink>
          </w:p>
        </w:tc>
        <w:tc>
          <w:tcPr>
            <w:tcW w:w="640" w:type="dxa"/>
            <w:vAlign w:val="bottom"/>
            <w:tcBorders>
              <w:top w:val="single" w:sz="8" w:color="0000EE"/>
            </w:tcBorders>
            <w:gridSpan w:val="6"/>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11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Legal Matters</w:t>
              </w:r>
            </w:hyperlink>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980" w:type="dxa"/>
            <w:vAlign w:val="bottom"/>
            <w:tcBorders>
              <w:top w:val="single" w:sz="8" w:color="0000EE"/>
            </w:tcBorders>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Experts</w:t>
              </w:r>
            </w:hyperlink>
          </w:p>
        </w:tc>
        <w:tc>
          <w:tcPr>
            <w:tcW w:w="620" w:type="dxa"/>
            <w:vAlign w:val="bottom"/>
            <w:gridSpan w:val="5"/>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2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Enforceability of Judgments</w:t>
              </w:r>
            </w:hyperlink>
          </w:p>
        </w:tc>
        <w:tc>
          <w:tcPr>
            <w:tcW w:w="906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11060" w:type="dxa"/>
            <w:vAlign w:val="bottom"/>
            <w:gridSpan w:val="2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2800" w:type="dxa"/>
            <w:vAlign w:val="bottom"/>
            <w:tcBorders>
              <w:top w:val="single" w:sz="8" w:color="0000EE"/>
            </w:tcBorders>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Index to Financial Statements</w:t>
              </w:r>
            </w:hyperlink>
          </w:p>
        </w:tc>
        <w:tc>
          <w:tcPr>
            <w:tcW w:w="826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Arial" w:cs="Arial" w:eastAsia="Arial" w:hAnsi="Arial"/>
                <w:sz w:val="18"/>
                <w:szCs w:val="18"/>
                <w:color w:val="auto"/>
              </w:rPr>
              <w:t>Until</w:t>
            </w:r>
          </w:p>
        </w:tc>
        <w:tc>
          <w:tcPr>
            <w:tcW w:w="9820" w:type="dxa"/>
            <w:vAlign w:val="bottom"/>
            <w:gridSpan w:val="14"/>
          </w:tcPr>
          <w:p>
            <w:pPr>
              <w:jc w:val="right"/>
              <w:ind w:right="13"/>
              <w:spacing w:after="0"/>
              <w:rPr>
                <w:sz w:val="20"/>
                <w:szCs w:val="20"/>
                <w:color w:val="auto"/>
              </w:rPr>
            </w:pPr>
            <w:r>
              <w:rPr>
                <w:rFonts w:ascii="Arial" w:cs="Arial" w:eastAsia="Arial" w:hAnsi="Arial"/>
                <w:sz w:val="18"/>
                <w:szCs w:val="18"/>
                <w:color w:val="auto"/>
                <w:w w:val="89"/>
              </w:rPr>
              <w:t>, 2005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Industry and market data used throughout this prospectus were obtained through company research, surveys and studies conducted by third parties, and industry and general publications. The information contained in the June 2003 Gartner Inc. Dataquest Report on BPO entitled “India Will Generate $13.8 Billion From Offshore BPO Exports in 2007” (the “Gartner Report”) represents Gartner’s estimates.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our consolidated financial statements and related notes. This prospectus includes forward-looking statements that involve risks and uncertainties. See “Forward-looking Statements.”</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leading provider of offshore business process outsourcing services based on revenues, primarily serving the needs of Global 1000 companies in the banking, financial services and insurance segment. Business process outsourcing involves the transfer of select business operations of a client such as claims processing, finance and accounting and customer service to a third party, which administers and manages the select operations for the client. We generated revenues of $60.5 million in 2004 compared to $27.8 million in 2003, representing an increase of 117.6%. We were first profitable in the three months ended September 30, 2003.</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combine in-depth knowledge of the banking, financial services and insurance segment with proven expertise in transferring business operations to our centers in India and administering and managing them for our U.S. and U.K.-based clients. We have successfully transferred more than 140 processes covering a broad array of products and services from 11 clients to our operations centers. Of these, all but a few were processes for eight clients in the banking, financial services and insurance industry and the remainder were specialized customer support processes for three clients in other industries. In the insurance industry, our service offerings include insurance claims processing, opening, issuing and servicing policies, agency management and premium administration for life, property and casualty insurers. In the banking and financial services industry, our service offerings include collections, cash management, loan servicing and customer support for mortgage banks, retail banks and consumer finance companies. We also offer specialized advisory services, including identifying opportunities for business process outsourcing, as well as advice on improving the efficiency of client’s business operations and assistance to clients with their legal and compliance requirements such as those under the Sarbanes-Oxley Act of 2002 and technical support.</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largest clients in 2004 were Norwich Union (an Aviva company) and Dell (including Dell Financial Services). Other clients include Allianz, IndyMac Bank FSB, Prudential Financial Inc., one of the three largest U.S. insurance companies and one of the three largest U.S. banks. Our operations centers are located in India, which enables us to leverage India’s large talent pool of highly qualified and educated English-speaking technical professionals, who are able to handle complex processes that require functional skills and industry expertise. By basing our operations in India, we believe we can offer consistently high quality services at substantially lower costs than those available from in-house facilities or U.S. or U.K.-based outsourcing providers. Our total number of employees, substantially all of whom are based in India, has grown from 1,827 at December 31, 2002 to 5,198 at December 31, 2004.</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8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Business process outsourcing service providers work with clients to develop and deliver operational improvements with the goal of delivering higher performance at lower costs. Outsourcing of business processes is a long-term strategic commitment for companies that, once implemented, is generally not subject to cyclical spending or information technology budget reductions. Organizations in the banking, financial services and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insurance segment,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The effective use of offshore personnel can offer a variety of benefits, including lower costs and a large pool of highly qualified employees. As a result, many companies are moving selected office processes to providers with the capacity to perform these functions from overseas locations. According to the Gartner Report, offshore business process outsourcing services are expected to generate revenues of $3.0 billion in 2004, which revenues are expected to grow to $24.2 billion in 2007, a compound annual growth rate of 100.6%. The Indian business process outsourcing industry is expected to generate revenues of approximately $2.0 billion in 2004 or 67.0% of the total offshore business process outsourcing market, which revenues are expected to grow to an estimated $13.8 billion by 2007, a compound annual growth rate of 90.4%.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 and Business Strategy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have a number of competitive strengths, including:</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Deep and Comprehensive Processing Experience Within the Banking, Financial Services and Insurance Segment. </w:t>
      </w:r>
      <w:r>
        <w:rPr>
          <w:rFonts w:ascii="Arial" w:cs="Arial" w:eastAsia="Arial" w:hAnsi="Arial"/>
          <w:sz w:val="16"/>
          <w:szCs w:val="16"/>
          <w:color w:val="auto"/>
        </w:rPr>
        <w:t>With substantially all of our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derived from the banking, financial services and insurance segment, we have gained a deep understanding of that segment, especially in support functions such as loan underwriting support, claims processing, premium research and reconciliation, collections and accounts receivable management. Our expertise stems from our early association with Conseco Inc. (“Conseco”) and has allowed us to provide a full range of service offerings to our clients.</w:t>
      </w:r>
    </w:p>
    <w:p>
      <w:pPr>
        <w:spacing w:after="0" w:line="9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Long-term Client Relationships that Result in a High Level of Recurring and Predictable Revenues. </w:t>
      </w:r>
      <w:r>
        <w:rPr>
          <w:rFonts w:ascii="Arial" w:cs="Arial" w:eastAsia="Arial" w:hAnsi="Arial"/>
          <w:sz w:val="16"/>
          <w:szCs w:val="16"/>
          <w:color w:val="auto"/>
        </w:rPr>
        <w:t>A substantial majority of our business is under long-term contracts with initial terms ranging from three to seven years. This contract structure provides us with relatively predictable and recurring revenues for a substantial portion of our business and reduces our sales and marketing costs relative to project-based service providers.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two contracts with our largest client, representing 52.4% of our revenues in 2004, can only be terminated for cause during their initial terms, which expire in 2007 and 2009, while our other clients can terminate their contracts with us without cause during their initial term. Our contract with our second largest client, which represented 24.1% of our revenues in 2004, expires on November 1, 2005 but includes automatic renewal rights for one year. This contract can be terminated by our client at any time, without cause or penalty, upon 30 days’ notice. Contracts representing approximately 12.0% of our revenues from our other clients in 2004 will expire within one year. Contracts representing the remainder of our revenues in 2004 expire in more than one year, or do not have set initial terms and remain in effect until terminated or until there are no work orders or engagement schedules.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Strong Focus on Operations Management and Process Excellence. </w:t>
      </w:r>
      <w:r>
        <w:rPr>
          <w:rFonts w:ascii="Arial" w:cs="Arial" w:eastAsia="Arial" w:hAnsi="Arial"/>
          <w:sz w:val="16"/>
          <w:szCs w:val="16"/>
          <w:color w:val="auto"/>
        </w:rPr>
        <w:t>Our ability to deliver continuous process improvements and our reputation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service delivery have proven to be a strong competitive advantage when developing new client relationships. We use well-known business improvement techniques to continually improve the services we offer our clients, including the Six Sigma methodology for reducing defects in business operations and Kaizen initiatives, which stress continuous incremental improvements in each stage of a business process, and have developed proprietary tools to identify and continue to deliver process improvements for our clients. We have been certified by Customer Operations Performance Center, Inc.</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(“COPC”) for quality assurance for our business process outsourcing services and certain customer service operations and have been awarded an ISO 9001:2000 certification for quality assurance and a BS7799 certification for information security, demonstrating our high standards for quality and information security.</w:t>
      </w:r>
    </w:p>
    <w:p>
      <w:pPr>
        <w:spacing w:after="0" w:line="49"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i w:val="1"/>
          <w:iCs w:val="1"/>
          <w:color w:val="auto"/>
        </w:rPr>
        <w:t xml:space="preserve">Robust Infrastructure that Can Be Readily Expanded to Meet the Needs of Our Clients. </w:t>
      </w:r>
      <w:r>
        <w:rPr>
          <w:rFonts w:ascii="Arial" w:cs="Arial" w:eastAsia="Arial" w:hAnsi="Arial"/>
          <w:sz w:val="18"/>
          <w:szCs w:val="18"/>
          <w:color w:val="auto"/>
        </w:rPr>
        <w:t>We have built a state-of-the-art technological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infrastructure, and have invested in employee recruitment, training and retention, which enables us to consistently meet or exceed the growing needs of our clients.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Experienced Management Team With a Significant Equity Stake. </w:t>
      </w:r>
      <w:r>
        <w:rPr>
          <w:rFonts w:ascii="Arial" w:cs="Arial" w:eastAsia="Arial" w:hAnsi="Arial"/>
          <w:sz w:val="16"/>
          <w:szCs w:val="16"/>
          <w:color w:val="auto"/>
        </w:rPr>
        <w:t>We pride ourselves on the strength and depth of our management and their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to our ongoing success. Our top 28 senior managers at or above the level of vice president have an average of approximately ten years of experience in the banking, financial services and insurance segment and extensive working experience with the business practices of multinational corporations. In addition, 19 members of our senior management team hold a significant equity stake in our company.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Weaknesses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further described in “Risk Factors” beginning on page 10 of this prospectus, our operations face a number of risks. For example, our revenues depend substantially on two clients and a few industries. In addition, wage increases in India may prevent us from sustaining our competitive advantage and may reduce our profit margin. Furthermore,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and increase from a number of sources.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goal is to become the leading provider of business process outsourcing services in the banking, financial services and insurance segment. Specific elements of our growth strategy include:</w:t>
      </w:r>
    </w:p>
    <w:p>
      <w:pPr>
        <w:spacing w:after="0" w:line="3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Maintaining Our Focus on Large-scale, Long-term Relationships. </w:t>
      </w:r>
      <w:r>
        <w:rPr>
          <w:rFonts w:ascii="Arial" w:cs="Arial" w:eastAsia="Arial" w:hAnsi="Arial"/>
          <w:sz w:val="18"/>
          <w:szCs w:val="18"/>
          <w:color w:val="auto"/>
        </w:rPr>
        <w:t>We believe there are significant opportunities for additional growth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we seek to expand these relationships by increasing the depth and breadth of the services we provide.</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Expanding Our Client Base. </w:t>
      </w:r>
      <w:r>
        <w:rPr>
          <w:rFonts w:ascii="Arial" w:cs="Arial" w:eastAsia="Arial" w:hAnsi="Arial"/>
          <w:sz w:val="18"/>
          <w:szCs w:val="18"/>
          <w:color w:val="auto"/>
        </w:rPr>
        <w:t>We intend to develop long-term relationships that present recurring revenue opportunities with selected new clients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our industry experience and expanding our marketing activities. In developing new client relationships, we continue to be highly selective and seek industry-leading clients who are committed to long-term and strategic relationships with us.</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i w:val="1"/>
          <w:iCs w:val="1"/>
          <w:color w:val="auto"/>
        </w:rPr>
        <w:t xml:space="preserve">Extending Our Industry Expertise. </w:t>
      </w:r>
      <w:r>
        <w:rPr>
          <w:rFonts w:ascii="Arial" w:cs="Arial" w:eastAsia="Arial" w:hAnsi="Arial"/>
          <w:sz w:val="15"/>
          <w:szCs w:val="15"/>
          <w:color w:val="auto"/>
        </w:rPr>
        <w:t>We intend to continue to focus on strengthening our full range of processing capabilities for the banking,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and insurance segment and other high-potential segments (such as healthcare) by developing more complex and value-enhancing services for our clients.</w:t>
      </w:r>
    </w:p>
    <w:p>
      <w:pPr>
        <w:spacing w:after="0" w:line="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Continuing to Focus on Complex Processes. </w:t>
      </w:r>
      <w:r>
        <w:rPr>
          <w:rFonts w:ascii="Arial" w:cs="Arial" w:eastAsia="Arial" w:hAnsi="Arial"/>
          <w:sz w:val="18"/>
          <w:szCs w:val="18"/>
          <w:color w:val="auto"/>
        </w:rPr>
        <w:t>We intend to differentiate ourselves by providing a full range of business process outsourcing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continue to identify opportunities to provide services in complementary segments (such as research and analytical processes) in order to maximize opportunities for cross-selling our service offerings and enhancing client satisfaction.</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Continuing to Invest in Operational Infrastructure. </w:t>
      </w:r>
      <w:r>
        <w:rPr>
          <w:rFonts w:ascii="Arial" w:cs="Arial" w:eastAsia="Arial" w:hAnsi="Arial"/>
          <w:sz w:val="18"/>
          <w:szCs w:val="18"/>
          <w:color w:val="auto"/>
        </w:rPr>
        <w:t>We will continue to invest in infrastructure, including human resources, process optimization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platforms, to meet our growing client requirements.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80"/>
        <w:spacing w:after="0" w:line="332" w:lineRule="auto"/>
        <w:rPr>
          <w:sz w:val="20"/>
          <w:szCs w:val="20"/>
          <w:color w:val="auto"/>
        </w:rPr>
      </w:pPr>
      <w:r>
        <w:rPr>
          <w:rFonts w:ascii="Arial" w:cs="Arial" w:eastAsia="Arial" w:hAnsi="Arial"/>
          <w:sz w:val="16"/>
          <w:szCs w:val="16"/>
          <w:i w:val="1"/>
          <w:iCs w:val="1"/>
          <w:color w:val="auto"/>
        </w:rPr>
        <w:t xml:space="preserve">Pursuing Strategic Relationships and Acquisitions.  </w:t>
      </w:r>
      <w:r>
        <w:rPr>
          <w:rFonts w:ascii="Arial" w:cs="Arial" w:eastAsia="Arial" w:hAnsi="Arial"/>
          <w:sz w:val="16"/>
          <w:szCs w:val="16"/>
          <w:color w:val="auto"/>
        </w:rPr>
        <w:t>We will selectively consider strategic relationships with industry leaders or acquisitions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that would expand the scope of our existing business process outsourcing services, add new clients or allow us to enter new geographic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pre-predecessor, ExlService.com, Inc. (“EXL Inc.”), a Delaware corporation, was formed on April 9, 1999 and began commercial operations in October 2000. On August 1, 2001, EXL Inc. was acquired by Conseco (the “2001 Acquisition”) and operated as Conseco’s wholly-owned subsidiary until November 14, 2002. We were formed by a group including Vikram Talwar, Rohit Kapoor, Oak Hill Capital Partners L.P., FTVentures and certain other senior members of our management team, and on November 14, 2002 we purchased EXL Inc. from Conseco (the “2002 Acquisition”) and EXL Inc. became our wholly-owned subsidiary. Our other subsidiaries are ExlService.com (India) Private Limited (“EXL India”), an Indian corporation, Noida Customer Operations Private Limited, an Indian corporation, ExlService (U.K.) Limited, an entity formed in the United Kingdom, and Exl Support Service Limited, an Indian corporation.</w:t>
      </w:r>
    </w:p>
    <w:p>
      <w:pPr>
        <w:spacing w:after="0" w:line="10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financial information included in this prospectus include those of both our company and our predecessor, EXL Inc. Periods prior to August 1, 2001 represent the accounts of EXL Inc. prior to the 2001 Acquisition (the “pre-predecessor”); periods on or after August 1, 2001 and prior to November 15, 2002 represent the accounts of EXL Inc. after the 2001 Acquisition (the “predecessor”); and periods on or after November 15, 2002 represent our accounts after the 2002 Acquisition (the “successor”). Our fiscal year ends on December 31. Prior to the 2001 Acquisition, our fiscal year ended on March 31. Accordingly, for the period prior to the 2001 Acquisition, we are presenting income statement data in this prospectus for the period from April 1, 2000 to March 31, 2001 for fiscal year 2001.</w:t>
      </w:r>
    </w:p>
    <w:p>
      <w:pPr>
        <w:spacing w:after="0" w:line="13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ExlService Holdings, Inc. (“EXL Holdings”) was incorporated in Delaware on October 29, 2002. Our principal executive offices are located at 350 Park Avenue, New York, New York 10022, and our telephone number at that address is (212) 277-7100. Our website address is http://www.exlservice.com. The information in our website is not part of, nor is it incorporated into, this prospectus.</w:t>
      </w:r>
    </w:p>
    <w:p>
      <w:pPr>
        <w:spacing w:after="0" w:line="127" w:lineRule="exact"/>
        <w:rPr>
          <w:sz w:val="20"/>
          <w:szCs w:val="20"/>
          <w:color w:val="auto"/>
        </w:rPr>
      </w:pPr>
    </w:p>
    <w:p>
      <w:pPr>
        <w:ind w:right="480" w:firstLine="456"/>
        <w:spacing w:after="0" w:line="317" w:lineRule="auto"/>
        <w:rPr>
          <w:sz w:val="20"/>
          <w:szCs w:val="20"/>
          <w:color w:val="auto"/>
        </w:rPr>
      </w:pPr>
      <w:r>
        <w:rPr>
          <w:rFonts w:ascii="Arial" w:cs="Arial" w:eastAsia="Arial" w:hAnsi="Arial"/>
          <w:sz w:val="17"/>
          <w:szCs w:val="17"/>
          <w:color w:val="auto"/>
        </w:rPr>
        <w:t>Unless the context indicates or requires otherwise, the terms “EXL,” “we,” “our,” “us” and “the company” refer collectively to EXL Holdings and its wholly-owned subsidiaries and all predecessor entities. ProMPT</w:t>
      </w:r>
      <w:r>
        <w:rPr>
          <w:rFonts w:ascii="Arial" w:cs="Arial" w:eastAsia="Arial" w:hAnsi="Arial"/>
          <w:sz w:val="21"/>
          <w:szCs w:val="21"/>
          <w:color w:val="auto"/>
          <w:vertAlign w:val="superscript"/>
        </w:rPr>
        <w:t>™</w:t>
      </w:r>
      <w:r>
        <w:rPr>
          <w:rFonts w:ascii="Arial" w:cs="Arial" w:eastAsia="Arial" w:hAnsi="Arial"/>
          <w:sz w:val="17"/>
          <w:szCs w:val="17"/>
          <w:color w:val="auto"/>
        </w:rPr>
        <w:t>, SOFT</w:t>
      </w:r>
      <w:r>
        <w:rPr>
          <w:rFonts w:ascii="Arial" w:cs="Arial" w:eastAsia="Arial" w:hAnsi="Arial"/>
          <w:sz w:val="21"/>
          <w:szCs w:val="21"/>
          <w:color w:val="auto"/>
          <w:vertAlign w:val="superscript"/>
        </w:rPr>
        <w:t>™</w:t>
      </w:r>
      <w:r>
        <w:rPr>
          <w:rFonts w:ascii="Arial" w:cs="Arial" w:eastAsia="Arial" w:hAnsi="Arial"/>
          <w:sz w:val="17"/>
          <w:szCs w:val="17"/>
          <w:color w:val="auto"/>
        </w:rPr>
        <w:t>, MOST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ECS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are unregistered trademarks of EXL.</w:t>
      </w:r>
    </w:p>
    <w:p>
      <w:pPr>
        <w:spacing w:after="0" w:line="4"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this prospectus, certain financial data has been rounded to ensure arithmetical accuracy. Certain U.S. dollar figures in this prospectus have been converted from Indian rupees at a rate of 43.27 rupees to $1.00, the exchange rate in effect on December 31, 2004.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Conversion</w:t>
      </w:r>
    </w:p>
    <w:p>
      <w:pPr>
        <w:spacing w:after="0" w:line="8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shares of capital stock, make certain changes to our charter documents and effect a to one stock split (the “Stock Split”). As a result, after this offering, we will only have one class of common stock outstanding, which will be referred to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72" w:lineRule="exact"/>
        <w:rPr>
          <w:sz w:val="20"/>
          <w:szCs w:val="20"/>
          <w:color w:val="auto"/>
        </w:rPr>
      </w:pPr>
    </w:p>
    <w:p>
      <w:pPr>
        <w:ind w:left="460"/>
        <w:spacing w:after="0"/>
        <w:tabs>
          <w:tab w:leader="none" w:pos="6600" w:val="left"/>
          <w:tab w:leader="none" w:pos="9940" w:val="left"/>
        </w:tabs>
        <w:rPr>
          <w:sz w:val="20"/>
          <w:szCs w:val="20"/>
          <w:color w:val="auto"/>
        </w:rPr>
      </w:pPr>
      <w:r>
        <w:rPr>
          <w:rFonts w:ascii="Arial" w:cs="Arial" w:eastAsia="Arial" w:hAnsi="Arial"/>
          <w:sz w:val="18"/>
          <w:szCs w:val="18"/>
          <w:color w:val="auto"/>
        </w:rPr>
        <w:t>After the Share Conversion and the consummation of this offering, we will have</w:t>
      </w:r>
      <w:r>
        <w:rPr>
          <w:sz w:val="20"/>
          <w:szCs w:val="20"/>
          <w:color w:val="auto"/>
        </w:rPr>
        <w:tab/>
      </w:r>
      <w:r>
        <w:rPr>
          <w:rFonts w:ascii="Arial" w:cs="Arial" w:eastAsia="Arial" w:hAnsi="Arial"/>
          <w:sz w:val="18"/>
          <w:szCs w:val="18"/>
          <w:color w:val="auto"/>
        </w:rPr>
        <w:t>shares of common stock outstanding (or</w:t>
      </w:r>
      <w:r>
        <w:rPr>
          <w:sz w:val="20"/>
          <w:szCs w:val="20"/>
          <w:color w:val="auto"/>
        </w:rPr>
        <w:tab/>
      </w:r>
      <w:r>
        <w:rPr>
          <w:rFonts w:ascii="Arial" w:cs="Arial" w:eastAsia="Arial" w:hAnsi="Arial"/>
          <w:sz w:val="15"/>
          <w:szCs w:val="15"/>
          <w:color w:val="auto"/>
        </w:rPr>
        <w:t>shares if the</w:t>
      </w:r>
    </w:p>
    <w:p>
      <w:pPr>
        <w:spacing w:after="0" w:line="15" w:lineRule="exact"/>
        <w:rPr>
          <w:sz w:val="20"/>
          <w:szCs w:val="20"/>
          <w:color w:val="auto"/>
        </w:rPr>
      </w:pPr>
    </w:p>
    <w:p>
      <w:pPr>
        <w:spacing w:after="0"/>
        <w:tabs>
          <w:tab w:leader="none" w:pos="3700" w:val="left"/>
          <w:tab w:leader="none" w:pos="10580" w:val="left"/>
        </w:tabs>
        <w:rPr>
          <w:sz w:val="20"/>
          <w:szCs w:val="20"/>
          <w:color w:val="auto"/>
        </w:rPr>
      </w:pPr>
      <w:r>
        <w:rPr>
          <w:rFonts w:ascii="Arial" w:cs="Arial" w:eastAsia="Arial" w:hAnsi="Arial"/>
          <w:sz w:val="18"/>
          <w:szCs w:val="18"/>
          <w:color w:val="auto"/>
        </w:rPr>
        <w:t>underwriters exercise their option in full) and</w:t>
      </w:r>
      <w:r>
        <w:rPr>
          <w:sz w:val="20"/>
          <w:szCs w:val="20"/>
          <w:color w:val="auto"/>
        </w:rPr>
        <w:tab/>
      </w:r>
      <w:r>
        <w:rPr>
          <w:rFonts w:ascii="Arial" w:cs="Arial" w:eastAsia="Arial" w:hAnsi="Arial"/>
          <w:sz w:val="18"/>
          <w:szCs w:val="18"/>
          <w:color w:val="auto"/>
        </w:rPr>
        <w:t>shares of common stock issuable upon the exercise of options to purchase common stock.</w:t>
      </w:r>
      <w:r>
        <w:rPr>
          <w:sz w:val="20"/>
          <w:szCs w:val="20"/>
          <w:color w:val="auto"/>
        </w:rPr>
        <w:tab/>
      </w:r>
      <w:r>
        <w:rPr>
          <w:rFonts w:ascii="Arial" w:cs="Arial" w:eastAsia="Arial" w:hAnsi="Arial"/>
          <w:sz w:val="15"/>
          <w:szCs w:val="15"/>
          <w:color w:val="auto"/>
        </w:rPr>
        <w:t>shares of</w:t>
      </w:r>
    </w:p>
    <w:p>
      <w:pPr>
        <w:spacing w:after="0" w:line="9"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common stock offered hereby will be freely tradable (or</w:t>
      </w:r>
      <w:r>
        <w:rPr>
          <w:sz w:val="20"/>
          <w:szCs w:val="20"/>
          <w:color w:val="auto"/>
        </w:rPr>
        <w:tab/>
      </w:r>
      <w:r>
        <w:rPr>
          <w:rFonts w:ascii="Arial" w:cs="Arial" w:eastAsia="Arial" w:hAnsi="Arial"/>
          <w:sz w:val="16"/>
          <w:szCs w:val="16"/>
          <w:color w:val="auto"/>
        </w:rPr>
        <w:t>shares if the underwriters exercise their option in full). Following this offering, we intend to file a</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registration statement under the Securities Act registering</w:t>
      </w:r>
      <w:r>
        <w:rPr>
          <w:sz w:val="20"/>
          <w:szCs w:val="20"/>
          <w:color w:val="auto"/>
        </w:rPr>
        <w:tab/>
      </w:r>
      <w:r>
        <w:rPr>
          <w:rFonts w:ascii="Arial" w:cs="Arial" w:eastAsia="Arial" w:hAnsi="Arial"/>
          <w:sz w:val="15"/>
          <w:szCs w:val="15"/>
          <w:color w:val="auto"/>
        </w:rPr>
        <w:t>shares of our common stock reserved for issuance under our employee stock option plans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shares held for resale by our existing stockholders that were previously issued under our employee stock option plans. In addition, we intend to enter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a registration rights agreement with certain of our stockholders pursuant to which these holders will have the right, subject to certain conditions and the</w:t>
      </w:r>
    </w:p>
    <w:p>
      <w:pPr>
        <w:spacing w:after="0" w:line="3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expiration of the lock-up applicable to those stockholders in connection with this offering, to require us to file registration statements covering shares of our common stock or to include those shares in registration statements that we may file on our behalf or on behalf of other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Assuming that the underwriters do not exercise their option to purchase additional shares, immediately following the Share Conversion and the consummation of this offering, Oak Hill Capital Partners L.P. and certain of its related affiliates will own shares (or %) of our outstanding common stock; FTVentures and certain of its related affiliates will own shares (or %) of our outstanding common stock; our Vice Chairman and Chief Executive Officer, Vikram Talwar, will own shares (or %) of our outstanding common stock; our President and Chief Financial Officer, Rohit Kapoor will own shares (or %) of our outstanding common stock; and certain other members of our management will own shares (or %) of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certain risks that should be considered in connection with an investment in our common stock, see “Risk Factors” beginning on page</w:t>
      </w:r>
    </w:p>
    <w:p>
      <w:pPr>
        <w:spacing w:after="0" w:line="38" w:lineRule="exact"/>
        <w:rPr>
          <w:sz w:val="20"/>
          <w:szCs w:val="20"/>
          <w:color w:val="auto"/>
        </w:rPr>
      </w:pPr>
    </w:p>
    <w:p>
      <w:pPr>
        <w:ind w:right="20" w:firstLine="8"/>
        <w:spacing w:after="0" w:line="302" w:lineRule="auto"/>
        <w:tabs>
          <w:tab w:leader="none" w:pos="26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These include our limited independent operating history, the limited number of clients and industries that we serve, the significant capital and time commitments required to develop clients, the variability of our operating results, the uncertain development of the offshore business process outsourcing industry, the substantial competition and wage pressures we face, travel and visa restrictions and the uncertainties in executing our growth strategy.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20"/>
        <w:spacing w:after="0" w:line="456" w:lineRule="auto"/>
        <w:rPr>
          <w:sz w:val="20"/>
          <w:szCs w:val="20"/>
          <w:color w:val="auto"/>
        </w:rPr>
      </w:pPr>
      <w:r>
        <w:rPr>
          <w:rFonts w:ascii="Arial" w:cs="Arial" w:eastAsia="Arial" w:hAnsi="Arial"/>
          <w:sz w:val="18"/>
          <w:szCs w:val="18"/>
          <w:color w:val="auto"/>
        </w:rPr>
        <w:t>Proposed Nasdaq National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from this offering:</w:t>
      </w:r>
    </w:p>
    <w:p>
      <w:pPr>
        <w:spacing w:after="0" w:line="90" w:lineRule="exact"/>
        <w:rPr>
          <w:sz w:val="20"/>
          <w:szCs w:val="20"/>
          <w:color w:val="auto"/>
        </w:rPr>
      </w:pPr>
    </w:p>
    <w:p>
      <w:pPr>
        <w:ind w:left="660" w:right="8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our Series A preferred stock held by certain of our directors, officers and significant stockholders,</w:t>
      </w:r>
    </w:p>
    <w:p>
      <w:pPr>
        <w:spacing w:after="0" w:line="37" w:lineRule="exact"/>
        <w:rPr>
          <w:rFonts w:ascii="Arial" w:cs="Arial" w:eastAsia="Arial" w:hAnsi="Arial"/>
          <w:sz w:val="18"/>
          <w:szCs w:val="18"/>
          <w:color w:val="auto"/>
        </w:rPr>
      </w:pPr>
    </w:p>
    <w:p>
      <w:pPr>
        <w:ind w:left="660" w:right="220" w:hanging="437"/>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certain of our directors, officers and significant stockholders, and</w:t>
      </w:r>
    </w:p>
    <w:p>
      <w:pPr>
        <w:spacing w:after="0" w:line="37" w:lineRule="exact"/>
        <w:rPr>
          <w:rFonts w:ascii="Arial" w:cs="Arial" w:eastAsia="Arial" w:hAnsi="Arial"/>
          <w:sz w:val="18"/>
          <w:szCs w:val="18"/>
          <w:color w:val="auto"/>
        </w:rPr>
      </w:pPr>
    </w:p>
    <w:p>
      <w:pPr>
        <w:ind w:left="660" w:hanging="43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EXLS.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43" w:lineRule="exact"/>
        <w:rPr>
          <w:sz w:val="20"/>
          <w:szCs w:val="20"/>
          <w:color w:val="auto"/>
        </w:rPr>
      </w:pPr>
    </w:p>
    <w:p>
      <w:pPr>
        <w:sectPr>
          <w:pgSz w:w="11900" w:h="16838" w:orient="portrait"/>
          <w:cols w:equalWidth="0" w:num="2">
            <w:col w:w="3620" w:space="500"/>
            <w:col w:w="7300"/>
          </w:cols>
          <w:pgMar w:left="240" w:top="459" w:right="239" w:bottom="1440" w:gutter="0" w:footer="0" w:header="0"/>
        </w:sectPr>
      </w:pPr>
    </w:p>
    <w:p>
      <w:pPr>
        <w:ind w:left="460"/>
        <w:spacing w:after="0"/>
        <w:rPr>
          <w:sz w:val="20"/>
          <w:szCs w:val="20"/>
          <w:color w:val="auto"/>
        </w:rPr>
      </w:pPr>
      <w:r>
        <w:rPr>
          <w:rFonts w:ascii="Arial" w:cs="Arial" w:eastAsia="Arial" w:hAnsi="Arial"/>
          <w:sz w:val="18"/>
          <w:szCs w:val="18"/>
          <w:color w:val="auto"/>
        </w:rPr>
        <w:t>Unless we specifically state otherwise, the information in this prospectus:</w:t>
      </w:r>
    </w:p>
    <w:p>
      <w:pPr>
        <w:spacing w:after="0" w:line="77" w:lineRule="exact"/>
        <w:rPr>
          <w:sz w:val="20"/>
          <w:szCs w:val="20"/>
          <w:color w:val="auto"/>
        </w:rPr>
      </w:pPr>
    </w:p>
    <w:p>
      <w:pPr>
        <w:ind w:left="460"/>
        <w:spacing w:after="0"/>
        <w:tabs>
          <w:tab w:leader="none" w:pos="760" w:val="left"/>
          <w:tab w:leader="none" w:pos="4380" w:val="left"/>
        </w:tabs>
        <w:rPr>
          <w:sz w:val="20"/>
          <w:szCs w:val="20"/>
          <w:color w:val="auto"/>
        </w:rPr>
      </w:pPr>
      <w:r>
        <w:rPr>
          <w:rFonts w:ascii="Arial" w:cs="Arial" w:eastAsia="Arial" w:hAnsi="Arial"/>
          <w:sz w:val="18"/>
          <w:szCs w:val="18"/>
          <w:color w:val="auto"/>
        </w:rPr>
        <w:t>•</w:t>
        <w:tab/>
        <w:t>assumes an initial public offering price of $</w:t>
      </w:r>
      <w:r>
        <w:rPr>
          <w:sz w:val="20"/>
          <w:szCs w:val="20"/>
          <w:color w:val="auto"/>
        </w:rPr>
        <w:tab/>
      </w:r>
      <w:r>
        <w:rPr>
          <w:rFonts w:ascii="Arial" w:cs="Arial" w:eastAsia="Arial" w:hAnsi="Arial"/>
          <w:sz w:val="15"/>
          <w:szCs w:val="15"/>
          <w:color w:val="auto"/>
        </w:rPr>
        <w:t>per share, the mid-point of the offering range set forth on the cover of this prospectus,</w:t>
      </w:r>
    </w:p>
    <w:p>
      <w:pPr>
        <w:spacing w:after="0" w:line="104"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gives effect to the Share Conversion,</w:t>
      </w:r>
    </w:p>
    <w:p>
      <w:pPr>
        <w:spacing w:after="0" w:line="104" w:lineRule="exact"/>
        <w:rPr>
          <w:sz w:val="20"/>
          <w:szCs w:val="20"/>
          <w:color w:val="auto"/>
        </w:rPr>
      </w:pPr>
    </w:p>
    <w:p>
      <w:pPr>
        <w:ind w:left="460"/>
        <w:spacing w:after="0"/>
        <w:tabs>
          <w:tab w:leader="none" w:pos="760" w:val="left"/>
          <w:tab w:leader="none" w:pos="9320" w:val="left"/>
        </w:tabs>
        <w:rPr>
          <w:sz w:val="20"/>
          <w:szCs w:val="20"/>
          <w:color w:val="auto"/>
        </w:rPr>
      </w:pPr>
      <w:r>
        <w:rPr>
          <w:rFonts w:ascii="Arial" w:cs="Arial" w:eastAsia="Arial" w:hAnsi="Arial"/>
          <w:sz w:val="18"/>
          <w:szCs w:val="18"/>
          <w:color w:val="auto"/>
        </w:rPr>
        <w:t>•</w:t>
        <w:tab/>
        <w:t>excludes, in the number of shares of common stock to be outstanding after this offering, options to purchase</w:t>
      </w:r>
      <w:r>
        <w:rPr>
          <w:sz w:val="20"/>
          <w:szCs w:val="20"/>
          <w:color w:val="auto"/>
        </w:rPr>
        <w:tab/>
      </w:r>
      <w:r>
        <w:rPr>
          <w:rFonts w:ascii="Arial" w:cs="Arial" w:eastAsia="Arial" w:hAnsi="Arial"/>
          <w:sz w:val="15"/>
          <w:szCs w:val="15"/>
          <w:color w:val="auto"/>
        </w:rPr>
        <w:t>shares of common stock that</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are currently outstanding or to be granted effective upon consummation of this offering, and</w:t>
      </w:r>
    </w:p>
    <w:p>
      <w:pPr>
        <w:spacing w:after="0" w:line="70" w:lineRule="exact"/>
        <w:rPr>
          <w:sz w:val="20"/>
          <w:szCs w:val="20"/>
          <w:color w:val="auto"/>
        </w:rPr>
      </w:pPr>
    </w:p>
    <w:p>
      <w:pPr>
        <w:ind w:left="460"/>
        <w:spacing w:after="0"/>
        <w:tabs>
          <w:tab w:leader="none" w:pos="760" w:val="left"/>
          <w:tab w:leader="none" w:pos="63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shares. If the underwriters exercise this option in full, we will</w:t>
      </w:r>
    </w:p>
    <w:p>
      <w:pPr>
        <w:spacing w:after="0" w:line="15"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16"/>
          <w:szCs w:val="16"/>
          <w:color w:val="auto"/>
        </w:rPr>
        <w:t>offer</w:t>
      </w:r>
      <w:r>
        <w:rPr>
          <w:sz w:val="20"/>
          <w:szCs w:val="20"/>
          <w:color w:val="auto"/>
        </w:rPr>
        <w:tab/>
      </w:r>
      <w:r>
        <w:rPr>
          <w:rFonts w:ascii="Arial" w:cs="Arial" w:eastAsia="Arial" w:hAnsi="Arial"/>
          <w:sz w:val="16"/>
          <w:szCs w:val="16"/>
          <w:color w:val="auto"/>
        </w:rPr>
        <w:t>additional shares of common stock and any such shares that are sold will thereafter be outstanding. See “Underwriting.”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840" w:firstLine="3379"/>
        <w:spacing w:after="0" w:line="426" w:lineRule="auto"/>
        <w:rPr>
          <w:sz w:val="20"/>
          <w:szCs w:val="20"/>
          <w:color w:val="auto"/>
        </w:rPr>
      </w:pPr>
      <w:r>
        <w:rPr>
          <w:rFonts w:ascii="Arial" w:cs="Arial" w:eastAsia="Arial" w:hAnsi="Arial"/>
          <w:sz w:val="16"/>
          <w:szCs w:val="16"/>
          <w:b w:val="1"/>
          <w:bCs w:val="1"/>
          <w:color w:val="auto"/>
        </w:rPr>
        <w:t xml:space="preserve">Summary Consolidated Financial and Other Data </w:t>
      </w:r>
      <w:r>
        <w:rPr>
          <w:rFonts w:ascii="Arial" w:cs="Arial" w:eastAsia="Arial" w:hAnsi="Arial"/>
          <w:sz w:val="16"/>
          <w:szCs w:val="16"/>
          <w:color w:val="auto"/>
        </w:rPr>
        <w:t>The following table sets forth our summary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year ended December 31, 2004,</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year ended December 31, 2003,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predecessor period from January 1, 2002 to November 14, 2002.</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summary balance sheet data as of December 31, 2004, December 31, 2003 and December 31, 2002, and the summary statement of operations data for the years ended December 31, 2004 and December 31, 2003, the period from November 15 to December 31, 2002 and the period from January 1 to November 14, 2002 are derived from our consolidated financial statements, which have been audited by Ernst &amp; Young LLP, our independent registered public accounting firm, and are included elsewhere in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should read the following information in conjunction with “Capitalization,” “Selected Historical Consolidated Financial and Other Data,” “Management’s Discussion and Analysis of Financial Condition and Results of Operations” and our consolidated financial statements and related notes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79"/>
              </w:rPr>
              <w:t>Successor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6"/>
              </w:rPr>
              <w:t>Period from</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15</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2"/>
                <w:szCs w:val="12"/>
                <w:color w:val="auto"/>
              </w:rPr>
            </w:pPr>
          </w:p>
        </w:tc>
        <w:tc>
          <w:tcPr>
            <w:tcW w:w="15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140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to</w:t>
            </w: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2003</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2002</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(in millions, except employee data)</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Revenues(1)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General and administrative and selling and marketing expenses(3)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extraordinary item</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extraordinary gain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322"/>
        </w:trPr>
        <w:tc>
          <w:tcPr>
            <w:tcW w:w="5160" w:type="dxa"/>
            <w:vAlign w:val="bottom"/>
            <w:gridSpan w:val="2"/>
          </w:tcPr>
          <w:p>
            <w:pPr>
              <w:spacing w:after="0"/>
              <w:rPr>
                <w:sz w:val="20"/>
                <w:szCs w:val="20"/>
                <w:color w:val="auto"/>
              </w:rPr>
            </w:pPr>
            <w:r>
              <w:rPr>
                <w:rFonts w:ascii="Arial" w:cs="Arial" w:eastAsia="Arial" w:hAnsi="Arial"/>
                <w:sz w:val="18"/>
                <w:szCs w:val="18"/>
                <w:color w:val="auto"/>
              </w:rPr>
              <w:t>Extraordinary gain</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Unaudited Financial and Other Data:</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Adjusted EBITDA(5)</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employees (at period end)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5,198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1,827</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-943610</wp:posOffset>
            </wp:positionV>
            <wp:extent cx="53594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-943610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-943610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-943610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-943610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-943610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-943610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-943610</wp:posOffset>
            </wp:positionV>
            <wp:extent cx="54419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7"/>
              </w:rPr>
              <w:t>At December 31,</w:t>
            </w:r>
          </w:p>
        </w:tc>
        <w:tc>
          <w:tcPr>
            <w:tcW w:w="1000" w:type="dxa"/>
            <w:vAlign w:val="bottom"/>
          </w:tcPr>
          <w:p>
            <w:pPr>
              <w:spacing w:after="0"/>
              <w:rPr>
                <w:sz w:val="14"/>
                <w:szCs w:val="14"/>
                <w:color w:val="auto"/>
              </w:rPr>
            </w:pPr>
          </w:p>
        </w:tc>
        <w:tc>
          <w:tcPr>
            <w:tcW w:w="196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7"/>
              </w:rPr>
              <w:t>At December 31,</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At December 31,</w:t>
            </w:r>
          </w:p>
        </w:tc>
      </w:tr>
      <w:tr>
        <w:trPr>
          <w:trHeight w:val="174"/>
        </w:trPr>
        <w:tc>
          <w:tcPr>
            <w:tcW w:w="11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2002</w:t>
            </w:r>
          </w:p>
        </w:tc>
      </w:tr>
      <w:tr>
        <w:trPr>
          <w:trHeight w:val="95"/>
        </w:trPr>
        <w:tc>
          <w:tcPr>
            <w:tcW w:w="11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760" w:type="dxa"/>
            <w:vAlign w:val="bottom"/>
            <w:gridSpan w:val="2"/>
          </w:tcPr>
          <w:p>
            <w:pPr>
              <w:ind w:left="25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8.6</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8.4</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22.3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5.2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Series A preferred stock</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4.9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r>
      <w:tr>
        <w:trPr>
          <w:trHeight w:val="108"/>
        </w:trPr>
        <w:tc>
          <w:tcPr>
            <w:tcW w:w="118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00" w:lineRule="exact"/>
        <w:rPr>
          <w:sz w:val="20"/>
          <w:szCs w:val="20"/>
          <w:color w:val="auto"/>
        </w:rPr>
      </w:pPr>
    </w:p>
    <w:p>
      <w:pPr>
        <w:ind w:left="460" w:right="12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U.S. Generally Accepted Accounting Principles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and selling and marketing expenses (“SG&amp;A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9" w:lineRule="exact"/>
        <w:rPr>
          <w:rFonts w:ascii="Arial" w:cs="Arial" w:eastAsia="Arial" w:hAnsi="Arial"/>
          <w:sz w:val="18"/>
          <w:szCs w:val="18"/>
          <w:color w:val="auto"/>
        </w:rPr>
      </w:pPr>
    </w:p>
    <w:p>
      <w:pPr>
        <w:ind w:left="460" w:right="60" w:hanging="452"/>
        <w:spacing w:after="0" w:line="28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EBITDA represents net income (loss) before deductions for interest, income taxes, depreciation and amortization. We have adjusted EBITDA to exclude the impact of goodwill impairment and extraordinary items as we believe these are non-recurring in nature. EBITDA and Adjusted EBITDA are supplemental non-GAAP financial measures used by management, as well as industry analysts, to evaluate operations. Adjusted EBITDA differs from EBITDA and may not be comparable to EBITDA or Adjusted EBITDA as reported by other companies. Our Adjusted EBITDA excludes the impact of the impairment of the goodwill balance of $46.0 million that we had recorded in 2001 in connection with the Conseco acquisition and which we determined was impaired because of the loss of business from Conseco. Our Adjusted EBITDA also excludes an extraordinary gain of $5.0 million resulting from the acquisition of the capital stock of Exl Inc. in 2002. We adjusted EBITDA for these items, because we do not believe that they are recurring and because these charges do not require cash settlement. We do not believe these charges to be recurring in nature as we did not incur similar charges in the preceding two years prior to incurring these charges, nor have we incurred similar charges since then. We do not expect these charges to recur within the next two years.</w:t>
      </w:r>
    </w:p>
    <w:p>
      <w:pPr>
        <w:spacing w:after="0" w:line="11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is a reconciliation of net income to EBITDA and Adjusted EBITDA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0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65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0"/>
              </w:rPr>
              <w:t>Predecessor</w:t>
            </w:r>
          </w:p>
        </w:tc>
      </w:tr>
      <w:tr>
        <w:trPr>
          <w:trHeight w:val="62"/>
        </w:trPr>
        <w:tc>
          <w:tcPr>
            <w:tcW w:w="5500" w:type="dxa"/>
            <w:vAlign w:val="bottom"/>
          </w:tcPr>
          <w:p>
            <w:pPr>
              <w:spacing w:after="0"/>
              <w:rPr>
                <w:sz w:val="5"/>
                <w:szCs w:val="5"/>
                <w:color w:val="auto"/>
              </w:rPr>
            </w:pPr>
          </w:p>
        </w:tc>
        <w:tc>
          <w:tcPr>
            <w:tcW w:w="150" w:type="dxa"/>
            <w:vAlign w:val="bottom"/>
            <w:tcBorders>
              <w:bottom w:val="single" w:sz="8" w:color="auto"/>
            </w:tcBorders>
          </w:tcPr>
          <w:p>
            <w:pPr>
              <w:spacing w:after="0"/>
              <w:rPr>
                <w:sz w:val="5"/>
                <w:szCs w:val="5"/>
                <w:color w:val="auto"/>
              </w:rPr>
            </w:pPr>
          </w:p>
        </w:tc>
        <w:tc>
          <w:tcPr>
            <w:tcW w:w="65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gridSpan w:val="2"/>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37"/>
        </w:trPr>
        <w:tc>
          <w:tcPr>
            <w:tcW w:w="550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Borders>
              <w:right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89"/>
              </w:rPr>
              <w:t>Period From</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550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November 15</w:t>
            </w:r>
          </w:p>
        </w:tc>
        <w:tc>
          <w:tcPr>
            <w:tcW w:w="8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Period From</w:t>
            </w:r>
          </w:p>
        </w:tc>
      </w:tr>
      <w:tr>
        <w:trPr>
          <w:trHeight w:val="149"/>
        </w:trPr>
        <w:tc>
          <w:tcPr>
            <w:tcW w:w="55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700" w:type="dxa"/>
            <w:vAlign w:val="bottom"/>
            <w:tcBorders>
              <w:right w:val="single" w:sz="8" w:color="auto"/>
            </w:tcBorders>
          </w:tcPr>
          <w:p>
            <w:pPr>
              <w:jc w:val="center"/>
              <w:ind w:right="172"/>
              <w:spacing w:after="0" w:line="149" w:lineRule="exact"/>
              <w:rPr>
                <w:sz w:val="20"/>
                <w:szCs w:val="20"/>
                <w:color w:val="auto"/>
              </w:rPr>
            </w:pPr>
            <w:r>
              <w:rPr>
                <w:rFonts w:ascii="Arial" w:cs="Arial" w:eastAsia="Arial" w:hAnsi="Arial"/>
                <w:sz w:val="14"/>
                <w:szCs w:val="14"/>
                <w:b w:val="1"/>
                <w:bCs w:val="1"/>
                <w:color w:val="auto"/>
                <w:w w:val="75"/>
              </w:rPr>
              <w:t>to</w:t>
            </w:r>
          </w:p>
        </w:tc>
        <w:tc>
          <w:tcPr>
            <w:tcW w:w="8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January 1 to</w:t>
            </w:r>
          </w:p>
        </w:tc>
      </w:tr>
      <w:tr>
        <w:trPr>
          <w:trHeight w:val="149"/>
        </w:trPr>
        <w:tc>
          <w:tcPr>
            <w:tcW w:w="55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tcBorders>
              <w:right w:val="single" w:sz="8" w:color="auto"/>
            </w:tcBorders>
            <w:gridSpan w:val="2"/>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November 14,</w:t>
            </w:r>
          </w:p>
        </w:tc>
      </w:tr>
      <w:tr>
        <w:trPr>
          <w:trHeight w:val="174"/>
        </w:trPr>
        <w:tc>
          <w:tcPr>
            <w:tcW w:w="55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5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2004</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right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3"/>
              </w:rPr>
              <w:t>2002</w:t>
            </w:r>
          </w:p>
        </w:tc>
        <w:tc>
          <w:tcPr>
            <w:tcW w:w="8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r>
      <w:tr>
        <w:trPr>
          <w:trHeight w:val="95"/>
        </w:trPr>
        <w:tc>
          <w:tcPr>
            <w:tcW w:w="55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150" w:type="dxa"/>
            <w:vAlign w:val="bottom"/>
            <w:shd w:val="clear" w:color="auto" w:fill="CCEEFF"/>
          </w:tcPr>
          <w:p>
            <w:pPr>
              <w:jc w:val="right"/>
              <w:ind w:right="2"/>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860"/>
              <w:spacing w:after="0" w:line="149" w:lineRule="exact"/>
              <w:rPr>
                <w:sz w:val="20"/>
                <w:szCs w:val="20"/>
                <w:color w:val="auto"/>
              </w:rPr>
            </w:pPr>
            <w:r>
              <w:rPr>
                <w:rFonts w:ascii="Arial" w:cs="Arial" w:eastAsia="Arial" w:hAnsi="Arial"/>
                <w:sz w:val="14"/>
                <w:szCs w:val="14"/>
                <w:color w:val="auto"/>
              </w:rPr>
              <w:t>(0.8)</w:t>
            </w:r>
          </w:p>
        </w:tc>
        <w:tc>
          <w:tcPr>
            <w:tcW w:w="160" w:type="dxa"/>
            <w:vAlign w:val="bottom"/>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w w:val="81"/>
              </w:rPr>
              <w:t>$(47.3)</w:t>
            </w:r>
          </w:p>
        </w:tc>
        <w:tc>
          <w:tcPr>
            <w:tcW w:w="60" w:type="dxa"/>
            <w:vAlign w:val="bottom"/>
            <w:shd w:val="clear" w:color="auto" w:fill="CCEEFF"/>
          </w:tcPr>
          <w:p>
            <w:pPr>
              <w:spacing w:after="0"/>
              <w:rPr>
                <w:sz w:val="12"/>
                <w:szCs w:val="12"/>
                <w:color w:val="auto"/>
              </w:rPr>
            </w:pPr>
          </w:p>
        </w:tc>
      </w:tr>
      <w:tr>
        <w:trPr>
          <w:trHeight w:val="149"/>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5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 — redeemable preferred stock</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Income taxes</w:t>
            </w:r>
          </w:p>
        </w:tc>
        <w:tc>
          <w:tcPr>
            <w:tcW w:w="15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2"/>
                <w:szCs w:val="12"/>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r>
      <w:tr>
        <w:trPr>
          <w:trHeight w:val="108"/>
        </w:trPr>
        <w:tc>
          <w:tcPr>
            <w:tcW w:w="5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EBITDA</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8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r>
      <w:tr>
        <w:trPr>
          <w:trHeight w:val="149"/>
        </w:trPr>
        <w:tc>
          <w:tcPr>
            <w:tcW w:w="5500" w:type="dxa"/>
            <w:vAlign w:val="bottom"/>
          </w:tcPr>
          <w:p>
            <w:pPr>
              <w:ind w:left="120"/>
              <w:spacing w:after="0" w:line="149" w:lineRule="exact"/>
              <w:rPr>
                <w:sz w:val="20"/>
                <w:szCs w:val="20"/>
                <w:color w:val="auto"/>
              </w:rPr>
            </w:pPr>
            <w:r>
              <w:rPr>
                <w:rFonts w:ascii="Arial" w:cs="Arial" w:eastAsia="Arial" w:hAnsi="Arial"/>
                <w:sz w:val="14"/>
                <w:szCs w:val="14"/>
                <w:color w:val="auto"/>
              </w:rPr>
              <w:t>Goodwill impairment</w:t>
            </w:r>
          </w:p>
        </w:tc>
        <w:tc>
          <w:tcPr>
            <w:tcW w:w="15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right"/>
              <w:ind w:right="9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Borders>
              <w:right w:val="single" w:sz="8" w:color="auto"/>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46.0</w:t>
            </w:r>
          </w:p>
        </w:tc>
        <w:tc>
          <w:tcPr>
            <w:tcW w:w="60" w:type="dxa"/>
            <w:vAlign w:val="bottom"/>
          </w:tcPr>
          <w:p>
            <w:pPr>
              <w:spacing w:after="0"/>
              <w:rPr>
                <w:sz w:val="12"/>
                <w:szCs w:val="12"/>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Extraordinary item</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8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08"/>
        </w:trPr>
        <w:tc>
          <w:tcPr>
            <w:tcW w:w="550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5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Adjusted EBITDA</w:t>
            </w:r>
          </w:p>
        </w:tc>
        <w:tc>
          <w:tcPr>
            <w:tcW w:w="15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r>
      <w:tr>
        <w:trPr>
          <w:trHeight w:val="132"/>
        </w:trPr>
        <w:tc>
          <w:tcPr>
            <w:tcW w:w="55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500" w:type="dxa"/>
            <w:vAlign w:val="bottom"/>
          </w:tcPr>
          <w:p>
            <w:pPr>
              <w:spacing w:after="0"/>
              <w:rPr>
                <w:sz w:val="9"/>
                <w:szCs w:val="9"/>
                <w:color w:val="auto"/>
              </w:rPr>
            </w:pPr>
          </w:p>
        </w:tc>
        <w:tc>
          <w:tcPr>
            <w:tcW w:w="150" w:type="dxa"/>
            <w:vAlign w:val="bottom"/>
          </w:tcPr>
          <w:p>
            <w:pPr>
              <w:spacing w:after="0"/>
              <w:rPr>
                <w:sz w:val="9"/>
                <w:szCs w:val="9"/>
                <w:color w:val="auto"/>
              </w:rPr>
            </w:pPr>
          </w:p>
        </w:tc>
        <w:tc>
          <w:tcPr>
            <w:tcW w:w="65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-95885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-95885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-95885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-95885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-95885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-95885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-95885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-95885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-95885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-95885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Adjusted EBITDA, as presented, represents a useful means of assessing the performance of our ongoing operating activities, as it reflects our earnings trends adjusted to exclude the impact of one time non-cash charges. We also believe that Adjusted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Adjusted EBITDA to develop incentive compensation plans and to measure operating performance. We are also presenting Adjusted EBITDA because we believe it is useful to investors as a way to measure our ability to incur and service debt, make capital expenditures and meet working capital requirements. Adjusted EBITDA is not intended as an alternative to net income as an indicator of our operating performance, or as an alternative to any other measure of performance in conformity with GAAP or as an alternative to cash flow from operating activities.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independent operating history and our future business prospects are difficult to evaluate.</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 limited operating history. Although we were founded in April 1999 as an independent business process outsourcing services provider, we did not start commercial operations in our first facility until October 2000. In August 2001, our then-largest client, Conseco, acquired us and, until November 2002, we operated as Conseco’s subsidiary. For the combined nine-month period in 2001 and the combined 2002 twelve-month period, 94.1% and 94.0% of our revenues, respectively, were derived from Conseco and its affiliates. In November 2002, our ownership again changed, and since that time revenues from Conseco and its affiliates have decreased to a substantially lower level. Revenues from Conseco for the period from November 15, 2002 to December 31, 2002, and the years ended December 31, 2003 and December 31, 2004 were $3.1 million, $4.9 million, and $1.5 million,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losses in the future, and we may not remain profitable.</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number of clients and provide services to few industries. In 2004, 76.5% of our revenues came from two clients.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derived and believe that we will continue to derive a substantial portion of our revenues from a limited number of large clients. In 2004, our two largest clients, Norwich Union, a United Kingdom-based company, and Dell (including Dell Financial Services), accounted for 76.5% of our revenues under several contracts. Of that amount, revenues from our largest client, Norwich Union, have grown significantly, from $11.9 million in 2003, representing a 42.8% share of our revenues for that period, to $31.7 million in 2004, representing a 52.4% share of our revenues for that period. We expect Norwich Union and Dell (including Dell Financial Services) to continue to contribute significantly to our revenues. The initial terms of our two Insurance Services Framework Agreements with Norwich Union are set to expire in July 2007 and June 2009. Norwich Union may terminate these agreements during their initial terms only for cause. After these initial terms, Norwich Union may then terminate these agreements without cause upon six months notice. The initial term of our agreement with Dell expires in November 2005 with automatic renewal rights for one year. Dell may terminate its agreement at any time without cause or penalty with 30 days notice. The loss or financial difficulties of any of our large clients would have a material adverse effect on our business, results of operations, financial condition and cash flows.</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 substantial portion of our clients are concentrated in the banking, financial services and insurance industries. In 2004, 73.8% of our revenues were derived from clients in the banking, financial services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insurance industries, including 60.3% that were derived from clients in the insurance industry. Our business and growth largely depend on continued demand for our services from clients and potential clients in these industries.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w:t>
      </w:r>
    </w:p>
    <w:p>
      <w:pPr>
        <w:spacing w:after="0" w:line="99"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services that requires significant funds and management resources and a long implementation cycle that requires significant resource commitments.</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long selling cycle for our business process outsourcing services, which requires significant investment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up to six to twelve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implementing our services involves a significant commitment of resources over an extended period of time from both our clients and us.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revenues.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When we are engaged by a client after the selling process, it takes from four to six weeks to integrate the client’s systems with ours, and up to three months thereafter to build up our services to the client’s requirements. Implementation processes are subject to a number of potential delays similar to certain of those affecting the selling cycle. Therefore, we do not recognize significant revenues until after we have completed the implementation phase.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operating results may vary significantly from period to period. Although our existing agreements that have original terms of three or more years provide us with a relatively predictable revenue base for a substantial portion of our business, the long selling cycle for our services, as well as the budget and approval processes of prospective clients, make it difficult to predict the timing of new client acquisitions. The timing of revenue recognition under new client agreements also varies depending on when we complete the implementation phase. Our period-to-period results have in the past and may also in the future fluctuate due to other factors, including client losses, variations in employee utilization rates resulting from changes in our clients’ operations, delays or difficulties in expanding our infrastructure (including hiring new employees or constructing new operations centers), changes to our pricing, currency fluctuation and other events identified under “Forward-looking Statements.” For example, our annual revenues in 2002 were $27.1 million, 94.5% of which were generated from Conseco. In 2003, our revenues from Conseco decreased significantly to 17.7% of total revenues of $27.8 million, and our cost of revenues increased as a result of unassigned employees who had previously worked on the Conseco processes. Our revenues are also affected by changes in pricing under our contracts at the time of renewal or by pricing under new contracts. Furthermore, because the majority of our revenues are denominated in pounds sterling or U.S. dollars while most of our expenses are incurred and paid in Indian rupees, our revenues can decrease or increase significantly if the exchange rates among the rupee, the pound sterling and the U.S. dollar fluctuate significantly.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Furthermore, Dell, one of our largest clients, experiences seasonal changes in its operations in connection with the year-end holiday season and the school year, which affects our period-to-period results.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9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Specifically, the loss of the services of our Vice Chairman and Chief Executive Officer, Vikram Talwar, or of our President and Chief Financial Officer, Rohit Kapoor, could seriously impair our ability to continue to manage and expand our business. There is strong competition for experienced senior management in the industry in which we operate, and we may not be able to retain these officers or key employees. Although we have entered into employment and non-competition agreements with our executive officers, certain terms of those agreements may not be enforceable and in any event these agreements do not ensure the continued service of these executive officers. In addition, we currently do not maintain “key person” insurance that covers any member of our management team. The loss of any of our key employees, particularly to competitors, could have a material adverse effect on our business, results of operations, financial condition and cash flows.</w:t>
      </w:r>
    </w:p>
    <w:p>
      <w:pPr>
        <w:spacing w:after="0" w:line="105"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Since we were founded in April 1999, we have experienced rapid growth and significantly expanded our operations. We have established four operations facilities in India, including a new facility in Pune, India, that was opened in December 2003. We anticipate opening a new operations facility in Noida, India, which we expect will be operational in the next twelve months. Our employees have increased from less than ten in October 2000 to 5,198 on December 31,</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2004. We expect to develop and improve our internal systems in the locations where we operate in order to address the anticipated growth of our industry. In addition, we are actively looking at a few specific locations to invest in an operations facility outside of India and are contractually committed to one of our clients to do so by September 2005.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open additional operations facilities or hire additional skilled employees as and when they are required,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1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business process outsourcing industry is very labor intensive and our success depends to a significant extent on our ability to attract, hire, train and retain qualified employees. The industry, including us, experiences high employee turnover. In 2004, our turnover rate for employees who had been with us for more than our six-month probationary period was 27.0% for our back-office operations and 69.9% for our non-back-office operations. There is significant competition for professionals in India with skills necessary to perform the services we offer to our clients. Increased competition for these professionals, in the business process outsourcing industry or otherwise, could have an adverse effect on us. A significant increase in the turnover rate among our employees in India, particularly among the highly skilled workforce needed to provide business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process outsourcing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We incurred approximately $0.5 million in 2004 on recruitment and approximately $0.4 million on training costs due to employee turnover, thereby increasing our cost of revenues and reducing our profit margins for that period by $0.9 million.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77"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business process outsourcing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necessary employees.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rupee, the pound sterling and the U.S. dollar fluctuate significantly.</w:t>
      </w:r>
    </w:p>
    <w:p>
      <w:pPr>
        <w:spacing w:after="0" w:line="95"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claim for substantial damages against us, regardless of our responsibility for that failure. In particular, our dependence on our offshore operations centers requires us to maintain active voice and data communications between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Although we attempt to limit and mitigate our liability for damages arising from negligent acts, errors or omissions through contractual provisions, the limitations of liability set forth in our contracts may not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enforceable 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07"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harm our business.</w:t>
      </w:r>
    </w:p>
    <w:p>
      <w:pPr>
        <w:spacing w:after="0" w:line="105"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recently proposed legislation or otherwise.</w:t>
      </w:r>
    </w:p>
    <w:p>
      <w:pPr>
        <w:spacing w:after="0" w:line="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based our strategy of future growth on certain assumptions regarding our industry and future developments in the market for financial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has become a politically sensitive topic in the United States. Recently, many organizations and public figures have publicly expressed concern about a perceived association between offshore outsourcing providers and the loss of jobs in the United States.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In other countries, such as the United Kingdom, there has also been some negative publicity and concern expressed regarding the possible effect of job losses caused by outsourcing.</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Although our clients do not currently have federal or state government contracts, this could affect our ability to attract or retain clients that have such contracts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325"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 house, in the U.S. or through offshore groups or other arrangements.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solutions and technological and industry expertise. We face significant competition for our services from our clients’ own in-house groups, including, in some cases, in-house groups operating offshore. For example, Norwich Union, our largest client, has the option under one of our contracts to assume the operations of one of our facilities in Pune, India. We also face competition from non-U.S.-based outsourcing and information technology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client contracts contain certain termination and other provisions that could have an adverse effect on our business and results of operations.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two main contracts with our largest client, Norwich Union, which represented 52.4% of our revenues in 2004, cannot be terminated without cause before their initial expiration in July 2007 and June 2009. However, after the initial term expires, they can be terminated without cause or penalty by Norwich Union upon six months notice. “Cause” under the Norwich contracts includes our failure to perform services agreed upon in a specific work order adequately, disposal of our material assets, our filing for bankruptcy or a change of control where our new controlling party is a named competitor of Norwich Union. Our other client contracts which represented 47.6% of our revenues in 2004, can be terminated by our clients with or without cause, with 30 days to six months notice and in some cases without penalty. The largest of these contracts, our agreement with Dell, which represented 24.1% of our revenues in 2004, can be terminated by Dell without cause or penalty upon 30 days notice. The Dell contract is set to expire on November 1, 2005, but includes automatic renewal rights for one year. Contracts representing approximately 12.0% of our revenues in 2004 will expire within a year. The termination of a substantial percentage of these contracts with or without cause could have a material adverse impact on the predictability of our expected revenue stream. Many of our client contracts do not commit our clients to provide us with a specific volume of business, and any failure to meet a client’s expectations could result in a cancellation or non-renewal of a contract. We may not be able to replace any client that elects to terminate or not renew its contract with us, which would reduce our revenues.</w:t>
      </w:r>
    </w:p>
    <w:p>
      <w:pPr>
        <w:spacing w:after="0" w:line="11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under one of our agreements with Norwich Union, our largest client, Norwich Union has the option from February 2007 through February 2011 to assume the operations of one of our facilities in Pune, India, by paying us an amount that will approximate the net asset value of that facility on the date of transfer plus the aggregate amount of certain foregone profits. In addition, under our other agreement with Norwich Union, Norwich Union also has the option to purchase certain of the assets of our operating subsidiary, EXL India, for the book value of those assets if we are in a material default of our agreement and that default affects the insurance services provided by more than 300 of our full-time employees or prejudices or is likely to prejudice the reputation of Norwich Union or a U.K. client of Norwich Union, or if there is a change of control that is not approved by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Norwich Union. The exercise of either of these options would result in both a loss of revenues and a loss of our employees who are at that time working in the related facilities. The agreement also provides that we cannot provide similar services to certain Norwich Union competitors without the approval of Norwich Union.</w:t>
      </w:r>
    </w:p>
    <w:p>
      <w:pPr>
        <w:spacing w:after="0" w:line="127" w:lineRule="exact"/>
        <w:rPr>
          <w:sz w:val="20"/>
          <w:szCs w:val="20"/>
          <w:color w:val="auto"/>
        </w:rPr>
      </w:pPr>
    </w:p>
    <w:p>
      <w:pPr>
        <w:ind w:left="240" w:right="60"/>
        <w:spacing w:after="0" w:line="325" w:lineRule="auto"/>
        <w:rPr>
          <w:sz w:val="20"/>
          <w:szCs w:val="20"/>
          <w:color w:val="auto"/>
        </w:rPr>
      </w:pPr>
      <w:r>
        <w:rPr>
          <w:rFonts w:ascii="Arial" w:cs="Arial" w:eastAsia="Arial" w:hAnsi="Arial"/>
          <w:sz w:val="16"/>
          <w:szCs w:val="16"/>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and Chief Financial Officer, Rohit Kapoor, and certain other members of management. Assuming that the underwriters do not exercise their option to purchase additional shares, immediately following this</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offering, Oak Hill Capital Partners L.P. and certain of its related affiliates will own shares (or %) of our outstanding common stock; FTVentures and certain of its related affiliates will own shares (or %) of our outstanding common stock; Mr. Talwar will own shares (or %) of our outstanding common stock; Mr. Kapoor will own shares (or %) of our outstanding common stock; and certain other members of our management will own shares (or %) of our outstanding common stock. Accordingly, each of these parties can exercise significant influence over our business</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30"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any acquired business into our operations, which could have a material adverse effect on our operations, results of operations and financial condition.</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In addition, our management may not be able to successfully integrate any acquired business into our operations, and any acquisition we do complete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are likely to result in the incurrence of indebtedness or the issuance of additional equity securities.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clients are often subject to regulations that may require that we comply with certain rules and regulations in performing services for them that would not otherwise apply to us. Debt collection services, for example, are subject to the Fair Debt Collection Practices Act, which regulates debt collection and includes licensing requirements.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laws and regulations that apply to certain portions of our business include the Fair Credit Reporting Act, the Gramm-Leach-Bliley Act, the Health Insurance Portability and Accountability Act of 1996, the Truth in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Lending Act, the Fair Credit Billing Act and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93"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a public company, we will incur significant additional legal, accounting and other expenses that we did not incur as a private company. The Sarbanes-Oxley Act of 2002, as well as new rules subsequently implemented by the Securities and Exchange Commission (the “Commission”) and the Nasdaq National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in the process of creating additional board committees and are reviewing and adopting comprehensive new policies regarding internal control over financial reporting and disclosure controls and procedures. We are also evaluating our internal controls systems in accordance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these new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8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Indian Finance Act, 2000, we currently benefit from a ten-year holiday from Indian corporate income taxes. As a result, our service operations have been subject to relatively lower tax liabilities. We incurred minimal income tax expense in 2004 as a result of the tax holiday, compared to $2.1 million that we would have incurred if the tax holiday had not been available for that period (without accounting for double taxation treaty set-offs). The Finance Act, 2000 phases out the tax holiday over a ten-year period from fiscal 2000 through fiscal 2009. Our current tax holidays expire by location by 2009. When our tax holiday expires or terminates, our tax expense will materially increase.</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 length price. Transactions among our subsidiaries and us may be considered such transactions. If the applicable income tax authorities review any of our tax returns and determine that the transfer price we applied was not appropriate, we may incur increased tax liability, including accrued interest and penalties, which would cause our tax expense to increase, possibly materially, thereby reducing our profitability and cash flows.</w:t>
      </w:r>
    </w:p>
    <w:p>
      <w:pPr>
        <w:spacing w:after="0" w:line="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A substantial portion of our assets and operations are located in India, and we are subject to regulatory, economic, political and military uncertainties in India.</w:t>
      </w:r>
    </w:p>
    <w:p>
      <w:pPr>
        <w:spacing w:after="0" w:line="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primary operating subsidiaries are incorporated in India, and virtually all of our assets and our professionals are located in India. We intend to continue to develop and expand our offshore facilities in India.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business process outsourcing industry. Certain of those programs, which have benefited us, include tax holidays, liberalized import and export duties and preferential rules on foreign investment and repatriation. We cannot assure you that liberalization policies will continue.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06" w:lineRule="exact"/>
        <w:rPr>
          <w:sz w:val="20"/>
          <w:szCs w:val="20"/>
          <w:color w:val="auto"/>
        </w:rPr>
      </w:pPr>
    </w:p>
    <w:p>
      <w:pPr>
        <w:ind w:left="240" w:right="280"/>
        <w:spacing w:after="0" w:line="325"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conditions and cash flows.</w:t>
      </w:r>
    </w:p>
    <w:p>
      <w:pPr>
        <w:spacing w:after="0" w:line="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 South Asia has, from time to time, experienced instances of civil unrest and hostilities among neighboring countries, including India, Pakistan and China. In recent years there have been several instances of military confrontations along the Indo-Pakistan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5"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to work with and meet our U.S. and European clients and our clients from other countries depends on the ability of our senior managers and employees to obtain the necessary visas and entry permits. In response to recent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Currency fluctuations among the Indian national rupee, the pound sterling and the U.S. dollar could have a material adverse effect on our results of operations.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substantially all of our revenues are denominated in pounds sterling (52.4% in 2004) or U.S. dollars (47.6% in 2004), most of our expenses (73.8% in 2004)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2004 was approximately 45.3 (based on the noon buying rate in the City of New York for cable transfers as certified for customs purposes by the Federal Reserve Bank of New York), representing depreciation of 2.8% compared to the average exchange rate for 2003. The average Indian rupee/pound sterling exchange rate in 2004 was approximately 83.0 (based on the Bloomberg Composite Rate), representing depreciation of 8.3% compared to the average exchange rate in 2003. The average U.S. dollar/pound sterling exchange rate in 2004 was approximately 1.8 (based on the noon buying rate in the City of New York for cable transfers as certified for customs purposes by the Federal Reserve Bank of New York), representing depreciation of 12.5% compared to the average exchange rate in 2003. Although we take steps to hedge a substantial portion of our India rupee-U.S. dollar foreign currency exposures, our results of operations may be adversely affected if the rupee fluctuates significantly against the pound sterling or the U.S. dollar, the pound sterling depreciates against the U.S. dollar or our hedging strategy is unsuccessful.</w:t>
      </w:r>
    </w:p>
    <w:p>
      <w:pPr>
        <w:spacing w:after="0" w:line="114"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3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the majority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99"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Section 44A and Section 13 of the Indian Civil Procedure Code, 1908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United States based on civil liability, whether or not it is predicated upon the federal securities laws of the United States, would not be enforceable in India as such.</w:t>
      </w:r>
    </w:p>
    <w:p>
      <w:pPr>
        <w:spacing w:after="0" w:line="13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United States, if an action is brought in India. Furthermore, it is also unlikely that an Indian court would enforce judgments obtained in the United States if it viewed the amount of damages awarded as excessive or inconsistent with Indian practice.</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the party seeking to enforce a judgment obtained in the United States in India would also be required to obtain approval from the Reserve Bank of India under the Foreign Exchange Management Act, 1999 to execute such a judgment or to repatriate any money recovered in an Indian court.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8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per ordinary share is substantially higher than our book value per ordinary share, purchasers in this offering will immediately experience a substantial dilution in net tangible book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Purchasers of our common stock will experience immediate and substantial dilution in net tangible book value per share from the initial public offering</w:t>
      </w:r>
    </w:p>
    <w:p>
      <w:pPr>
        <w:spacing w:after="0" w:line="38" w:lineRule="exact"/>
        <w:rPr>
          <w:sz w:val="20"/>
          <w:szCs w:val="20"/>
          <w:color w:val="auto"/>
        </w:rPr>
      </w:pPr>
    </w:p>
    <w:p>
      <w:pPr>
        <w:ind w:right="280"/>
        <w:spacing w:after="0" w:line="300" w:lineRule="auto"/>
        <w:rPr>
          <w:sz w:val="20"/>
          <w:szCs w:val="20"/>
          <w:color w:val="auto"/>
        </w:rPr>
      </w:pPr>
      <w:r>
        <w:rPr>
          <w:rFonts w:ascii="Arial" w:cs="Arial" w:eastAsia="Arial" w:hAnsi="Arial"/>
          <w:sz w:val="15"/>
          <w:szCs w:val="15"/>
          <w:color w:val="auto"/>
        </w:rPr>
        <w:t>price per share. After giving effect to the sale of the shares of common stock we have offered hereby, after deducting underwriting discounts and commissions and estimated offering expenses payable by us, and the application of the net proceeds therefrom, our as adjusted net tangible book value as of</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December 31, 2004 would have been $ million, or $ per share of common stock. This represents an immediate dilution in net tangible book value of $ per share to new investors purchasing shares of our common stock in this offering. A calculation of the dilution purchasers will incur is provided under “Dilution.”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Substantial future sales of shares of our common stock in the public market could cause our stock price to fall.</w:t>
      </w:r>
    </w:p>
    <w:p>
      <w:pPr>
        <w:spacing w:after="0" w:line="7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Upon consummation of this offering, we will have outstanding shares of common stock. Of these shares, the shares of common stock offered hereby will be freely tradable without restriction in the public market, unless purchased by our affiliates. Upon completion of this offering, our</w:t>
      </w:r>
    </w:p>
    <w:p>
      <w:pPr>
        <w:ind w:right="200"/>
        <w:spacing w:after="0" w:line="281" w:lineRule="auto"/>
        <w:rPr>
          <w:sz w:val="20"/>
          <w:szCs w:val="20"/>
          <w:color w:val="auto"/>
        </w:rPr>
      </w:pPr>
      <w:r>
        <w:rPr>
          <w:rFonts w:ascii="Arial" w:cs="Arial" w:eastAsia="Arial" w:hAnsi="Arial"/>
          <w:sz w:val="16"/>
          <w:szCs w:val="16"/>
          <w:color w:val="auto"/>
        </w:rPr>
        <w:t>existing stockholders will own shares of our common stock, which will represent approximately % of our outstanding common stock (approximately % if the underwriters exercise their option in full).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 stock will be entitled to dispose of their shares following the expiration of an initial</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180-day “lock-up” period (360 days for Vikram Talwar, Rohit Kapoor, Norwich Union and Prudential Financial) pursuant to the volume and other restrictions of Rule 144.</w:t>
      </w:r>
    </w:p>
    <w:p>
      <w:pPr>
        <w:spacing w:after="0" w:line="124"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In connection with this offering, we intend to enter into a registration rights agreement with Oak Hill Capital Partners L.P., FTVentures, certain of their respective affiliates, Vikram Talwar and Rohit Kapoor. We have also agreed to provide registration rights to Norwich Union, TCV V, L.P., TCV V Member Fund and Prudential Financial. Pursuant to these agreements, these holders will have the right, subject to some conditions, to require us to file registration statements</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covering shares of our common stock (including shares issuable upon the exercise of outstanding options) which they will own upon consummation of this offering or to include those shares in registration statements that we may file for ourselves or other stockholders. Following their registration and sale under the applicable registration statement, those shares will become freely tradeable. By exercising their registration rights and selling a large number of shares, these</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holders could cause the price of our common stock to decline. In addition, options to purchase shares of common stock will be outstanding upon consummation of this offering. Following this offering, we intend to file a registration statement under the Securities Act registering shares of our common stock reserved for issuance under our employee stock option plans and shares held for resale by our existing stockholders that were previously issued under our employee stock option plans.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have never declared or paid any cash dividends on our common stock. In the foreseeable future, we intend to retain any earnings to finance the development and expansion of our business, and we do not anticipate paying any cash dividends on our common stock.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80"/>
        <w:spacing w:after="0" w:line="325" w:lineRule="auto"/>
        <w:rPr>
          <w:sz w:val="20"/>
          <w:szCs w:val="20"/>
          <w:color w:val="auto"/>
        </w:rPr>
      </w:pPr>
      <w:r>
        <w:rPr>
          <w:rFonts w:ascii="Arial" w:cs="Arial" w:eastAsia="Arial" w:hAnsi="Arial"/>
          <w:sz w:val="16"/>
          <w:szCs w:val="16"/>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1"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 xml:space="preserve">Our amended and restated certificate of incorporation and by-laws, which we intend to adopt prior to the completion of this offering, will contain provisions that may make it more difficult, expensive or otherwise discourage a tender offer or a change in control or takeover attempt by a third-party that is opposed by our board of directors. These provisions will include classified board provisions permitting the board of directors to fill vacancies created by its expansion, provisions permitting the removal of directors only for cause and with a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stockholder vote, provisions requiring a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stockholder vote for certain amendments to our organizational documents, provisions barring stockholders from calling a special meeting of stockholders or requiring one to be called or from taking action by written consent,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stock price may be volatile, and you may be unable to resell your shares at or above the offering price or at all.</w:t>
      </w:r>
    </w:p>
    <w:p>
      <w:pPr>
        <w:spacing w:after="0" w:line="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may not develop or be sustained after this offering. The initial public offering price of the common stock offered hereby was determined through our negotiations with the underwriters and may bear no relationship to the market price of the common stock after this offering. The market price of our common stock after this offering will be subject to significant fluctuations in response to, among other factors, variations in our operating results, market conditions specific to the business process outsourcing services industry and developments relating to India.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8"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public reaction in the United States or United Kingdom to offshore outsourcing,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regulatory actions and conditions in our operating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legislative and judicial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competition in the business process outsourcing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worldwide economic and business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consummate strategic acquisitions.</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400"/>
          </w:cols>
          <w:pgMar w:left="240" w:top="459" w:right="259" w:bottom="1440" w:gutter="0" w:footer="0" w:header="0"/>
        </w:sectPr>
      </w:pPr>
    </w:p>
    <w:p>
      <w:pPr>
        <w:spacing w:after="0" w:line="18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estimate that our net proceeds from this offering will be approximately $ estimated offering expenses of approximately $ million.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the underwriting discount and commission and</w:t>
      </w:r>
    </w:p>
    <w:p>
      <w:pPr>
        <w:spacing w:after="0" w:line="396" w:lineRule="exact"/>
        <w:rPr>
          <w:sz w:val="20"/>
          <w:szCs w:val="20"/>
          <w:color w:val="auto"/>
        </w:rPr>
      </w:pPr>
    </w:p>
    <w:p>
      <w:pPr>
        <w:sectPr>
          <w:pgSz w:w="11900" w:h="16838" w:orient="portrait"/>
          <w:cols w:equalWidth="0" w:num="2">
            <w:col w:w="5840" w:space="580"/>
            <w:col w:w="498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We intend to use the proceeds from this offering:</w:t>
      </w:r>
    </w:p>
    <w:p>
      <w:pPr>
        <w:spacing w:after="0" w:line="77" w:lineRule="exact"/>
        <w:rPr>
          <w:sz w:val="20"/>
          <w:szCs w:val="20"/>
          <w:color w:val="auto"/>
        </w:rPr>
      </w:pPr>
    </w:p>
    <w:p>
      <w:pPr>
        <w:ind w:left="780" w:right="3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Series A preferred stock, the aggregate principal amount of which was $4.6 million plus accrued dividends of $1.0 million at December 31, 2004;</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stockholders, the aggregate principal amount of which was $4.9 million plus accrued interest of $0.5 million at December 31, 2004;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senior promissory notes to be repaid mature on December 13, 2007. The interest on $4,674,000 in aggregate principal amount of the notes accrues every six months from December 13, 2002 through maturity and the interest on $259,164 in aggregate principal amount of the notes accrues every six months from December 13, 2003 through maturity, in each case, at a rate equal to the greater of two and two-hundredths of a percent (2.02%) per semi-annum or LIBOR and must be paid on December 13, 2007 or on the day of any prepayment.</w:t>
      </w:r>
    </w:p>
    <w:p>
      <w:pPr>
        <w:spacing w:after="0" w:line="13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2004:</w:t>
      </w:r>
    </w:p>
    <w:p>
      <w:pPr>
        <w:spacing w:after="0" w:line="7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an as-adjusted basis, giving effect to:</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340"/>
        <w:spacing w:after="0" w:line="325" w:lineRule="auto"/>
        <w:rPr>
          <w:sz w:val="20"/>
          <w:szCs w:val="20"/>
          <w:color w:val="auto"/>
        </w:rPr>
      </w:pPr>
      <w:r>
        <w:rPr>
          <w:rFonts w:ascii="Arial" w:cs="Arial" w:eastAsia="Arial" w:hAnsi="Arial"/>
          <w:sz w:val="16"/>
          <w:szCs w:val="16"/>
          <w:color w:val="auto"/>
        </w:rPr>
        <w:t>the sale of shares of our common stock in this offering at an assumed public offering price of $ (the midpoint of the range set forth on the cover page of this prospectus), after deducting the underwriting discount and the estimated offering expenses,</w:t>
      </w:r>
    </w:p>
    <w:p>
      <w:pPr>
        <w:spacing w:after="0" w:line="1" w:lineRule="exact"/>
        <w:rPr>
          <w:sz w:val="20"/>
          <w:szCs w:val="20"/>
          <w:color w:val="auto"/>
        </w:rPr>
      </w:pPr>
    </w:p>
    <w:p>
      <w:pPr>
        <w:sectPr>
          <w:pgSz w:w="11900" w:h="16838" w:orient="portrait"/>
          <w:cols w:equalWidth="0" w:num="2">
            <w:col w:w="980" w:space="380"/>
            <w:col w:w="10060"/>
          </w:cols>
          <w:pgMar w:left="240" w:top="459" w:right="239" w:bottom="1440" w:gutter="0" w:footer="0" w:header="0"/>
          <w:type w:val="continuous"/>
        </w:sectPr>
      </w:pPr>
    </w:p>
    <w:p>
      <w:pPr>
        <w:ind w:left="1360" w:hanging="447"/>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application of the net proceeds of this offering as described under “Use of Proceeds,” and</w:t>
      </w:r>
    </w:p>
    <w:p>
      <w:pPr>
        <w:spacing w:after="0" w:line="103" w:lineRule="exact"/>
        <w:rPr>
          <w:rFonts w:ascii="Arial" w:cs="Arial" w:eastAsia="Arial" w:hAnsi="Arial"/>
          <w:sz w:val="18"/>
          <w:szCs w:val="18"/>
          <w:color w:val="auto"/>
        </w:rPr>
      </w:pPr>
    </w:p>
    <w:p>
      <w:pPr>
        <w:ind w:left="1360" w:right="80" w:hanging="447"/>
        <w:spacing w:after="0" w:line="268"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 Conversion as described under “Certain Relationships and Related Transactions—Transactions Entered Into in Connection with this Offering—Share Conversion.”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Actual</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ind w:left="30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0" w:type="dxa"/>
            <w:vAlign w:val="bottom"/>
            <w:gridSpan w:val="2"/>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promissory notes payable to stockholders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580" w:type="dxa"/>
            <w:vAlign w:val="bottom"/>
            <w:gridSpan w:val="6"/>
          </w:tcPr>
          <w:p>
            <w:pPr>
              <w:spacing w:after="0"/>
              <w:rPr>
                <w:sz w:val="20"/>
                <w:szCs w:val="20"/>
                <w:color w:val="auto"/>
              </w:rPr>
            </w:pPr>
            <w:r>
              <w:rPr>
                <w:rFonts w:ascii="Arial" w:cs="Arial" w:eastAsia="Arial" w:hAnsi="Arial"/>
                <w:sz w:val="18"/>
                <w:szCs w:val="18"/>
                <w:color w:val="auto"/>
                <w:w w:val="93"/>
              </w:rPr>
              <w:t>Series A preferred stock, par value $.001 per share; 45,833.36 shares authorized and, as adjusted, no shares authorized; 45,304</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gridSpan w:val="3"/>
          </w:tcPr>
          <w:p>
            <w:pPr>
              <w:ind w:left="200"/>
              <w:spacing w:after="0"/>
              <w:rPr>
                <w:sz w:val="20"/>
                <w:szCs w:val="20"/>
                <w:color w:val="auto"/>
              </w:rPr>
            </w:pPr>
            <w:r>
              <w:rPr>
                <w:rFonts w:ascii="Arial" w:cs="Arial" w:eastAsia="Arial" w:hAnsi="Arial"/>
                <w:sz w:val="18"/>
                <w:szCs w:val="18"/>
                <w:color w:val="auto"/>
              </w:rPr>
              <w:t>shares issued and outstanding and, as adjusted, no shares issued and outstanding</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Stockholders’ equity (deficit):</w:t>
            </w:r>
          </w:p>
        </w:tc>
        <w:tc>
          <w:tcPr>
            <w:tcW w:w="5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60" w:type="dxa"/>
            <w:vAlign w:val="bottom"/>
            <w:gridSpan w:val="5"/>
          </w:tcPr>
          <w:p>
            <w:pPr>
              <w:ind w:left="420"/>
              <w:spacing w:after="0"/>
              <w:rPr>
                <w:sz w:val="20"/>
                <w:szCs w:val="20"/>
                <w:color w:val="auto"/>
              </w:rPr>
            </w:pPr>
            <w:r>
              <w:rPr>
                <w:rFonts w:ascii="Arial" w:cs="Arial" w:eastAsia="Arial" w:hAnsi="Arial"/>
                <w:sz w:val="18"/>
                <w:szCs w:val="18"/>
                <w:color w:val="auto"/>
                <w:w w:val="93"/>
              </w:rPr>
              <w:t>Series A common stock, par value $.001 per share, 10,196,878 shares authorized and, as adjusted, no shares authorized;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3"/>
          </w:tcPr>
          <w:p>
            <w:pPr>
              <w:ind w:left="640"/>
              <w:spacing w:after="0"/>
              <w:rPr>
                <w:sz w:val="20"/>
                <w:szCs w:val="20"/>
                <w:color w:val="auto"/>
              </w:rPr>
            </w:pPr>
            <w:r>
              <w:rPr>
                <w:rFonts w:ascii="Arial" w:cs="Arial" w:eastAsia="Arial" w:hAnsi="Arial"/>
                <w:sz w:val="18"/>
                <w:szCs w:val="18"/>
                <w:color w:val="auto"/>
                <w:w w:val="91"/>
              </w:rPr>
              <w:t>10,081,778 shares issued and outstanding and, as adjusted, no shares issued and outstanding</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5"/>
              </w:rPr>
              <w:t>Series B non-voting common stock, par value $.001 per share, 1,190,854 shares authorized and, as adjusted, no shares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authorized; 529,369 shares issued and, as adjusted, no shares issued and outstanding</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Common stock, par value $.001 per share, no authorized shares and, as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640"/>
              <w:spacing w:after="0"/>
              <w:rPr>
                <w:sz w:val="20"/>
                <w:szCs w:val="20"/>
                <w:color w:val="auto"/>
              </w:rPr>
            </w:pPr>
            <w:r>
              <w:rPr>
                <w:rFonts w:ascii="Arial" w:cs="Arial" w:eastAsia="Arial" w:hAnsi="Arial"/>
                <w:sz w:val="18"/>
                <w:szCs w:val="18"/>
                <w:color w:val="auto"/>
              </w:rPr>
              <w:t>adjusted,</w:t>
            </w:r>
          </w:p>
        </w:tc>
        <w:tc>
          <w:tcPr>
            <w:tcW w:w="5340" w:type="dxa"/>
            <w:vAlign w:val="bottom"/>
          </w:tcPr>
          <w:p>
            <w:pPr>
              <w:ind w:left="20"/>
              <w:spacing w:after="0"/>
              <w:rPr>
                <w:sz w:val="20"/>
                <w:szCs w:val="20"/>
                <w:color w:val="auto"/>
              </w:rPr>
            </w:pPr>
            <w:r>
              <w:rPr>
                <w:rFonts w:ascii="Arial" w:cs="Arial" w:eastAsia="Arial" w:hAnsi="Arial"/>
                <w:sz w:val="18"/>
                <w:szCs w:val="18"/>
                <w:color w:val="auto"/>
                <w:w w:val="93"/>
              </w:rPr>
              <w:t>shares authorized; no shares issued and outstanding and, as adjusted,</w:t>
            </w:r>
          </w:p>
        </w:tc>
        <w:tc>
          <w:tcPr>
            <w:tcW w:w="2000" w:type="dxa"/>
            <w:vAlign w:val="bottom"/>
            <w:gridSpan w:val="2"/>
          </w:tcPr>
          <w:p>
            <w:pPr>
              <w:jc w:val="right"/>
              <w:ind w:right="1032"/>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3"/>
          </w:tcPr>
          <w:p>
            <w:pPr>
              <w:ind w:left="640"/>
              <w:spacing w:after="0"/>
              <w:rPr>
                <w:sz w:val="20"/>
                <w:szCs w:val="20"/>
                <w:color w:val="auto"/>
              </w:rPr>
            </w:pPr>
            <w:r>
              <w:rPr>
                <w:rFonts w:ascii="Arial" w:cs="Arial" w:eastAsia="Arial" w:hAnsi="Arial"/>
                <w:sz w:val="18"/>
                <w:szCs w:val="18"/>
                <w:color w:val="auto"/>
              </w:rPr>
              <w:t>issued and outstanding (1)</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Additional paid-in capital</w:t>
            </w:r>
          </w:p>
        </w:tc>
        <w:tc>
          <w:tcPr>
            <w:tcW w:w="5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Deferred stock based compensation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5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5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0" w:type="dxa"/>
            <w:vAlign w:val="bottom"/>
            <w:gridSpan w:val="2"/>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5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-3303270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-3303270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-3303270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-3303270</wp:posOffset>
            </wp:positionV>
            <wp:extent cx="54419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-172720</wp:posOffset>
            </wp:positionV>
            <wp:extent cx="3302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-172720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180" w:hanging="459"/>
        <w:spacing w:after="0" w:line="268" w:lineRule="auto"/>
        <w:tabs>
          <w:tab w:leader="none" w:pos="440" w:val="left"/>
        </w:tabs>
        <w:rPr>
          <w:sz w:val="20"/>
          <w:szCs w:val="20"/>
          <w:color w:val="auto"/>
        </w:rPr>
      </w:pPr>
      <w:r>
        <w:rPr>
          <w:rFonts w:ascii="Arial" w:cs="Arial" w:eastAsia="Arial" w:hAnsi="Arial"/>
          <w:sz w:val="18"/>
          <w:szCs w:val="18"/>
          <w:color w:val="auto"/>
        </w:rPr>
        <w:t>(1)</w:t>
        <w:tab/>
        <w:t>Does not include options to purchase an aggregate of shares of common stock that are outstanding under our stock option plans or otherwise or that are to be granted effective upon consummation of this offering under our stock option plans.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18"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Our net tangible book value as of December 31, 2004 was approximately $ million, or $ per share of common stock (after giving effect to the Share Conversion). The net tangible book value per share represents the amount of our net worth, or total tangible assets less total liabilities, divided by</w:t>
      </w:r>
    </w:p>
    <w:p>
      <w:pPr>
        <w:ind w:left="920"/>
        <w:spacing w:after="0"/>
        <w:rPr>
          <w:sz w:val="20"/>
          <w:szCs w:val="20"/>
          <w:color w:val="auto"/>
        </w:rPr>
      </w:pPr>
      <w:r>
        <w:rPr>
          <w:rFonts w:ascii="Arial" w:cs="Arial" w:eastAsia="Arial" w:hAnsi="Arial"/>
          <w:sz w:val="18"/>
          <w:szCs w:val="18"/>
          <w:color w:val="auto"/>
        </w:rPr>
        <w:t>shares of our common stock outstanding as of that date (after giving effect to the Share Conversion).</w:t>
      </w:r>
    </w:p>
    <w:p>
      <w:pPr>
        <w:spacing w:after="0" w:line="151"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After giving effect to the Share Conversion, the issuance and sale of shares of our common stock in this offering and our receipt of approximately $ million in net proceeds from such sale, based on an assumed public offering price of $ per share (the midpoint of the range set</w:t>
      </w:r>
    </w:p>
    <w:p>
      <w:pPr>
        <w:spacing w:after="0"/>
        <w:rPr>
          <w:sz w:val="20"/>
          <w:szCs w:val="20"/>
          <w:color w:val="auto"/>
        </w:rPr>
      </w:pPr>
      <w:r>
        <w:rPr>
          <w:rFonts w:ascii="Arial" w:cs="Arial" w:eastAsia="Arial" w:hAnsi="Arial"/>
          <w:sz w:val="16"/>
          <w:szCs w:val="16"/>
          <w:color w:val="auto"/>
        </w:rPr>
        <w:t>forth on the cover page of this prospectus), and after deducting the underwriting discount and commission and the estimated expenses of the offering, our as</w:t>
      </w:r>
    </w:p>
    <w:p>
      <w:pPr>
        <w:spacing w:after="0" w:line="3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adjusted net tangible book value per share as of December 31, 2004 would have been approximately $ million, or $ per share. This amount represents an immediate increase in net tangible book value of $ to existing stockholders and an immediate dilution in net tangible book value of $</w:t>
      </w:r>
    </w:p>
    <w:p>
      <w:pPr>
        <w:ind w:right="40"/>
        <w:spacing w:after="0" w:line="255" w:lineRule="auto"/>
        <w:rPr>
          <w:sz w:val="20"/>
          <w:szCs w:val="20"/>
          <w:color w:val="auto"/>
        </w:rPr>
      </w:pPr>
      <w:r>
        <w:rPr>
          <w:rFonts w:ascii="Arial" w:cs="Arial" w:eastAsia="Arial" w:hAnsi="Arial"/>
          <w:sz w:val="18"/>
          <w:szCs w:val="18"/>
          <w:color w:val="auto"/>
        </w:rPr>
        <w:t>per share to new investors purchasing shares of our common stock in this offering. Dilution per share is determined by subtracting the net tangible book value per share as adjusted for this offering from the amount of cash paid by a new investor for a share of our common stock. The following table illustrates the per share dilution:</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w w:val="94"/>
              </w:rPr>
              <w:t>Net tangible book value per share as of December 31, 2004 (adjusted for the Share Conversion but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excluding this offering)</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-27305</wp:posOffset>
            </wp:positionV>
            <wp:extent cx="41592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as of December 31, 2004, after giving effect to the Share Conversion and this offering as described above:</w:t>
      </w:r>
    </w:p>
    <w:p>
      <w:pPr>
        <w:spacing w:after="0" w:line="10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consideration paid to us before deducting underwriting discounts and commissions of $ approximately $ ,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and estimated offering expenses of</w:t>
      </w:r>
    </w:p>
    <w:p>
      <w:pPr>
        <w:spacing w:after="0" w:line="326" w:lineRule="exact"/>
        <w:rPr>
          <w:sz w:val="20"/>
          <w:szCs w:val="20"/>
          <w:color w:val="auto"/>
        </w:rPr>
      </w:pPr>
    </w:p>
    <w:p>
      <w:pPr>
        <w:sectPr>
          <w:pgSz w:w="11900" w:h="16838" w:orient="portrait"/>
          <w:cols w:equalWidth="0" w:num="3">
            <w:col w:w="520" w:space="260"/>
            <w:col w:w="6760" w:space="560"/>
            <w:col w:w="3320"/>
          </w:cols>
          <w:pgMar w:left="240" w:top="459" w:right="239" w:bottom="1440" w:gutter="0" w:footer="0" w:header="0"/>
          <w:type w:val="continuous"/>
        </w:sect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average price per share paid by existing stockholders and by new investors who purchase shares of common stock in this offering at the assumed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760"/>
              <w:spacing w:after="0"/>
              <w:rPr>
                <w:sz w:val="20"/>
                <w:szCs w:val="20"/>
                <w:color w:val="auto"/>
              </w:rPr>
            </w:pPr>
            <w:r>
              <w:rPr>
                <w:rFonts w:ascii="Arial" w:cs="Arial" w:eastAsia="Arial" w:hAnsi="Arial"/>
                <w:sz w:val="18"/>
                <w:szCs w:val="18"/>
                <w:color w:val="auto"/>
              </w:rPr>
              <w:t>initial public offering price of $</w:t>
            </w:r>
          </w:p>
        </w:tc>
        <w:tc>
          <w:tcPr>
            <w:tcW w:w="228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b w:val="1"/>
                <w:bCs w:val="1"/>
                <w:color w:val="auto"/>
              </w:rPr>
              <w:t>Shares Purchased</w:t>
            </w:r>
          </w:p>
        </w:tc>
        <w:tc>
          <w:tcPr>
            <w:tcW w:w="22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10" w:type="dxa"/>
            <w:vAlign w:val="bottom"/>
            <w:vMerge w:val="restart"/>
          </w:tcPr>
          <w:p>
            <w:pPr>
              <w:spacing w:after="0"/>
              <w:rPr>
                <w:sz w:val="3"/>
                <w:szCs w:val="3"/>
                <w:color w:val="auto"/>
              </w:rPr>
            </w:pPr>
          </w:p>
        </w:tc>
        <w:tc>
          <w:tcPr>
            <w:tcW w:w="510" w:type="dxa"/>
            <w:vAlign w:val="bottom"/>
            <w:vMerge w:val="restart"/>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 w:type="dxa"/>
            <w:vAlign w:val="bottom"/>
            <w:vMerge w:val="continue"/>
          </w:tcPr>
          <w:p>
            <w:pPr>
              <w:spacing w:after="0"/>
              <w:rPr>
                <w:sz w:val="7"/>
                <w:szCs w:val="7"/>
                <w:color w:val="auto"/>
              </w:rPr>
            </w:pPr>
          </w:p>
        </w:tc>
        <w:tc>
          <w:tcPr>
            <w:tcW w:w="51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Percent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1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w w:val="88"/>
              </w:rPr>
              <w:t>The foregoing tables do not include options to purchase an aggregate of</w:t>
            </w:r>
          </w:p>
        </w:tc>
        <w:tc>
          <w:tcPr>
            <w:tcW w:w="5860" w:type="dxa"/>
            <w:vAlign w:val="bottom"/>
            <w:gridSpan w:val="12"/>
          </w:tcPr>
          <w:p>
            <w:pPr>
              <w:ind w:left="900"/>
              <w:spacing w:after="0"/>
              <w:rPr>
                <w:sz w:val="20"/>
                <w:szCs w:val="20"/>
                <w:color w:val="auto"/>
              </w:rPr>
            </w:pPr>
            <w:r>
              <w:rPr>
                <w:rFonts w:ascii="Arial" w:cs="Arial" w:eastAsia="Arial" w:hAnsi="Arial"/>
                <w:sz w:val="18"/>
                <w:szCs w:val="18"/>
                <w:color w:val="auto"/>
                <w:w w:val="91"/>
              </w:rPr>
              <w:t>shares of common stock that are outstanding under our stock option</w:t>
            </w:r>
          </w:p>
        </w:tc>
        <w:tc>
          <w:tcPr>
            <w:tcW w:w="0" w:type="dxa"/>
            <w:vAlign w:val="bottom"/>
          </w:tcPr>
          <w:p>
            <w:pPr>
              <w:spacing w:after="0"/>
              <w:rPr>
                <w:sz w:val="1"/>
                <w:szCs w:val="1"/>
                <w:color w:val="auto"/>
              </w:rPr>
            </w:pPr>
          </w:p>
        </w:tc>
      </w:tr>
      <w:tr>
        <w:trPr>
          <w:trHeight w:val="216"/>
        </w:trPr>
        <w:tc>
          <w:tcPr>
            <w:tcW w:w="10800" w:type="dxa"/>
            <w:vAlign w:val="bottom"/>
            <w:gridSpan w:val="13"/>
          </w:tcPr>
          <w:p>
            <w:pPr>
              <w:spacing w:after="0"/>
              <w:rPr>
                <w:sz w:val="20"/>
                <w:szCs w:val="20"/>
                <w:color w:val="auto"/>
              </w:rPr>
            </w:pPr>
            <w:r>
              <w:rPr>
                <w:rFonts w:ascii="Arial" w:cs="Arial" w:eastAsia="Arial" w:hAnsi="Arial"/>
                <w:sz w:val="18"/>
                <w:szCs w:val="18"/>
                <w:color w:val="auto"/>
                <w:w w:val="88"/>
              </w:rPr>
              <w:t>plans or otherwise or that are to be granted effective upon the consummation of this offering under our stock option plans. See “Management—Executive</w:t>
            </w:r>
          </w:p>
        </w:tc>
        <w:tc>
          <w:tcPr>
            <w:tcW w:w="1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Compensation—Stock Option Plans.”</w:t>
            </w:r>
          </w:p>
        </w:tc>
        <w:tc>
          <w:tcPr>
            <w:tcW w:w="2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1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20" w:type="dxa"/>
            <w:vAlign w:val="bottom"/>
          </w:tcPr>
          <w:p>
            <w:pPr>
              <w:jc w:val="right"/>
              <w:ind w:right="592"/>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-831850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-831850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-831850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-831850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-831850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-831850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-831850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-831850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-831850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-831850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-831850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-831850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60" w:firstLine="2725"/>
        <w:spacing w:after="0" w:line="379" w:lineRule="auto"/>
        <w:rPr>
          <w:sz w:val="20"/>
          <w:szCs w:val="20"/>
          <w:color w:val="auto"/>
        </w:rPr>
      </w:pPr>
      <w:r>
        <w:rPr>
          <w:rFonts w:ascii="Arial" w:cs="Arial" w:eastAsia="Arial" w:hAnsi="Arial"/>
          <w:sz w:val="18"/>
          <w:szCs w:val="18"/>
          <w:b w:val="1"/>
          <w:bCs w:val="1"/>
          <w:color w:val="auto"/>
        </w:rPr>
        <w:t xml:space="preserve">SELECTED CONSOLIDATED FINANCIAL AND OTHER DATA </w:t>
      </w:r>
      <w:r>
        <w:rPr>
          <w:rFonts w:ascii="Arial" w:cs="Arial" w:eastAsia="Arial" w:hAnsi="Arial"/>
          <w:sz w:val="18"/>
          <w:szCs w:val="18"/>
          <w:color w:val="auto"/>
        </w:rPr>
        <w:t>The table below presents our selected historical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year ended December 31, 2004,</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year ended December 31, 2003,</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January 1, 2002 to November 14,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August 1, 2001 to December 31, 2001,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pre-predecessor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period from April 1, 2001 to July 31, 2001, and</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fiscal year ended March 31, 2001.</w:t>
      </w:r>
    </w:p>
    <w:p>
      <w:pPr>
        <w:spacing w:after="0" w:line="1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selected balance sheet data as of December 31, 2004, December 31, 2003 and December 31, 2002, and the selected statement of operations data for the years ended December 31, 2004 and December 31, 2003, the period from November 15 to December 31, 2002, the period from January 1 to November 14, 2002, the period from August 1 to December 31, 2001 and the period from April 1 to July 31, 2001 were derived from our consolidated financial statements that have been audited by Ernst &amp; Young LLP, our independent registered public accounting firm. The balance sheet data as of December 31, 2001 and March 31, 2001 and the income statement data for the fiscal year ended March 31, 2001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9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fiscal year ends on December 31. Prior to the 2001 Acquisition, our fiscal year ended on March 31. Accordingly, for the period prior to the 2001 Acquisition, we are presenting income statement data in this prospectus for the period from April 1, 2000 to March 31, 2001 for fiscal year 2001.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Predecessor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Pre-predecessor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Period from</w:t>
            </w: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Period from</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from</w:t>
            </w: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4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November 15 to</w:t>
            </w: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August 1 to</w:t>
            </w:r>
          </w:p>
        </w:tc>
        <w:tc>
          <w:tcPr>
            <w:tcW w:w="20" w:type="dxa"/>
            <w:vAlign w:val="bottom"/>
          </w:tcPr>
          <w:p>
            <w:pPr>
              <w:spacing w:after="0"/>
              <w:rPr>
                <w:sz w:val="12"/>
                <w:szCs w:val="12"/>
                <w:color w:val="auto"/>
              </w:rPr>
            </w:pP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April 1 to</w:t>
            </w:r>
          </w:p>
        </w:tc>
        <w:tc>
          <w:tcPr>
            <w:tcW w:w="12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2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14,</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July 31,</w:t>
            </w:r>
          </w:p>
        </w:tc>
        <w:tc>
          <w:tcPr>
            <w:tcW w:w="8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10"/>
            <w:vMerge w:val="restart"/>
          </w:tcPr>
          <w:p>
            <w:pPr>
              <w:jc w:val="right"/>
              <w:ind w:right="800"/>
              <w:spacing w:after="0"/>
              <w:rPr>
                <w:sz w:val="20"/>
                <w:szCs w:val="20"/>
                <w:color w:val="auto"/>
              </w:rPr>
            </w:pPr>
            <w:r>
              <w:rPr>
                <w:rFonts w:ascii="Arial" w:cs="Arial" w:eastAsia="Arial" w:hAnsi="Arial"/>
                <w:sz w:val="14"/>
                <w:szCs w:val="14"/>
                <w:b w:val="1"/>
                <w:bCs w:val="1"/>
                <w:color w:val="auto"/>
                <w:w w:val="88"/>
              </w:rPr>
              <w:t>(in millions, except share and per share data)</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Revenues(1)</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60.5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3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3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 (loss)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Interest and other 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(0.6)</w:t>
            </w:r>
          </w:p>
        </w:tc>
        <w:tc>
          <w:tcPr>
            <w:tcW w:w="8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 and extraordinary item</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Income tax provision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extraordinary gain</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tcBorders>
              <w:right w:val="single" w:sz="8" w:color="CCEEFF"/>
            </w:tcBorders>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Extraordinary gain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Dividends and accretion on preferred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4"/>
                <w:szCs w:val="14"/>
                <w:color w:val="auto"/>
              </w:rPr>
              <w:t>(0.1)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to common stockholders</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Basic and diluted earnings (loss) per share to common</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ind w:left="420"/>
              <w:spacing w:after="0"/>
              <w:rPr>
                <w:sz w:val="20"/>
                <w:szCs w:val="20"/>
                <w:color w:val="auto"/>
              </w:rPr>
            </w:pPr>
            <w:r>
              <w:rPr>
                <w:rFonts w:ascii="Arial" w:cs="Arial" w:eastAsia="Arial" w:hAnsi="Arial"/>
                <w:sz w:val="14"/>
                <w:szCs w:val="14"/>
                <w:color w:val="auto"/>
              </w:rPr>
              <w:t>Basic</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0.52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(0.10)</w:t>
            </w:r>
          </w:p>
        </w:tc>
        <w:tc>
          <w:tcPr>
            <w:tcW w:w="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0.43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0.43</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Weighted average number of shares used in computing earnings</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 share: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10,259,166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9,784,420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9,555,462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9,555,462</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9,555,462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10,508,626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9,784,420</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9,555,462</w:t>
            </w:r>
          </w:p>
        </w:tc>
        <w:tc>
          <w:tcPr>
            <w:tcW w:w="6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9,555,462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9,555,462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-1176020</wp:posOffset>
            </wp:positionV>
            <wp:extent cx="78422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-1176020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-1176020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-1176020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-1176020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-1176020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-1176020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-1176020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-1176020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-1176020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-1176020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-1176020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-1176020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-1176020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-1176020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-1176020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-1176020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-730250</wp:posOffset>
            </wp:positionV>
            <wp:extent cx="78422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-730250</wp:posOffset>
            </wp:positionV>
            <wp:extent cx="35718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71875"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-473075</wp:posOffset>
            </wp:positionV>
            <wp:extent cx="478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8917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At</w:t>
            </w:r>
          </w:p>
        </w:tc>
        <w:tc>
          <w:tcPr>
            <w:tcW w:w="160" w:type="dxa"/>
            <w:vAlign w:val="bottom"/>
          </w:tcPr>
          <w:p>
            <w:pPr>
              <w:spacing w:after="0"/>
              <w:rPr>
                <w:sz w:val="14"/>
                <w:szCs w:val="14"/>
                <w:color w:val="auto"/>
              </w:rPr>
            </w:pPr>
          </w:p>
        </w:tc>
        <w:tc>
          <w:tcPr>
            <w:tcW w:w="12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At</w:t>
            </w:r>
          </w:p>
        </w:tc>
        <w:tc>
          <w:tcPr>
            <w:tcW w:w="180" w:type="dxa"/>
            <w:vAlign w:val="bottom"/>
          </w:tcPr>
          <w:p>
            <w:pPr>
              <w:spacing w:after="0"/>
              <w:rPr>
                <w:sz w:val="14"/>
                <w:szCs w:val="14"/>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At</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4"/>
              </w:rPr>
              <w:t>At</w:t>
            </w:r>
          </w:p>
        </w:tc>
        <w:tc>
          <w:tcPr>
            <w:tcW w:w="120" w:type="dxa"/>
            <w:vAlign w:val="bottom"/>
          </w:tcPr>
          <w:p>
            <w:pPr>
              <w:spacing w:after="0"/>
              <w:rPr>
                <w:sz w:val="14"/>
                <w:szCs w:val="14"/>
                <w:color w:val="auto"/>
              </w:rPr>
            </w:pPr>
          </w:p>
        </w:tc>
        <w:tc>
          <w:tcPr>
            <w:tcW w:w="560" w:type="dxa"/>
            <w:vAlign w:val="bottom"/>
          </w:tcPr>
          <w:p>
            <w:pPr>
              <w:jc w:val="center"/>
              <w:ind w:right="72"/>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2"/>
                <w:szCs w:val="12"/>
                <w:color w:val="auto"/>
              </w:rPr>
            </w:pP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2002</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2001</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14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(unaudited)</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18.8</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8.6</w:t>
            </w:r>
          </w:p>
        </w:tc>
        <w:tc>
          <w:tcPr>
            <w:tcW w:w="180" w:type="dxa"/>
            <w:vAlign w:val="bottom"/>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7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8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50.4</w:t>
            </w: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22.3</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65.1</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Series A preferred stock</w:t>
            </w:r>
          </w:p>
        </w:tc>
        <w:tc>
          <w:tcPr>
            <w:tcW w:w="18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24.8</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8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$4,182,638 in 2004, $555,372 in 2003, $2,470 for the period from November 15 to December 31, 2002, $69,096 for the period from January 1 to November 14, 2002, $56,838 for the period from August 1 to December 31, 2001, and $0 for all other periods presented.</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administrative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leading provider of offshore business process outsourcing (“BPO”) solutions, based on revenues, primarily serving the needs of Global 1000 companies in the banking, financial services and insurance (“BFSI”) segment. We provide integrated front-, middle- and backoffice process outsourcing solutions and manage large-scale processes for our U.S.-based and U.K.-based clients. We also offer various specialized advisory and other services to our clients. A significant portion of our business relates to processes that we believe are integral to our clients’ operations, and the close nature of our relationships with our clients allows us to develop strong strategic long-term relationships with them.</w:t>
      </w:r>
    </w:p>
    <w:p>
      <w:pPr>
        <w:spacing w:after="0" w:line="129"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market our services directly through our sales and marketing team, which operates out of New York City and London, and our business development team, which operates out of Noida, India. We currently operate four operations facilities in India and anticipate opening a new 500-seat facility in Noida, India, which will be operational in the next twelve months, and an offshore BPO operation outside of India by September 2005.</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generate revenues principally from contracts to provide BPO or advisory services. In 2004, we had revenues of $60.5 million compared to $27.8 million in 2003, representing an increase of 117.6%. Our revenues attributable to clients other than Conseco were $59.0 million in 2004 and $22.9 million in 2003 compared to $1.6 million for 2002.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advisory services. We anticipate continued revenue growth as we expand our service offerings, acquire new clients and existing clients provide us with more business.</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services we provide to our clients (particularly under our general framework agreements), and the revenues and income that we derive from those services, may decline or vary as the type and quantity of services we provide under those contracts changes over time, including as a result of a shift in the mix of products and services we provide.</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enter into long-term agreements with our clients of typically between three and seven years. A substantial majority of our agreements with our BFSI clients have terms of over three years. Although these agreements provide us with a relatively predictable revenue base for a substantial portion of our business, the long selling cycle for our BPO services, as well as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serve clients mainly in North America and the United Kingdom, with these two regions generating approximately 47.6% and approximately 52.4% of our revenues, respectively, in 2004. See “—Foreign Exchange—Exchange Rates.”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two separate contracts with our largest client, Norwich Union, which together represented $31.7 million, or 52.4% of our revenues, in 2004. These contracts can only be terminated for cause during their initial terms, which expire in 2007 and 2009. Our contract with our second largest client, Dell (including Dell Financial Services) represented 24.1% of our revenues in 2004, and expires on November 1, 2005, but includes automatic renewal rights for one year. This contract can be terminated by Dell at any time, without cause or penalty, upon 30 days notice. Contracts representing approximately 12.0% of our revenues from our other clients in 2004 will expire within one year.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0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Dell, one of our largest clients, experiences seasonal changes in its operations in connection with the year-end holiday season and the school year, which affects our period-to-period results.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rupee, the pound sterling and the U.S. dollar or if our hedging strategy is unsuccessful. See “—Qualitative and Quantitative Disclosures About Market Risk—Components of Market Risk— Exchange RateRisk,” “—Expenses—Cost of Revenues” and “—Foreign Exchange—Exchange Rates.” As a result of these factors, our operating results may vary significantly from period to period.</w:t>
      </w:r>
    </w:p>
    <w:p>
      <w:pPr>
        <w:spacing w:after="0" w:line="131"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derive a significant portion of our revenues from a limited number of large clients. In 2004 and 2003, the revenues from our five largest clients grew to $54.3 million and $27.4 million, respectively, accounting for 89.8% and 98.6% of our revenues, respectively. During the same periods, revenues from our contracts with our two largest current clients, Norwich Union and Dell (including Dell Financial Services), accounted for 76.5% and 74.1% of our revenues, respectively. As a result of our shift in focus to clients other than Conseco following the 2002 Acquisition and the subsequent bankruptcy of Conseco, commencing in March 2003 our revenues from other clients have increased significantly while revenues from Conseco have decreased significantly. In 2004, revenues from Conseco represented 2.5% of our revenues, compared to 17.6% of our revenues in 2003. We derived revenues from two new clients for our services in 2003 and ten new clients in 2004.</w:t>
      </w:r>
    </w:p>
    <w:p>
      <w:pPr>
        <w:spacing w:after="0" w:line="13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Norwich Union has the option from February 2007 through February 2011 under one of its contracts with us to assume the operations of one of our facilities in Pune, India, by paying us an amount that will approximate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For more information, see “Certain Relationships and Related Transactions—Agreements with Norwich Union—Option to Purchase Stock of NCOP.”</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77" w:lineRule="exact"/>
        <w:rPr>
          <w:sz w:val="20"/>
          <w:szCs w:val="20"/>
          <w:color w:val="auto"/>
        </w:rPr>
      </w:pPr>
    </w:p>
    <w:p>
      <w:pPr>
        <w:ind w:left="780" w:right="2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most significant cost of revenues is employee compensation, recruitment, training and retention. Salary levels in India, employee turnover rates and our ability to efficiently manage and utilize our employees significantly affect our cost of revenues. See “—Foreign Exchange—Exchange Rates.”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expect our cost of revenues to increase as we add additional professionals in India in 2005 to service additional business and as wages continue to increase in India.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SG&amp;A Expenses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includes interest income and expense and foreign exchange gains or losses.</w:t>
      </w:r>
    </w:p>
    <w:p>
      <w:pPr>
        <w:spacing w:after="0" w:line="152" w:lineRule="exact"/>
        <w:rPr>
          <w:sz w:val="20"/>
          <w:szCs w:val="20"/>
          <w:color w:val="auto"/>
        </w:rPr>
      </w:pPr>
    </w:p>
    <w:p>
      <w:pPr>
        <w:jc w:val="right"/>
        <w:ind w:right="10060"/>
        <w:spacing w:after="0"/>
        <w:rPr>
          <w:sz w:val="20"/>
          <w:szCs w:val="20"/>
          <w:color w:val="auto"/>
        </w:rPr>
      </w:pPr>
      <w:r>
        <w:rPr>
          <w:rFonts w:ascii="Arial" w:cs="Arial" w:eastAsia="Arial" w:hAnsi="Arial"/>
          <w:sz w:val="15"/>
          <w:szCs w:val="15"/>
          <w:b w:val="1"/>
          <w:bCs w:val="1"/>
          <w:color w:val="auto"/>
        </w:rPr>
        <w:t>Foreign Exchange</w:t>
      </w:r>
    </w:p>
    <w:p>
      <w:pPr>
        <w:spacing w:after="0" w:line="117"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Exchange Rates</w:t>
      </w:r>
    </w:p>
    <w:p>
      <w:pPr>
        <w:spacing w:after="0" w:line="7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Although a substantial portion of our revenues are denominated in pounds sterling (52.4% in 2004) or U.S. dollars (47.6% in 2004), most of our expenses (73.8% in 2004) are incurred and paid in the Indian rupee. The exchange rates among the Indian rupee, the pound sterling and the U.S. dollar have changed substantially in recent years and may fluctuate substantially in the future. The results of our operations are affected as the rupee appreciates or depreciates against the U.S. dollar or the pound sterling. See “—Qualitative and Quantitative Disclosures About Market Risk—Components of Market Risk—Exchange Rate Risk.”</w:t>
      </w:r>
    </w:p>
    <w:p>
      <w:pPr>
        <w:spacing w:after="0" w:line="8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EXL India, is required to realize its export proceeds within a period of twelve months from the date of exports. Similarly, in the event that such exporter has received any advance against exports in foreign exchange from its overseas customers, it will have to render the requisite services so that the advances so received are earned within a period of twelve months. If EXL India did not meet these conditions, it would be required to obtain permission to export foreign currency from the Reserve Bank of India.</w:t>
      </w:r>
    </w:p>
    <w:p>
      <w:pPr>
        <w:spacing w:after="0" w:line="10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EXL Holdings receives payments under most of our client contracts and is invoiced by EXL India in respect of services that EXL India provides to our clients under these contracts. EXL India holds the foreign currency it receives, primarily from EXL Holdings,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these funds are transferred to an ordinary rupee account.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also maintain certain foreign currency accounts outside India with the prior approval of the Reserve Bank of India to meet our foreign exchange requirements outside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Indian Finance Act, 2000 provides EXL India with a ten-year holiday from Indian corporate income taxes as an entity exporting IT services from designated software technology parks and export processing zones in India. The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two wholly-owned export oriented units situated in Noida and Pune. The income derived from the services rendered from these facilities is not subject to taxes in India until March 31, 2009.</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We recognized minimal income tax expense in 2004 as a result of the tax holiday, compared to $2.1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9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 Holdings is subject to U.S. income taxes on the profits it recognizes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History</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pre-predecessor, EXL Inc., was formed on April 9, 1999 and began commercial operations in October 2000. On July 31, 2001, EXL Inc. was acquired by Conseco in the 2001 Acquisition and operated as Conseco’s wholly-owned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wholly-owned subsidiary. We accounted for the 2002 Acquisition using the purchase method in accordance with Statement of Financial Accounting Standards No. 141 “Business Combination” (“SFAS 141”). The fair value of the net assets acquired exceeded the cost.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were recorded at zero value in our books, causing depreciation expense to decline after the 2002 Acquisition.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revenues from BPO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December 31, 2004. To the extent we are able to prevail in matters for which accruals have been established or are required to pay amounts in excess of our reserves, our effective tax rate in a given financial statement period may be materially impacted.</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determine if a valuation allowance is required or not on the basis of an assessment of whether it is more likely than not that a deferred tax asset will be realized. Accordingly, we have provided a valuation allowance against a substantial portion of our net deferred tax asset. This assessment takes into consideration tax planning strategies, including levels of historical taxable income and assumptions regarding the availability and character of future taxable income over the periods in which the deferred tax assets are deductible. The effect of a change in judgment concerning the realizability of deferred tax assets would be included in income from continuing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adopted the disclosure-only provisions of SFAS No. 123, “Accounting for Stock-Based Compensation” (“SFAS 123”). Under SFAS 123, we are permitted to measure compensation costs for stock options using the intrinsic value method prescribed by Accounting Principles Board Opinion No. 25, “Accounting for Stock Issued to Employees” (“APB 25”). Under APB 25, compensation expense is generally not recognized when both the exercise price is the same as the market price and the number of shares to be issued is set on the date the employee stock option is granted. We have chosen to use the intrinsic value method to measure our compensation costs. If we had used the fair value method, we would have recognized additional compensation expense. See Note 2 to our consolidated financial statements.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past, we awarded a limited number of stock options to employees at exercise prices that were below fair market value. For these options, we record deferred stock-based compensation charges in the amount by which the exercise price of an option is less than the deemed fair value of our common stock at the date of grant. We amortize the deferred compensation charges ratably over the vesting period of the underlying option awards. We use the fair value method under SFAS 123 to account for options granted to non employees.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high-quality fixed income investments in India at the measurement date. A lower discount rate increases the present value of benefit obligations and therefore increases gratuity expense. Since our Gratuity Plan is unfunded, we have not assumed any returns on assets. A 100 basis point decrease/increase in the discount rate would have the impact of increasing/decreasing the projected benefit obligation at December 31, 2004 and decreasing/increasing earnings for the year ended December 31, 2004 by $0.01 million. Similarly, a 100 basis point decrease/increase in the rate of compensation increases would have the impact of decreasing/increasing the projected benefit obligation at December 31, 2004 and increasing/decreasing earnings for that year by $0.01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 the following discussion and analysis, we have combined financial information for the period from January 1, 2002 to November 14, 2002 (predecessor) and the period from November 15, 2002 to December 31, 2002 (successor) included elsewhere in this prospectus for clarity purposes in comparing our results for 2002 to 2003. The presentation of this unaudited combined consolidated financial information is not a recognized presentation under GAAP and is not indicative of our operating results for the year ended December 31, 2002.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2"/>
                <w:szCs w:val="12"/>
                <w:color w:val="auto"/>
              </w:rPr>
            </w:pPr>
          </w:p>
        </w:tc>
        <w:tc>
          <w:tcPr>
            <w:tcW w:w="12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Cost of revenues(2)</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and selling and marketing expenses(3)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 and extraordinary item</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extraordinary gain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Extraordinary gain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-172720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-172720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-172720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-172720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-172720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-172720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320" w:hanging="452"/>
        <w:spacing w:after="0" w:line="25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2004 Compared to Year Ended December 31, 2003</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approximately 117.6% from $27.8 million for 2003 (including $0.6 million of reimbursable expenses) to $60.5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primarily as a result of the growth of our client base, the increase in size and number of services we provided and the addition of new services, such as advisory services. We added ten new clients for our services, including advisory services, during 2004 compared to two new clients during 2003. Revenues generated from new clients were $6.4 million for 2004 accounting for 10.6% of revenues of which $2.5 million represented revenues from advisory services. As a result of providing services for the entire year in 2004 as compared to part of the period during 2003, we generated more revenue in 2004 (an increase of $20.0 million) from the clients added in 2003, including Norwich Union. These increases were partially offset by a decline in revenues from Conseco, principally as a result of Conseco’s reduced business activity following its bankruptcy in late 2002. In 2004, Conseco contributed 2.5% of revenues compared to 17.6% of revenues for 2003. Revenues from new clients 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 indicator of successful marketing efforts and does not represent a trend in our results of operations. We measure our revenues from new clients as revenues generated from new clients added and not as an increase in revenues from our existing clients.</w:t>
      </w:r>
    </w:p>
    <w:p>
      <w:pPr>
        <w:spacing w:after="0" w:line="118"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b w:val="1"/>
          <w:bCs w:val="1"/>
          <w:i w:val="1"/>
          <w:iCs w:val="1"/>
          <w:color w:val="auto"/>
        </w:rPr>
        <w:t xml:space="preserve">Cost of Revenues. </w:t>
      </w:r>
      <w:r>
        <w:rPr>
          <w:rFonts w:ascii="Arial" w:cs="Arial" w:eastAsia="Arial" w:hAnsi="Arial"/>
          <w:sz w:val="15"/>
          <w:szCs w:val="15"/>
          <w:color w:val="auto"/>
        </w:rPr>
        <w:t>Cost of revenues increased 110.3% from $18.4 million for 2003 (including $0.6 million of reimbursable expenses) to $38.7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2004 (including $4.2 million of reimbursable expenses). The increase was primarily attributable to an increase in the salaries and personnel expenses associated with the growth in the number of our employees in operations from 2,344 at December 31, 2003 to 4,846 at December 31, 2004. Salaries and personnel expenses increased from $11.2 million for 2003 to $23.1 million for 2004. Cost of revenues also increased due to an increase in reimbursable expenses primarily as a result of substantially increased client-site training. Facilities operating costs increased from $2.7 million for 2003 to $5.5 million for 2004 primarily as a result of our increased workforce and the addition of our Pune facility, which became operational in January 2004. Our technology and telecom operating costs increased</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53.0% from $4.0 million for 2003 to $6.1 million for 2004 as a result of our increased business volume. As a percentage of revenues, cost of revenues decreased from 66.2% for 2003 to 64.0% for 2004 due to improved employee utilization.</w:t>
      </w:r>
    </w:p>
    <w:p>
      <w:pPr>
        <w:spacing w:after="0" w:line="12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131.9% from $9.4 million for 2003 to $21.8 million for 2004. As a percentage of revenues, gross profit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33.8% for 2003 to 36.0% for 2004.</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40.0% from $9.0 million for 2003 to $12.6 million for 2004. This increase was primarily due to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salary and personnel expenses relating to our non-operations staff incurred to expand our sales efforts and organizational infrastructure. Salary and personnel expenses increased from $5.1 million for 2003 to $7.6 million for 2004. Further, marketing and business promotion expenses increased from $1.1 million in 2003 to $1.5 million in 2004 primarily due to increased sales efforts. SG&amp;A expenses declined as a percentage of revenues from 32.4% for 2003 to 20.8% for 2004. We believe that the rate of increase in our SG&amp;A expenses was lower than the corresponding increase in our revenues as a result of our more effective utilization of resources and increased economies of scale.</w:t>
      </w:r>
    </w:p>
    <w:p>
      <w:pPr>
        <w:spacing w:after="0" w:line="10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significantly from $0.4 million for 2003 to $3.9 million for 2004. The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2003. Depreciation for 2004 includes depreciation on fixed assets acquired since the 2002 acquisition, particularly for our Pune facility, which became operational in January 2004.</w:t>
      </w:r>
    </w:p>
    <w:p>
      <w:pPr>
        <w:spacing w:after="0" w:line="129"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b w:val="1"/>
          <w:bCs w:val="1"/>
          <w:i w:val="1"/>
          <w:iCs w:val="1"/>
          <w:color w:val="auto"/>
        </w:rPr>
        <w:t xml:space="preserve">Income/(Loss) From Operations. </w:t>
      </w:r>
      <w:r>
        <w:rPr>
          <w:rFonts w:ascii="Arial" w:cs="Arial" w:eastAsia="Arial" w:hAnsi="Arial"/>
          <w:sz w:val="15"/>
          <w:szCs w:val="15"/>
          <w:color w:val="auto"/>
        </w:rPr>
        <w:t>Income from operations has improved from break-even for 2003 to income of $5.4 million for 2004. The increase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margin was primarily due to increased revenues from clients other than Conseco resulting from our sales and marketing efforts during 2003 and 2004.</w:t>
      </w:r>
    </w:p>
    <w:p>
      <w:pPr>
        <w:spacing w:after="0" w:line="19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Other Income/(Expenses). </w:t>
      </w:r>
      <w:r>
        <w:rPr>
          <w:rFonts w:ascii="Arial" w:cs="Arial" w:eastAsia="Arial" w:hAnsi="Arial"/>
          <w:sz w:val="18"/>
          <w:szCs w:val="18"/>
          <w:color w:val="auto"/>
        </w:rPr>
        <w:t>Other income for 2004 remained unchanged compared to 2003. Other income comprises foreign exchange gains,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and interest expense on redeemable preferred stock. Foreign exchange gain increased by 100% to $0.8 million in 2004 from $0.4 million in 2003 primarily due to depreciation of the US dollar as compared to the pound sterling. Interest and other income and interest expense for 2004 and 2003 were $0.2 million and $0.3 million respectively. Interest expense on preferred stock has increased to $0.6 million in 2004 from $0.3 million in 2003 as a result of our adopting SFAS 150 on July 1, 2003.</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in 2003 was principally for U.S. federal alternative minimum taxes. The 2004 provision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$0.1 related to U.S. federal alternative minimum taxes and taxes on non-exempt income in India offset by $0.1 of deferred tax benefits which we believe will more likely than not be realized.</w:t>
      </w:r>
    </w:p>
    <w:p>
      <w:pPr>
        <w:spacing w:after="0" w:line="127" w:lineRule="exact"/>
        <w:rPr>
          <w:sz w:val="20"/>
          <w:szCs w:val="20"/>
          <w:color w:val="auto"/>
        </w:rPr>
      </w:pPr>
    </w:p>
    <w:p>
      <w:pPr>
        <w:ind w:left="460"/>
        <w:spacing w:after="0"/>
        <w:tabs>
          <w:tab w:leader="none" w:pos="2000" w:val="left"/>
        </w:tabs>
        <w:rPr>
          <w:sz w:val="20"/>
          <w:szCs w:val="20"/>
          <w:color w:val="auto"/>
        </w:rPr>
      </w:pPr>
      <w:r>
        <w:rPr>
          <w:rFonts w:ascii="Arial" w:cs="Arial" w:eastAsia="Arial" w:hAnsi="Arial"/>
          <w:sz w:val="18"/>
          <w:szCs w:val="18"/>
          <w:b w:val="1"/>
          <w:bCs w:val="1"/>
          <w:i w:val="1"/>
          <w:iCs w:val="1"/>
          <w:color w:val="auto"/>
        </w:rPr>
        <w:t>Net Income/(Loss).</w:t>
      </w:r>
      <w:r>
        <w:rPr>
          <w:sz w:val="20"/>
          <w:szCs w:val="20"/>
          <w:color w:val="auto"/>
        </w:rPr>
        <w:tab/>
      </w:r>
      <w:r>
        <w:rPr>
          <w:rFonts w:ascii="Arial" w:cs="Arial" w:eastAsia="Arial" w:hAnsi="Arial"/>
          <w:sz w:val="16"/>
          <w:szCs w:val="16"/>
          <w:color w:val="auto"/>
        </w:rPr>
        <w:t>Net income was $5.4 million for 2004 as compared to a net loss of $0.8 million for 2003.</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2003 Compared to Combined Year Ended December 31, 2002</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Although our revenues increased 2.6% from $27.1 million for 2002 (including $0.1 million of reimbursable expenses) to $27.8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(including $0.6 million of reimbursable expenses), we experienced a significant shift in our revenues mix from 2002 to 2003. In 2003, our revenue sources diversified geographically to include clients in the United Kingdom (representing 43.0% of our 2003 revenues) primarily as a result of our entry into a large contract with Norwich Union, whereas in 2002 all of our revenues were derived from North American clients. Revenues generated from new clients, including Norwich Union, grew from $ 0.1 million in 2002 to $12.0 million in 2003, accounting for 43.2% of our revenues in 2003 compared to 0.4% in 2002. These increases were, however, partially offset by a decline in revenues from Conseco. The overall contribution of Conseco to our revenues decreased from 94.0% in 2002 to 17.6% in 2003 as a result of the 2002 Acquisition and the bankruptcy of Conseco in late 2002.</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by 41.5% from $13.0 million in 2002 (including $0.1 million of reimbursable expenses) to $18.4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 (including $0.6 million of reimbursable expenses). This increase in cost of revenues was primarily due to an increase in personnel costs from $6.6 million in 2002 to $11.2 million in 2003. In 2003, because of a significant decline in Conseco operations, a large number of our employees were redeployed to new client processes, resulting in additional redeployment and training costs. In addition, in 2003, we substantially increased the scope and scale of services provided to two of our largest clients. As a result, even though revenues did not increase, salary costs increased due to large-scale investment in hiring, recruitment and training of new staff and training and redeployment of existing staff. The number of our employees in operations increased from 1,541 at December 31, 2002 to 2,344 at December 31, 2003.</w:t>
      </w:r>
    </w:p>
    <w:p>
      <w:pPr>
        <w:spacing w:after="0" w:line="13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33.3% from $14.1 million in 2002 to $9.4 million in 2003 primarily due to the reduction in the volume of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provided to Conseco as a result of our shift in focus to new clients following the 2002 Acquisition and the bankruptcy of Conseco in late 2002. As a percentage of revenues, gross profit decreased from 52.0% in 2002 to 33.8% in 2003.</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SG&amp;A Expenses. </w:t>
      </w:r>
      <w:r>
        <w:rPr>
          <w:rFonts w:ascii="Arial" w:cs="Arial" w:eastAsia="Arial" w:hAnsi="Arial"/>
          <w:sz w:val="18"/>
          <w:szCs w:val="18"/>
          <w:color w:val="auto"/>
        </w:rPr>
        <w:t>SG&amp;A expenses decreased 27.4% from $12.4 million in 2002 to $9.0 million in 2003 due to increased expenses in 2002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2002 Acquisition and the agreements relating to the winding down of Conseco operations at the end of 2002. Due to increased expenses and decreased revenues resulting from the 2002 Acquisition and the winding down of Conseco operations at the end of 2002, SG&amp;A expenses decreased as a percentage of revenues from 45.8% in 2002 to approximately 32.4% in 2003.</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decreased by 89.7% from $3.9 million in 2002 to $0.4 million in 2003. In 2003, all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was attributable to depreciation of our facilities capitalized after the 2002 Acquisition. As a result of the 2002 Acquisition, we recognized negative goodwill. In accordance with SFAS 141, we allocated the excess of the fair value over cost to the fixed assets and other non-current assets acquired, thereby reducing the carrying value of those assets to zero. As a result, depreciation in 2003 declined significantly in comparison to 2002.</w:t>
      </w:r>
    </w:p>
    <w:p>
      <w:pPr>
        <w:spacing w:after="0" w:line="9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expenses decreased from $45.8 million for the year ended December 31, 2002 to income of $0.1 million as expenses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year ended December 31, 2002, included goodwill impairment charge of $46.0 million recognized in 2002 Acquisition.</w:t>
      </w:r>
    </w:p>
    <w:p>
      <w:pPr>
        <w:spacing w:after="0" w:line="7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The provision for income taxes increased from $0.1 million in 2002 to $0.8 million primarily as a result of an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of $0.7 million for U.S. federal alternative minimum taxes in 2003. To compute the alternative minimum taxes, the Internal Revenue Service has prescribed various adjustments that serve to either increase or decrease regular taxable income. One of these adjustments is the adjusted current earnings or “ACE” adjustment, which required us to recalculate the adjusted basis of each of our assets for tax purposes in connection with the 2002 acquisition.</w:t>
      </w:r>
    </w:p>
    <w:p>
      <w:pPr>
        <w:spacing w:after="0" w:line="9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Income/(Loss). </w:t>
      </w:r>
      <w:r>
        <w:rPr>
          <w:rFonts w:ascii="Arial" w:cs="Arial" w:eastAsia="Arial" w:hAnsi="Arial"/>
          <w:sz w:val="18"/>
          <w:szCs w:val="18"/>
          <w:color w:val="auto"/>
        </w:rPr>
        <w:t>Net loss improved from a loss of $43.1 million for the year ended December 31, 2002 to a loss of $0.8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our capital requirements have principally been for establishing offshore operations facilities in India.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 common stock (shares after giving effect to the Share Conversion) to our client, Norwich Union, for an aggregate purchase price in cash of $12.5 million. At December 31, 2004, we had $18.8 million in cash and cash equivalents on hand.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Cash flows provided by operating activities increased to $9.9 million for 2004 compared to cash used in operating activities of approximately $1.9 million for 2003 due to several factors. First, net income increased to $5.4 million for 2004 compared to a loss of $0.8 million for 2003 as a result of our higher business volumes and better utilization of committed resources. In addition, our cash flows for 2004 increased on account of revenue advances received from Norwich Union during the year. Our cash flows were also impacted by increase when compared to 2003, in accounts receivable, prepaid expenses and other current assets of $3.5 million due to higher business volumes during 2004 offset by an increase in accrued expenses and other liabilities of $2.2 million due to the timing in payment of certain liabilities.</w:t>
      </w:r>
    </w:p>
    <w:p>
      <w:pPr>
        <w:spacing w:after="0" w:line="10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Cash used in investing activities has been mainly for our purchase of fixed assets, including telecommunications equipment and leasehold improvements, and development of our four operating facilities in India. Cash used in investing activities increased to $12.3 million for 2004 from $5.4 million for 2003 as a result of the development of our operating facilities in Pune, which have a capacity of approximately 1,400 seats, including 400 seats in Center IV. We spent a significant portion of these funds on leasehold improvements and technology and telecommunications infrastructure.</w:t>
      </w:r>
    </w:p>
    <w:p>
      <w:pPr>
        <w:spacing w:after="0" w:line="9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Cash provided by financing activities increased to $12.4 million for 2004 from $0.6 million for 2003 primarily as a result of the investment of $12.5 million in us by Norwich Union in July 2004 in return for 526,316 shares of our Series A common stock.</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made capital expenditures of approximately $12.3 million in 2004, $5.4 million in 2003 and approximately $4.8 million for the combined 2002 period. Capital expenditures in 2004 related to, among other things, the opening of our new operating facilities in Pune, India, which have a capacity of approximately 1,400 seats.</w:t>
      </w:r>
    </w:p>
    <w:p>
      <w:pPr>
        <w:spacing w:after="0" w:line="12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expect to incur approximately $11.0 million to $13.0 million of capital expenditures in 2005. Capital expenditures in 2005 will be used primarily to develop a new 500-seat facility in Noida, India, and another facility, consisting of approximately 500 seats, outside of India. The Noida, India facility is expected to become operational in the next twelve months. We are contractually committed to one of our clients to establish and maintain a viable offshore BPO operation outside of India by September 2005,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number of different locations for this facility. We anticipate that we will utilize cash flow from operating activities to finance the capital expenditures related to these two facilities. Capital expenditures we make to serve our clients’ needs represent primarily leasehold improvements to buildout facilities, telecommunications equipment, and computer hardware and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software we purchase in connection with managing client operations. We currently have no individually large outstanding commitments for these capital expenditures. The timing and volume of such capital expenditures in the future will be affected by new contracts we may enter into or the expansion of our existing contracts. Therefore, we cannot reasonably predict our capital expenditures beyond 2005.</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We anticipate that we will continue to rely upon cash flows from operating activities to finance our capital expenditures and working capital needs.</w:t>
      </w:r>
    </w:p>
    <w:p>
      <w:pPr>
        <w:spacing w:after="0" w:line="12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intend to use the proceeds from this offering to repurchase or redeem all outstanding shares of our Series A preferred stock, the aggregate principal amount of which plus accrued but unpaid dividends was $5.6 million at December 31, 2004, and repay all outstanding stockholders’ promissory notes, the aggregate principal amount of which plus accrued but unpaid interest was $5.4 million at December 31, 2004,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6"/>
          </w:tcPr>
          <w:p>
            <w:pPr>
              <w:ind w:left="100"/>
              <w:spacing w:after="0"/>
              <w:rPr>
                <w:sz w:val="20"/>
                <w:szCs w:val="20"/>
                <w:color w:val="auto"/>
              </w:rPr>
            </w:pPr>
            <w:r>
              <w:rPr>
                <w:rFonts w:ascii="Arial" w:cs="Arial" w:eastAsia="Arial" w:hAnsi="Arial"/>
                <w:sz w:val="14"/>
                <w:szCs w:val="14"/>
                <w:b w:val="1"/>
                <w:bCs w:val="1"/>
                <w:color w:val="auto"/>
              </w:rPr>
              <w:t>Payments Due by Period (in millions)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1 year</w:t>
            </w:r>
          </w:p>
        </w:tc>
        <w:tc>
          <w:tcPr>
            <w:tcW w:w="50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5"/>
              </w:rPr>
              <w:t>1-3 years</w:t>
            </w:r>
          </w:p>
        </w:tc>
        <w:tc>
          <w:tcPr>
            <w:tcW w:w="500" w:type="dxa"/>
            <w:vAlign w:val="bottom"/>
          </w:tcPr>
          <w:p>
            <w:pPr>
              <w:spacing w:after="0"/>
              <w:rPr>
                <w:sz w:val="15"/>
                <w:szCs w:val="15"/>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4-5 years</w:t>
            </w:r>
          </w:p>
        </w:tc>
        <w:tc>
          <w:tcPr>
            <w:tcW w:w="760" w:type="dxa"/>
            <w:vAlign w:val="bottom"/>
          </w:tcPr>
          <w:p>
            <w:pPr>
              <w:spacing w:after="0"/>
              <w:rPr>
                <w:sz w:val="20"/>
                <w:szCs w:val="20"/>
                <w:color w:val="auto"/>
              </w:rPr>
            </w:pPr>
            <w:r>
              <w:rPr>
                <w:rFonts w:ascii="Arial" w:cs="Arial" w:eastAsia="Arial" w:hAnsi="Arial"/>
                <w:sz w:val="14"/>
                <w:szCs w:val="14"/>
                <w:b w:val="1"/>
                <w:bCs w:val="1"/>
                <w:color w:val="auto"/>
                <w:w w:val="87"/>
              </w:rPr>
              <w:t>After 5 years</w:t>
            </w:r>
          </w:p>
        </w:tc>
        <w:tc>
          <w:tcPr>
            <w:tcW w:w="500" w:type="dxa"/>
            <w:vAlign w:val="bottom"/>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Service and supply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reflected on balance sheet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3845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entered into an Insurance Services Framework Agreement and related Virtual Shareholders’ Agreement with Norwich Union pursuant to which we have granted Norwich Union the option from February 2007 through February 2011 to assume the operations of one of our facilities in Pune, India, upon the payment of an amount that will approximate the net asset value of that facility on the date of transfer plus the aggregate amount of certain foregone profits. The exercise of this option would result in both a loss of revenues and the loss of all of our employees who are at that time working under that contract. We expect that any decline in revenues that we would experience if Norwich Union exercises this option would be partially offset by a decrease in expenses associated with the operation of the Pune facilities. See “Certain Relationships and Related Transactions—Agreements with Norwich Union—Option to Purchase Stock of NCOP.”</w:t>
      </w:r>
    </w:p>
    <w:p>
      <w:pPr>
        <w:spacing w:after="0" w:line="91"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a policy formulated by the government of India that has provided us with certain incentives on the import of capital goods. Under this policy, EXL India and NCOP must achieve certain export ratios and realize revenues attributable to exports of $104.9 million and $43.4 million, respectively, over a period of five years. EXL India is required to have export revenues of $23.2 million during the period from 2004 to 2005 and $34.1 million during the period 2004 to 2008. NCOP is required to have export revenues of $43.4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million during the period from 2004 to 2008. As of December 31, 2004, EXL India and NCOP had already achieved export revenues of $37.4 million and $7.3 million, respectively. In the event that EXL India and NCOP are unable to meet these requirements over the specified period, we may be required to refund these incentives along with penalties and fines. However, management believes that EXL India and NCOP will achieve these export levels within the required timeframe as both EXL India and NCOP have consistently generated the required levels of export revenues. Under the policy, EXL India and NCOP were entitled to import capital goods with a value of $27.5 million and $7.4 million, respectively, free of any import duties. We have not utilized $16.6 million of the duty-free imports allowance of which $13.1 million is due to expire in March 2005, $0.2 million is due to expire in August 2006 and $3.3 million is due to expire in December 2008.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we had no off-balance sheet arrangements or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exposure to market risk is a function of our borrowing activities and revenue generating activities in foreign currency. The objective of market risk management is to avoid excessive exposure of our earnings and equity to loss. Most of our exposure to market arises out of our foreign currency accounts receivable.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Exchange Rate Risk. </w:t>
      </w:r>
      <w:r>
        <w:rPr>
          <w:rFonts w:ascii="Arial" w:cs="Arial" w:eastAsia="Arial" w:hAnsi="Arial"/>
          <w:sz w:val="18"/>
          <w:szCs w:val="18"/>
          <w:color w:val="auto"/>
        </w:rPr>
        <w:t>Our exposure to market risk arises principally from exchange rate risk. Although substantially all of our revenues are denominated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pounds sterling or U.S. dollars, approximately 73.8% of our expenses are incurred and paid in the Indian rupee. The exchange rates among the Indian rupee, the pound sterling and the U.S. dollar have changed substantially in recent years and may fluctuate substantially in the future. See “—Foreign Exchange— Exchange Rates.”</w:t>
      </w:r>
    </w:p>
    <w:p>
      <w:pPr>
        <w:spacing w:after="0" w:line="130"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2004 and excluding any hedging arrangements that we had in place during that period, a 5.0% appreciation/depreciation in the pound sterling against the U.S. dollar would have increased/decreased revenues in 2004 by approximately $1.6 million. Similarly, a 5.0% depreciation in the Indian rupee against the U.S. dollar would have decreased our expenses incurred and paid in rupees in 2004 by approximately $2.0 million. Conversely, a 5.0% appreciation in the Indian rupee against the U.S. dollar would have increased our expenses incurred and paid in rupees during 2004 by approximately $2.2 million.</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in 2003 and 2004. None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contracts entered into in 2003 were outstanding at December 31, 2003. Forward exchange contracts with a notional amount of $11.3 million were outstanding at December 31, 2004. The fair value of such contracts at December 31, 2004 was $0.1 million.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Our exposure to interest rate risk arises principally from interest bearing instruments including preferred stock and senior promissory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payable to stockholders. We have $4.5 million in aggregate principal amount of our Series A preferred stock and $4.9 million in aggregate principal amount of senior promissory notes outstanding as of December 31, 2004. Interest on the principal amount of stockholders’ promissory note is payable on maturity and accrues at a rate equal to the greater of 2.02% semiannually or LIBOR. Holders of our preferred stock are entitled to receive annual dividends, as and when declared by Exl Service Holdings out of funds legally available in an amount equal to 10.0% of the liquidation preference per share. Such dividends are payable, at our election, in cash or in the form of an additional liquidation preference and accrue annually, but are to be paid only upon redemption, liquidation or as otherwise declared by us. Because we intend to use the proceeds from this offering to repurchase or redeem all of our outstanding Series A preferred stock, plus accrued but unpaid dividends to the date of repurchase or redemption and repay all of our outstanding stockholders’ promissory notes, plus accrued but unpaid interest to the date of repayment, we do not expect our exposure to interest rate fluctuations to be significant following this offering.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December 2004, the FASB issued SFAS No. 153, “Exchanges of Nonmonetory Assets,” which eliminated the exception for nonmonetory exchanges of similar productive assets and replaces it with a general exception for exchanges of nonmonetory assets that do not have commercial substance. SFAS No. 153 will be effective for nonmonetory asset exchanges occurring in fiscal periods beginning after June 15, 2005. We believe the adoption of SFAS No. 153 will not have a material impact on our operating results or financial position.</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December 2004, the FASB issued SFAS No. 123(R), “Share-Based Payment” (“SFAS 123(R)”), which establishes standards for transactions in which an entity exchanges its equity for goods or services. This standard requires a public entity to measure the cost of employee services received in exchange for an award of equity instruments based on the grant-date fair value of the award. This eliminates the exception to account for such awards using the intrinsic method previously allowable under APB Opinion No. 25. SFAS 123(R) will be effective for fiscal years beginning after June 15, 2005.</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123(R) permits public companies to adopt its requirements using one of the following two methods:</w:t>
      </w:r>
    </w:p>
    <w:p>
      <w:pPr>
        <w:spacing w:after="0" w:line="77" w:lineRule="exact"/>
        <w:rPr>
          <w:sz w:val="20"/>
          <w:szCs w:val="20"/>
          <w:color w:val="auto"/>
        </w:rPr>
      </w:pPr>
    </w:p>
    <w:p>
      <w:pPr>
        <w:ind w:left="900" w:right="20" w:hanging="446"/>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“modified prospective” method in which compensation cost is recognized beginning with the effective date (a) based on the requirements of SFAS 123(R) for all share based payments granted after the effective date and (b) based on the requirements of SFAS 123 for all awards granted to employees prior to the effective date of SFAS 123(R) that remain unvested on the effective date.</w:t>
      </w:r>
    </w:p>
    <w:p>
      <w:pPr>
        <w:spacing w:after="0" w:line="12"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amounts previously recognized under SFAS 123 for purposes of pro forma disclosures either (a) all periods presented or (b) prior interim periods of the year of adoption.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plan to adopt SFAS 123(R) using the modified prospective method.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permitted by SFAS No. 123, we currently accounts for share-based payments to employees using APB Opinion 25’s intrinsic value method and, as such, generally recognizes no compensation cost for employee stock options. Accordingly, the adoption of SFAS 123(R)’s fair value method will have a significant impact on our results of operations, although it will have no impact on our overall financial position. The impact of the adoption of SFAS 123(R) cannot be predicted at this time because it will depend on levels of share-based payments granted in the future. However, had we adopted SFAS 123(R) in prior periods, the impact of that standard would have approximated the impact of SFAS 123 as described in the disclosure of pro forma net income (loss) and earnings (loss) per share in Note 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determined the impact SFAS 123(R) might have on the nature of our share-based compensation to employees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 leading provider of offshore BPO services based on revenues, primarily serving the needs of Global 1000 companies in the BFSI segment. Business process outsourcing involves the transfer of select business operations of a client such as claims processing, finance and accounting and customer service to a third party, which administers and manages the select operations for the client. We generated revenues of $60.5 million in 2004 compared to $27.8 million in 2003, representing an increase of 117.6%. We believe we are well-positioned to continue our growth within the expanding BFSI segment of the BPO services market, leveraging our expertise in this industry and our ability to provide services worldwide.</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combine in-depth knowledge of the BFSI segment with proven business expertise in transferring business operations to our centers in India and administering and managing them for our U.S.-based and U.K.-based clients. We have successfully transferred more than 140 processes covering a broad array of products and services from 11 clients to our operations centers. Of these, all but a few were processes for eight clients in the BFSI industry and the remainder were specialized customer support processes for three clients in other industries. In the insurance industry, our service offerings include insurance claims processing, opening, issuing and servicing policies, agency management and premium administration for life, property and casualty insurers. In the banking and financial services industry, our service offerings include collections, cash management, loan servicing, research and reconciliation, finance and accounting processes and customer support for mortgage banks, retail banks and consumer finance companies. We also offer specialized advisory services to our clients, including identifying BPO opportunities, advice on improving the efficiency of client’s business operations and assistance to clients with their legal and compliance requirements such as those under the Sarbanes-Oxley Act of 2002 and technical support services. We use these strategic solutions as part of our marketing strategy to expand our client base and to migrate clients into our longer-term BPO service offerings.</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Substantially all of the revenues in 2004 from our BPO business were generated under long-term contracts having initial terms ranging from three to seven years. Our two contracts with our largest client, representing 52.4% of our revenues in 2004, have initial terms that run through 2007 and 2009, respectively. Our largest clients are Norwich Union and Dell (including Dell Financial Services), which together under several contracts accounted for 76.5% in 2004. Other clients include Allianz, IndyMac Bank FSB, Prudential Financial Inc., one of the three largest U.S. insurance companies and one of the three largest U.S. banks. A significant portion of our business relates to processes that are integral to our clients’ operations, and the close nature of these relationships allows us to develop strong strategic and long-term relationships with them. However, the 24.1% of our 2004 revenues attributable to Dell were generated under a contract that can be terminated by Dell with 30 days notice.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platforms are supported by a state-of-the-art infrastructure that can be expanded to meet each client’s needs. We market our services directly through our sales and marketing team, which operates out of New York City and London, England, and our business development team, which operates out of Noida, India. We have senior managers with extensive experience in the BFSI segment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By basing our operations in India, we believe we can offer consistently high quality services at substantially lower costs than those available from in-house facilities or U.S. or U.K.-based outsourcing providers. In addition, we are contractually committed to investing in an operations facility outside of India by September 2005, which we believe will enhance our global delivery model and provide higher value to our clients through risk diversification and access to a wider talent pool.</w:t>
      </w:r>
    </w:p>
    <w:p>
      <w:pPr>
        <w:spacing w:after="0" w:line="10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continued process enhancements by soliciting and implementing process improvements from employees and through our proprietary software tools. As part of our commitment to quality, we have been awarded an ISO 9001:2000 certification for quality assurance for our Noida operations and a BS7799 certification for information security, demonstrating our high standards for quality and information security. We have also been certified by the COPC in BPO and certain customer services (electronic transactions) for our Noida operations and received a conditional certificate for our collections services for our Noida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the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August 2001, we were acquired by Conseco and operated as its wholly-owned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wholly-owned subsidiary.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BPO service providers work with clients to develop and deliver business process innovations that transform their business or deliver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According to the 2004 report of the National Association of Software and Service Companies (the “NASSCOM Report”), BPO engagements are typically structured on a multi-year contract basis and are generally renewed.</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Demand for offshore BPO services has grown substantially in recent years. According to the most recent Gartner Report, offshore BPO services are expected to generate revenues of $3.0 billion in 2004, which revenues are expected to grow to approximately $24.2 billion in 2007, a compound annual growth rate of 100.6%. The Indian BPO industry is expected to receive approximately $2.0 billion in 2004, or 67.0% of the total offshore BPO market, which revenues are expected to grow to an estimated $13.8 billion by 2007, a compound annual growth rate of 90.4%.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According to a 2002 report published by NASSCOM, Indian BPO service providers can offer clients cost savings of approximately 40-50% and higher free cash flows through reduced investments in physical infrastructure, telecommunication and equipment. We believe the demand for BPO services will be primarily led by industries that are transaction-driven and that require significant customer interactions, such as BFSI, telecommunications, healthcare and retail. The high cost of servicing a large number of small customer accounts makes outsourcing a compelling strategic alternative for these industries.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BFSI Segment</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BFSI segment is characterized by intense competition among traditional players and new entrants, as well as rapid technological innovation. As a result of these challenges, we believe that the BFSI segment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adopting BPO more rapidly than other industries. Organizations in the BFSI segment continue to outsource their key business processes to third parties to reduce costs, improve process quality, handle increased transaction volumes and ensure redundancy. In selecting BPO vendors, the BFSI segment remains focused on vendor responsiveness, customer service and quality and an ability to smoothly transition complex processes and develop customized solutions.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Global demand for high-quality,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The effective use of offshore personnel can offer a variety of benefits, including lower costs and a large pool of highly qualified employees. As a result, many companies are moving selected front-, middle- and back-office processes to providers with the capacity to perform these functions from overseas locations. According to the NASSCOM Report, U.S. businesses dominate the demand for offshore outsourcing services, accounting for a substantial majority of the total market. Europe, with the United Kingdom being the dominant participant, and Japan account for the majority of the remainder of the market.</w:t>
      </w:r>
    </w:p>
    <w:p>
      <w:pPr>
        <w:spacing w:after="0" w:line="13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have the competitive strengths necessary to maintain and improve our position as a leading provider of BPO services in the BFSI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competitive strengths include: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Deep and Comprehensive Processing Experience Within the BFSI Segment</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 substantially all of our revenues derived from the BFSI segment, we have gained a deep understanding of that segment, especially in complex support functions. Our expertise stems from our early association with Conseco and has allowed us to provide a full range of high-value solutions to our clients. Because we believe that the BFSI segment is adopting BPO more rapidly than other industries, we intend to continue to focus on strengthening our capabilities for the BFSI segment and other high-potential segments (such as healthcare) by developing more complex services for our clients. We believe we are among the first global BPO service providers to have migrated from single or discrete transaction processes to a full range of functional solutions. We have successfully transferred more than 140 processes covering a broad array of products and services to our operations centers, including policy servicing, research and issuance, agency management and premium administration for clients in the life insurance, property and casualty insurance, health insurance and retirement services areas. In addition, we have developed substantial knowledge of the regulatory requirements applicable to the BFSI segment which operate as a significant barrier to new entrants. For example, we are one of the few offshore BPO service providers that can provide third-party administrator insurance services in 44 states of the United States, having been licensed or exempted from, or not subject to, licensing in each of those states. In addition, we are also licensed to operate debt-collection services in all but two states in the United States where such licenses are required, which makes us an attractive service provider to future clients. We believe that we are well-positioned to capitalize on the growth in this segment and to leverage the expertise we have gained in this area to steadily broaden and diversify our client base.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Client Relationships that Result in a High Level of Recurring and Predictable Revenues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established long-term relationships with our clients for whom we manage a wide variety of processes. Substantially all of our revenues in 2004 were generated by long-term contracts with initial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ranging from three to seven years. For clients whose processes we have fully migrated, this contract structure provides us with relatively predictable and recurring revenues for a substantial portion of our business,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Strong Focus on Operations Management and Process Excellence</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success to date reflects our strong focus on operations management and ongoing process improvement. We use Six Sigma methodology to identify and eliminate inefficiencies in client and support processes and have created a dedicated team of full-time Six Sigma-trained “black belts” and “green 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(ProMPT) system, to identify and deliver continued process enhancements to our clients, and a Staff Optimization and Forecasting Tool (SOFT) for effective workforce management of our client processes. We have been awarded ISO 9001:2000 certification for quality assurance for our Noida operations and BS7799 certification for information security, demonstrating our high standards for quality and information security. We have been certified by the COPC in BPO and certain customer services (electronic transactions) for our Noida operations and received a conditional certificate for our collection services for our Noida operations.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Robust Infrastructure that Can Be Readily Expanded to Meet the Needs of Our Clients</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have built a state-of-the-art infrastructure and have invested in our employees in an effort to consistently meet or exceed the growing needs of our clients. We have invested significant resources in employee recruitment, training and retention, enabling us to grow from approximately 1,827 employees at December 31, 2002 to 5,198 employees at December 31, 2004. Substantially all of our new employees are based in India. We already have the ability to hire and train 400 employees per month and have assembled what we believe is a highly qualified employee base among offshore independent BPO service providers. Of our employees, 99.5% have either college degrees or diplomas. We believe that our focus on hiring, training and retaining our employees should enable us to continue to deliver high-quality solutions to our clients.</w:t>
      </w:r>
    </w:p>
    <w:p>
      <w:pPr>
        <w:spacing w:after="0" w:line="10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have developed an extensive technological infrastructure with a focus on redundancies, scalability and, most importantly, information security. Our locations in India and the United States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Experienced Management Team With a Significant Equity Stake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pride ourselves on the strength and depth of our management and their continued commitment to our ongoing success. Our top 28 senior managers at or above the level of vice president have an average of approximately ten years of experience in the BFSI segment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Nineteen members of our senior management team hold 25% of our common stock on a fully diluted basis.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goal is to become the leading provider of BPO services in the BFSI segment. Specific elements of our growth strategy include: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solutions and develop closer relationships with our clients. Working with a small number of large-scale, long-term relationships also allows us to focus on quality and to devote the time and resources necessary to provide savings and fully satisfy the needs of our clients.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intend to develop long-term relationships that present recurring revenue opportunities with selected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In developing these relationships, our primary focus will be to continue to provide complex and integrated BPO solutions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transferring and servicing more than 140 processes in the BFSI segment. This expertise continues to distinguish us from other offshore providers of BPO services to the BFSI segment and has established our reputation as a leading provider of BPO services. We intend to continue to focus on strengthening our full range of processing capabilities for the BFSI segment. We also intend to expand the scope of our service offerings in the BFSI segment and other high-potential segments (such as healthcare) by developing more complex and value-enhancing services for our clients. In addition, examples of attractive segments where we intend to focus our future development include mortgage processing, property lease management for real estate investment trusts and trade sales and processing for investment banks.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differentiate ourselves by providing a full range of integrated BPO solutions. We will continue to identify opportunities to provide services in complementary segments (such as research and analytical processes) in order to maximize opportunities for cross-selling our service offerings and enhancing client satisfaction. Examples of our newest processes include managing insurance receivables, processing total loss claim cases, handling third-party claims cases and processing suspected fraud and high-value claim cases. We will also continue to develop additional advisory and related services in order to expand our client base further and migrate clients into our longer-term BPO service offerings. For example, in 2005 we started offering certain additional analytical services, including data filtering, organization and synthesis, management information system reporting, trend and variance analysis, statistical and econometric modeling and economic and financial markets research.</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will continue to invest in infrastructure, including human resources, process optimization and delivery platforms, to meet our growing client requirements. We intend to further refine and supplement the innovative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higher value solutions. Finally, we are expanding our facilities in Noida, India, which we expect will be operational in the next twelve months. In addition, we are contractually committed to one of our clients to establish and maintain a viable offshore BPO operation outside of India by September 2005,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will selectively consider strategic relationships with industry leaders that add new long-term client relationships or enhance the depth and breadth of our BPO solutions. We will also selectively consider acquisitions or investments that would expand the scope of our existing BPO services, add new clients or allow us to enter new geographic markets.</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BPO Services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BPO solutions are structured around the following main strategic business units: insurance services, banking and financial services, finance and accounting services, collection services and technical support services.</w:t>
      </w:r>
    </w:p>
    <w:p>
      <w:pPr>
        <w:spacing w:after="0" w:line="11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the areas of claims processing, premium and benefit administration, agency management, account reconciliation, policy research, policy servicing, policy issuance and customer service. We have acquired significant experience in transferring and managing processes in these areas and have successfully transferred and managed more than 110 processes and 200 sub-processes.</w:t>
      </w:r>
    </w:p>
    <w:p>
      <w:pPr>
        <w:spacing w:after="0" w:line="99"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Banking and Financial Services. </w:t>
      </w:r>
      <w:r>
        <w:rPr>
          <w:rFonts w:ascii="Arial" w:cs="Arial" w:eastAsia="Arial" w:hAnsi="Arial"/>
          <w:sz w:val="16"/>
          <w:szCs w:val="16"/>
          <w:color w:val="auto"/>
        </w:rPr>
        <w:t>We have significant domain expertise in servicing and processing various banking products including residential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lending, consumer finance, retail banking, credit cards, transaction services and other banking services. Our activities include customer service, transaction processing, underwriting support, documentation management and collateral monitoring.</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accounts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segment to include expense accounting, debit and credit accounting, account consolidation, departmental accounting, account balancing, accounting statements, budgeting and management information systems reporting.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Technical Support Services. </w:t>
      </w:r>
      <w:r>
        <w:rPr>
          <w:rFonts w:ascii="Arial" w:cs="Arial" w:eastAsia="Arial" w:hAnsi="Arial"/>
          <w:sz w:val="18"/>
          <w:szCs w:val="18"/>
          <w:color w:val="auto"/>
        </w:rPr>
        <w:t>We provide a large array of technical service solutions, including e-mail management, customer service and web- and voice-based technical helpdesk functions.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continuously seek to offer improved service delivery by means of detailed daily feedback through our ProMPT system and reporting with our clients.</w:t>
      </w:r>
    </w:p>
    <w:p>
      <w:pPr>
        <w:spacing w:after="0" w:line="18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Across the BPO services described above, we have successfully transferred and managed more than 140 processes and 200 sub-processes, including the following: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Arial" w:cs="Arial" w:eastAsia="Arial" w:hAnsi="Arial"/>
          <w:sz w:val="14"/>
          <w:szCs w:val="14"/>
          <w:b w:val="1"/>
          <w:bCs w:val="1"/>
          <w:color w:val="auto"/>
        </w:rPr>
        <w:t>Life Insurance</w:t>
      </w:r>
      <w:r>
        <w:rPr>
          <w:sz w:val="20"/>
          <w:szCs w:val="20"/>
          <w:color w:val="auto"/>
        </w:rPr>
        <w:tab/>
      </w:r>
      <w:r>
        <w:rPr>
          <w:rFonts w:ascii="Arial" w:cs="Arial" w:eastAsia="Arial" w:hAnsi="Arial"/>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19" w:lineRule="exact"/>
        <w:rPr>
          <w:sz w:val="20"/>
          <w:szCs w:val="20"/>
          <w:color w:val="auto"/>
        </w:rPr>
      </w:pPr>
    </w:p>
    <w:p>
      <w:pPr>
        <w:ind w:left="400" w:hanging="284"/>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i w:val="1"/>
          <w:iCs w:val="1"/>
          <w:color w:val="auto"/>
        </w:rPr>
        <w:t>Administration of Insurance Agents</w:t>
      </w:r>
    </w:p>
    <w:p>
      <w:pPr>
        <w:ind w:left="540"/>
        <w:spacing w:after="0" w:line="258" w:lineRule="auto"/>
        <w:rPr>
          <w:sz w:val="20"/>
          <w:szCs w:val="20"/>
          <w:color w:val="auto"/>
        </w:rPr>
      </w:pPr>
      <w:r>
        <w:rPr>
          <w:rFonts w:ascii="Arial" w:cs="Arial" w:eastAsia="Arial" w:hAnsi="Arial"/>
          <w:sz w:val="12"/>
          <w:szCs w:val="12"/>
          <w:color w:val="auto"/>
        </w:rPr>
        <w:t>Licensing and contracting renewals, terminations, correspondence, commissions and brokerage amounts, debt management, administrating unclaimed monies by insurance agents</w:t>
      </w:r>
    </w:p>
    <w:p>
      <w:pPr>
        <w:ind w:left="400" w:hanging="284"/>
        <w:spacing w:after="0" w:line="222" w:lineRule="auto"/>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jc w:val="both"/>
        <w:ind w:left="540" w:right="240"/>
        <w:spacing w:after="0" w:line="221" w:lineRule="auto"/>
        <w:rPr>
          <w:sz w:val="20"/>
          <w:szCs w:val="20"/>
          <w:color w:val="auto"/>
        </w:rPr>
      </w:pPr>
      <w:r>
        <w:rPr>
          <w:rFonts w:ascii="Arial" w:cs="Arial" w:eastAsia="Arial" w:hAnsi="Arial"/>
          <w:sz w:val="14"/>
          <w:szCs w:val="14"/>
          <w:color w:val="auto"/>
        </w:rPr>
        <w:t>Prescreening and acquiring new customers, underwriting, underwriting support, delivery requirements follow-up, policy issuance, fund application, refunds, non-sufficient funds, customer enquiries</w:t>
      </w:r>
    </w:p>
    <w:p>
      <w:pPr>
        <w:ind w:left="400" w:hanging="284"/>
        <w:spacing w:after="0" w:line="222"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Arial" w:cs="Arial" w:eastAsia="Arial" w:hAnsi="Arial"/>
          <w:sz w:val="14"/>
          <w:szCs w:val="14"/>
          <w:color w:val="auto"/>
        </w:rPr>
        <w:t>Title and address changes, certificate reissue, endorsement, policy transfers, quotes and reinstatements, loans, exchanges, withdrawals, dividends, surrenders, maturities, direct debit instructions, customer service</w:t>
      </w:r>
    </w:p>
    <w:p>
      <w:pPr>
        <w:ind w:left="400" w:hanging="284"/>
        <w:spacing w:after="0" w:line="222"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Application of premium, loan and interest adjustment, daily premium balancing, suspended policy research, payment mode changes, customer correspondence and service</w:t>
      </w:r>
    </w:p>
    <w:p>
      <w:pPr>
        <w:ind w:left="400" w:hanging="284"/>
        <w:spacing w:after="0" w:line="222"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540" w:right="340"/>
        <w:spacing w:after="0" w:line="230" w:lineRule="auto"/>
        <w:rPr>
          <w:sz w:val="20"/>
          <w:szCs w:val="20"/>
          <w:color w:val="auto"/>
        </w:rPr>
      </w:pPr>
      <w:r>
        <w:rPr>
          <w:rFonts w:ascii="Arial" w:cs="Arial" w:eastAsia="Arial" w:hAnsi="Arial"/>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82" w:hanging="282"/>
        <w:spacing w:after="0"/>
        <w:tabs>
          <w:tab w:leader="none" w:pos="282"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ind w:left="442" w:right="120"/>
        <w:spacing w:after="0" w:line="221" w:lineRule="auto"/>
        <w:rPr>
          <w:sz w:val="20"/>
          <w:szCs w:val="20"/>
          <w:color w:val="auto"/>
        </w:rPr>
      </w:pPr>
      <w:r>
        <w:rPr>
          <w:rFonts w:ascii="Arial" w:cs="Arial" w:eastAsia="Arial" w:hAnsi="Arial"/>
          <w:sz w:val="14"/>
          <w:szCs w:val="14"/>
          <w:color w:val="auto"/>
        </w:rPr>
        <w:t>Sales and conversion, quote acceptance, establishing new policies, policy upgrades, sales of multiple products</w:t>
      </w:r>
    </w:p>
    <w:p>
      <w:pPr>
        <w:ind w:left="282" w:hanging="282"/>
        <w:spacing w:after="0" w:line="222" w:lineRule="auto"/>
        <w:tabs>
          <w:tab w:leader="none" w:pos="282"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ind w:left="442"/>
        <w:spacing w:after="0" w:line="221" w:lineRule="auto"/>
        <w:rPr>
          <w:sz w:val="20"/>
          <w:szCs w:val="20"/>
          <w:color w:val="auto"/>
        </w:rPr>
      </w:pPr>
      <w:r>
        <w:rPr>
          <w:rFonts w:ascii="Arial" w:cs="Arial" w:eastAsia="Arial" w:hAnsi="Arial"/>
          <w:sz w:val="14"/>
          <w:szCs w:val="14"/>
          <w:color w:val="auto"/>
        </w:rPr>
        <w:t>Customer service, lapses and renewals, mid-term adjustments</w:t>
      </w:r>
    </w:p>
    <w:p>
      <w:pPr>
        <w:ind w:left="282" w:hanging="282"/>
        <w:spacing w:after="0" w:line="222" w:lineRule="auto"/>
        <w:tabs>
          <w:tab w:leader="none" w:pos="282"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442" w:right="34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82" w:hanging="282"/>
        <w:spacing w:after="0" w:line="222" w:lineRule="auto"/>
        <w:tabs>
          <w:tab w:leader="none" w:pos="282"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Premium</w:t>
      </w:r>
    </w:p>
    <w:p>
      <w:pPr>
        <w:ind w:left="442"/>
        <w:spacing w:after="0"/>
        <w:rPr>
          <w:sz w:val="20"/>
          <w:szCs w:val="20"/>
          <w:color w:val="auto"/>
        </w:rPr>
      </w:pPr>
      <w:r>
        <w:rPr>
          <w:rFonts w:ascii="Arial" w:cs="Arial" w:eastAsia="Arial" w:hAnsi="Arial"/>
          <w:sz w:val="14"/>
          <w:szCs w:val="14"/>
          <w:color w:val="auto"/>
        </w:rPr>
        <w:t>Payment mode changes, collection</w:t>
      </w:r>
    </w:p>
    <w:p>
      <w:pPr>
        <w:spacing w:after="0" w:line="1090" w:lineRule="exact"/>
        <w:rPr>
          <w:sz w:val="20"/>
          <w:szCs w:val="20"/>
          <w:color w:val="auto"/>
        </w:rPr>
      </w:pPr>
    </w:p>
    <w:p>
      <w:pPr>
        <w:sectPr>
          <w:pgSz w:w="11900" w:h="16838" w:orient="portrait"/>
          <w:cols w:equalWidth="0" w:num="2">
            <w:col w:w="5580" w:space="478"/>
            <w:col w:w="5362"/>
          </w:cols>
          <w:pgMar w:left="240" w:top="459" w:right="239" w:bottom="1440" w:gutter="0" w:footer="0" w:header="0"/>
          <w:type w:val="continuous"/>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3620" w:type="dxa"/>
            <w:vAlign w:val="bottom"/>
          </w:tcPr>
          <w:p>
            <w:pPr>
              <w:ind w:left="1120"/>
              <w:spacing w:after="0"/>
              <w:rPr>
                <w:sz w:val="20"/>
                <w:szCs w:val="20"/>
                <w:color w:val="auto"/>
              </w:rPr>
            </w:pPr>
            <w:r>
              <w:rPr>
                <w:rFonts w:ascii="Arial" w:cs="Arial" w:eastAsia="Arial" w:hAnsi="Arial"/>
                <w:sz w:val="14"/>
                <w:szCs w:val="14"/>
                <w:b w:val="1"/>
                <w:bCs w:val="1"/>
                <w:color w:val="auto"/>
              </w:rPr>
              <w:t>Consumer Finance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40" w:type="dxa"/>
            <w:vAlign w:val="bottom"/>
          </w:tcPr>
          <w:p>
            <w:pPr>
              <w:ind w:left="160"/>
              <w:spacing w:after="0"/>
              <w:rPr>
                <w:sz w:val="20"/>
                <w:szCs w:val="20"/>
                <w:color w:val="auto"/>
              </w:rPr>
            </w:pPr>
            <w:r>
              <w:rPr>
                <w:rFonts w:ascii="Arial" w:cs="Arial" w:eastAsia="Arial" w:hAnsi="Arial"/>
                <w:sz w:val="14"/>
                <w:szCs w:val="14"/>
                <w:b w:val="1"/>
                <w:bCs w:val="1"/>
                <w:color w:val="auto"/>
              </w:rPr>
              <w:t>Retail Banking and Credit Cards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940" w:type="dxa"/>
            <w:vAlign w:val="bottom"/>
          </w:tcPr>
          <w:p>
            <w:pPr>
              <w:ind w:left="580"/>
              <w:spacing w:after="0"/>
              <w:rPr>
                <w:sz w:val="20"/>
                <w:szCs w:val="20"/>
                <w:color w:val="auto"/>
              </w:rPr>
            </w:pPr>
            <w:r>
              <w:rPr>
                <w:rFonts w:ascii="Arial" w:cs="Arial" w:eastAsia="Arial" w:hAnsi="Arial"/>
                <w:sz w:val="14"/>
                <w:szCs w:val="14"/>
                <w:b w:val="1"/>
                <w:bCs w:val="1"/>
                <w:color w:val="auto"/>
              </w:rPr>
              <w:t>Mortgage Lending</w:t>
            </w:r>
          </w:p>
        </w:tc>
      </w:tr>
      <w:tr>
        <w:trPr>
          <w:trHeight w:val="95"/>
        </w:trPr>
        <w:tc>
          <w:tcPr>
            <w:tcW w:w="2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w w:val="93"/>
              </w:rPr>
              <w:t>Consumer finance processing including verification, tracking</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Customer service</w:t>
            </w:r>
          </w:p>
        </w:tc>
        <w:tc>
          <w:tcPr>
            <w:tcW w:w="12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Loan underwriting support</w:t>
            </w:r>
          </w:p>
        </w:tc>
      </w:tr>
      <w:tr>
        <w:trPr>
          <w:trHeight w:val="149"/>
        </w:trPr>
        <w:tc>
          <w:tcPr>
            <w:tcW w:w="280" w:type="dxa"/>
            <w:vAlign w:val="bottom"/>
          </w:tcPr>
          <w:p>
            <w:pPr>
              <w:spacing w:after="0"/>
              <w:rPr>
                <w:sz w:val="12"/>
                <w:szCs w:val="12"/>
                <w:color w:val="auto"/>
              </w:rPr>
            </w:pPr>
          </w:p>
        </w:tc>
        <w:tc>
          <w:tcPr>
            <w:tcW w:w="3620" w:type="dxa"/>
            <w:vAlign w:val="bottom"/>
          </w:tcPr>
          <w:p>
            <w:pPr>
              <w:ind w:left="260"/>
              <w:spacing w:after="0" w:line="149" w:lineRule="exact"/>
              <w:rPr>
                <w:sz w:val="20"/>
                <w:szCs w:val="20"/>
                <w:color w:val="auto"/>
              </w:rPr>
            </w:pPr>
            <w:r>
              <w:rPr>
                <w:rFonts w:ascii="Arial" w:cs="Arial" w:eastAsia="Arial" w:hAnsi="Arial"/>
                <w:sz w:val="14"/>
                <w:szCs w:val="14"/>
                <w:color w:val="auto"/>
              </w:rPr>
              <w:t>and recording</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Query resolution</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Loan verification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Inbound customer service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Address change request</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Property tax servicing</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E-mail response</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New loan set-up</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Loan payoff</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Rate modification</w:t>
            </w:r>
          </w:p>
        </w:tc>
      </w:tr>
      <w:tr>
        <w:trPr>
          <w:trHeight w:val="149"/>
        </w:trPr>
        <w:tc>
          <w:tcPr>
            <w:tcW w:w="2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49" w:lineRule="exact"/>
              <w:rPr>
                <w:sz w:val="20"/>
                <w:szCs w:val="20"/>
                <w:color w:val="auto"/>
              </w:rPr>
            </w:pPr>
            <w:r>
              <w:rPr>
                <w:rFonts w:ascii="Arial" w:cs="Arial" w:eastAsia="Arial" w:hAnsi="Arial"/>
                <w:sz w:val="14"/>
                <w:szCs w:val="14"/>
                <w:color w:val="auto"/>
              </w:rPr>
              <w:t>Telemarketing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Mortgage customer service</w:t>
            </w:r>
          </w:p>
        </w:tc>
      </w:tr>
      <w:tr>
        <w:trPr>
          <w:trHeight w:val="149"/>
        </w:trPr>
        <w:tc>
          <w:tcPr>
            <w:tcW w:w="2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20"/>
              <w:spacing w:after="0" w:line="149" w:lineRule="exact"/>
              <w:rPr>
                <w:sz w:val="20"/>
                <w:szCs w:val="20"/>
                <w:color w:val="auto"/>
              </w:rPr>
            </w:pPr>
            <w:r>
              <w:rPr>
                <w:rFonts w:ascii="Arial" w:cs="Arial" w:eastAsia="Arial" w:hAnsi="Arial"/>
                <w:sz w:val="14"/>
                <w:szCs w:val="14"/>
                <w:color w:val="auto"/>
              </w:rPr>
              <w:t>Seller/broker queries</w:t>
            </w:r>
          </w:p>
        </w:tc>
      </w:tr>
      <w:tr>
        <w:trPr>
          <w:trHeight w:val="172"/>
        </w:trPr>
        <w:tc>
          <w:tcPr>
            <w:tcW w:w="2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2940" w:type="dxa"/>
            <w:vAlign w:val="bottom"/>
          </w:tcPr>
          <w:p>
            <w:pPr>
              <w:ind w:left="120"/>
              <w:spacing w:after="0"/>
              <w:rPr>
                <w:sz w:val="20"/>
                <w:szCs w:val="20"/>
                <w:color w:val="auto"/>
              </w:rPr>
            </w:pPr>
            <w:r>
              <w:rPr>
                <w:rFonts w:ascii="Arial" w:cs="Arial" w:eastAsia="Arial" w:hAnsi="Arial"/>
                <w:sz w:val="14"/>
                <w:szCs w:val="14"/>
                <w:color w:val="auto"/>
              </w:rPr>
              <w:t>Document management</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0" w:type="dxa"/>
            <w:vAlign w:val="bottom"/>
          </w:tcPr>
          <w:p>
            <w:pPr>
              <w:spacing w:after="0"/>
              <w:rPr>
                <w:sz w:val="15"/>
                <w:szCs w:val="15"/>
                <w:color w:val="auto"/>
              </w:rPr>
            </w:pPr>
          </w:p>
        </w:tc>
        <w:tc>
          <w:tcPr>
            <w:tcW w:w="4900" w:type="dxa"/>
            <w:vAlign w:val="bottom"/>
          </w:tcPr>
          <w:p>
            <w:pPr>
              <w:ind w:left="1380"/>
              <w:spacing w:after="0"/>
              <w:rPr>
                <w:sz w:val="20"/>
                <w:szCs w:val="20"/>
                <w:color w:val="auto"/>
              </w:rPr>
            </w:pPr>
            <w:r>
              <w:rPr>
                <w:rFonts w:ascii="Arial" w:cs="Arial" w:eastAsia="Arial" w:hAnsi="Arial"/>
                <w:sz w:val="14"/>
                <w:szCs w:val="14"/>
                <w:b w:val="1"/>
                <w:bCs w:val="1"/>
                <w:color w:val="auto"/>
              </w:rPr>
              <w:t>Finance and Accounting</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tcPr>
          <w:p>
            <w:pPr>
              <w:ind w:left="1400"/>
              <w:spacing w:after="0"/>
              <w:rPr>
                <w:sz w:val="20"/>
                <w:szCs w:val="20"/>
                <w:color w:val="auto"/>
              </w:rPr>
            </w:pPr>
            <w:r>
              <w:rPr>
                <w:rFonts w:ascii="Arial" w:cs="Arial" w:eastAsia="Arial" w:hAnsi="Arial"/>
                <w:sz w:val="14"/>
                <w:szCs w:val="14"/>
                <w:b w:val="1"/>
                <w:bCs w:val="1"/>
                <w:color w:val="auto"/>
              </w:rPr>
              <w:t>Collections Services</w:t>
            </w:r>
          </w:p>
        </w:tc>
      </w:tr>
      <w:tr>
        <w:trPr>
          <w:trHeight w:val="95"/>
        </w:trPr>
        <w:tc>
          <w:tcPr>
            <w:tcW w:w="72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r>
      <w:tr>
        <w:trPr>
          <w:trHeight w:val="239"/>
        </w:trPr>
        <w:tc>
          <w:tcPr>
            <w:tcW w:w="720" w:type="dxa"/>
            <w:vAlign w:val="bottom"/>
          </w:tcPr>
          <w:p>
            <w:pPr>
              <w:ind w:left="540"/>
              <w:spacing w:after="0"/>
              <w:rPr>
                <w:sz w:val="20"/>
                <w:szCs w:val="20"/>
                <w:color w:val="auto"/>
              </w:rPr>
            </w:pPr>
            <w:r>
              <w:rPr>
                <w:rFonts w:ascii="Arial" w:cs="Arial" w:eastAsia="Arial" w:hAnsi="Arial"/>
                <w:sz w:val="14"/>
                <w:szCs w:val="14"/>
                <w:color w:val="auto"/>
              </w:rPr>
              <w:t>•</w:t>
            </w:r>
          </w:p>
        </w:tc>
        <w:tc>
          <w:tcPr>
            <w:tcW w:w="4900" w:type="dxa"/>
            <w:vAlign w:val="bottom"/>
          </w:tcPr>
          <w:p>
            <w:pPr>
              <w:ind w:left="100"/>
              <w:spacing w:after="0"/>
              <w:rPr>
                <w:sz w:val="20"/>
                <w:szCs w:val="20"/>
                <w:color w:val="auto"/>
              </w:rPr>
            </w:pPr>
            <w:r>
              <w:rPr>
                <w:rFonts w:ascii="Arial" w:cs="Arial" w:eastAsia="Arial" w:hAnsi="Arial"/>
                <w:sz w:val="14"/>
                <w:szCs w:val="14"/>
                <w:color w:val="auto"/>
              </w:rPr>
              <w:t>Accounts payable management</w:t>
            </w:r>
          </w:p>
        </w:tc>
        <w:tc>
          <w:tcPr>
            <w:tcW w:w="440" w:type="dxa"/>
            <w:vAlign w:val="bottom"/>
          </w:tcPr>
          <w:p>
            <w:pPr>
              <w:spacing w:after="0"/>
              <w:rPr>
                <w:sz w:val="20"/>
                <w:szCs w:val="20"/>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4660" w:type="dxa"/>
            <w:vAlign w:val="bottom"/>
          </w:tcPr>
          <w:p>
            <w:pPr>
              <w:ind w:left="120"/>
              <w:spacing w:after="0"/>
              <w:rPr>
                <w:sz w:val="20"/>
                <w:szCs w:val="20"/>
                <w:color w:val="auto"/>
              </w:rPr>
            </w:pPr>
            <w:r>
              <w:rPr>
                <w:rFonts w:ascii="Arial" w:cs="Arial" w:eastAsia="Arial" w:hAnsi="Arial"/>
                <w:sz w:val="14"/>
                <w:szCs w:val="14"/>
                <w:color w:val="auto"/>
              </w:rPr>
              <w:t>Collections from individuals</w:t>
            </w:r>
          </w:p>
        </w:tc>
      </w:tr>
      <w:tr>
        <w:trPr>
          <w:trHeight w:val="149"/>
        </w:trPr>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Vendor invoice processing</w:t>
            </w:r>
          </w:p>
        </w:tc>
        <w:tc>
          <w:tcPr>
            <w:tcW w:w="4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Collections from businesses</w:t>
            </w:r>
          </w:p>
        </w:tc>
      </w:tr>
      <w:tr>
        <w:trPr>
          <w:trHeight w:val="149"/>
        </w:trPr>
        <w:tc>
          <w:tcPr>
            <w:tcW w:w="72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4900" w:type="dxa"/>
            <w:vAlign w:val="bottom"/>
          </w:tcPr>
          <w:p>
            <w:pPr>
              <w:ind w:left="100"/>
              <w:spacing w:after="0" w:line="149" w:lineRule="exact"/>
              <w:rPr>
                <w:sz w:val="20"/>
                <w:szCs w:val="20"/>
                <w:color w:val="auto"/>
              </w:rPr>
            </w:pPr>
            <w:r>
              <w:rPr>
                <w:rFonts w:ascii="Arial" w:cs="Arial" w:eastAsia="Arial" w:hAnsi="Arial"/>
                <w:sz w:val="14"/>
                <w:szCs w:val="14"/>
                <w:color w:val="auto"/>
              </w:rPr>
              <w:t>Validation and payment</w:t>
            </w:r>
          </w:p>
        </w:tc>
        <w:tc>
          <w:tcPr>
            <w:tcW w:w="440" w:type="dxa"/>
            <w:vAlign w:val="bottom"/>
          </w:tcPr>
          <w:p>
            <w:pPr>
              <w:spacing w:after="0"/>
              <w:rPr>
                <w:sz w:val="12"/>
                <w:szCs w:val="12"/>
                <w:color w:val="auto"/>
              </w:rPr>
            </w:pPr>
          </w:p>
        </w:tc>
        <w:tc>
          <w:tcPr>
            <w:tcW w:w="70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4660" w:type="dxa"/>
            <w:vAlign w:val="bottom"/>
          </w:tcPr>
          <w:p>
            <w:pPr>
              <w:ind w:left="120"/>
              <w:spacing w:after="0" w:line="149" w:lineRule="exact"/>
              <w:rPr>
                <w:sz w:val="20"/>
                <w:szCs w:val="20"/>
                <w:color w:val="auto"/>
              </w:rPr>
            </w:pPr>
            <w:r>
              <w:rPr>
                <w:rFonts w:ascii="Arial" w:cs="Arial" w:eastAsia="Arial" w:hAnsi="Arial"/>
                <w:sz w:val="14"/>
                <w:szCs w:val="14"/>
                <w:color w:val="auto"/>
              </w:rPr>
              <w:t>Automated dialing systems</w:t>
            </w:r>
          </w:p>
        </w:tc>
      </w:tr>
      <w:tr>
        <w:trPr>
          <w:trHeight w:val="172"/>
        </w:trPr>
        <w:tc>
          <w:tcPr>
            <w:tcW w:w="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Arial" w:cs="Arial" w:eastAsia="Arial" w:hAnsi="Arial"/>
                <w:sz w:val="14"/>
                <w:szCs w:val="14"/>
                <w:color w:val="auto"/>
              </w:rPr>
              <w:t>•</w:t>
            </w:r>
          </w:p>
        </w:tc>
        <w:tc>
          <w:tcPr>
            <w:tcW w:w="4660" w:type="dxa"/>
            <w:vAlign w:val="bottom"/>
          </w:tcPr>
          <w:p>
            <w:pPr>
              <w:ind w:left="120"/>
              <w:spacing w:after="0"/>
              <w:rPr>
                <w:sz w:val="20"/>
                <w:szCs w:val="20"/>
                <w:color w:val="auto"/>
              </w:rPr>
            </w:pPr>
            <w:r>
              <w:rPr>
                <w:rFonts w:ascii="Arial" w:cs="Arial" w:eastAsia="Arial" w:hAnsi="Arial"/>
                <w:sz w:val="14"/>
                <w:szCs w:val="14"/>
                <w:color w:val="auto"/>
              </w:rPr>
              <w:t>Tracking debtors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Technical Support and 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540"/>
        <w:spacing w:after="0"/>
        <w:tabs>
          <w:tab w:leader="none" w:pos="800" w:val="left"/>
          <w:tab w:leader="none" w:pos="6580" w:val="left"/>
          <w:tab w:leader="none" w:pos="68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Technical help desk</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Fulfilling orders, including e-mail queries and online orders</w:t>
      </w:r>
    </w:p>
    <w:p>
      <w:pPr>
        <w:ind w:left="820" w:hanging="272"/>
        <w:spacing w:after="0" w:line="221" w:lineRule="auto"/>
        <w:tabs>
          <w:tab w:leader="none" w:pos="8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Voice, e-mail and blended processes</w:t>
      </w:r>
    </w:p>
    <w:p>
      <w:pPr>
        <w:ind w:left="980" w:right="5920" w:hanging="432"/>
        <w:spacing w:after="0" w:line="227" w:lineRule="auto"/>
        <w:tabs>
          <w:tab w:leader="none" w:pos="831" w:val="left"/>
        </w:tabs>
        <w:numPr>
          <w:ilvl w:val="0"/>
          <w:numId w:val="27"/>
        </w:numPr>
        <w:rPr>
          <w:rFonts w:ascii="Arial" w:cs="Arial" w:eastAsia="Arial" w:hAnsi="Arial"/>
          <w:sz w:val="14"/>
          <w:szCs w:val="14"/>
          <w:color w:val="auto"/>
        </w:rPr>
      </w:pPr>
      <w:r>
        <w:rPr>
          <w:rFonts w:ascii="Arial" w:cs="Arial" w:eastAsia="Arial" w:hAnsi="Arial"/>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Services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BPO Opportunity and Solution Identification</w:t>
      </w:r>
      <w:r>
        <w:rPr>
          <w:rFonts w:ascii="Arial" w:cs="Arial" w:eastAsia="Arial" w:hAnsi="Arial"/>
          <w:sz w:val="18"/>
          <w:szCs w:val="18"/>
          <w:color w:val="auto"/>
        </w:rPr>
        <w:t>. We have developed MOST, a unique methodology for identifying BPO opportunities, migrating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and developing appropriate BPO solutions that we can customize to meet our clients’ requirements.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Process Reengineering</w:t>
      </w:r>
      <w:r>
        <w:rPr>
          <w:rFonts w:ascii="Arial" w:cs="Arial" w:eastAsia="Arial" w:hAnsi="Arial"/>
          <w:sz w:val="18"/>
          <w:szCs w:val="18"/>
          <w:color w:val="auto"/>
        </w:rPr>
        <w:t>. We use our Six Sigma improvement methodology and process management expertise to help clients improve their processes.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effectiveness and decrease costs for our clients by consolidating, streamlining and reengineering their processes and platforms, which we believe encourages them to migrate and outsource processes to us.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Process Mapping and Documentation</w:t>
      </w:r>
      <w:r>
        <w:rPr>
          <w:rFonts w:ascii="Arial" w:cs="Arial" w:eastAsia="Arial" w:hAnsi="Arial"/>
          <w:sz w:val="18"/>
          <w:szCs w:val="18"/>
          <w:color w:val="auto"/>
        </w:rPr>
        <w:t>. We provide consulting services to our clients in order to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Business Risk Analysis and Sarbanes-Oxley Compliance</w:t>
      </w:r>
      <w:r>
        <w:rPr>
          <w:rFonts w:ascii="Arial" w:cs="Arial" w:eastAsia="Arial" w:hAnsi="Arial"/>
          <w:sz w:val="16"/>
          <w:szCs w:val="16"/>
          <w:color w:val="auto"/>
        </w:rPr>
        <w:t>. Our Business Process Risk Services (“BPRS”) division provides services, technologies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to identify, prioritize and manage our clients’ business process risks. Through a core team comprised of more than 65 certified accountants, internal auditors and process and technology experts, our BPRS division provides compliance, technology and risk-management solutions and makes recommendations to improve existing business processes and controls. The BPRS division also evaluates internal controls and provides internal controls testing solutions to facilitate compliance with the requirements of the Sarbanes-Oxley Act of 2002. We believe that clients of our BPRS division may also look to outsource or co-source some of their internal audit functions and seek IT risk management and IT advisory services.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Projects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examples illustrate the types of business needs that we address.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Mortgage Bank</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color w:val="auto"/>
        </w:rPr>
        <w:t>: A U.S. bank in the business of financing single-family homes. This client also offers home equity loans and invests in single-family mortgage-related assets. This client was seeking a cost-competitive outsourcing partner with substantial financial services industry knowledge and the ability to meet high-quality standards.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Our Approach</w:t>
      </w:r>
      <w:r>
        <w:rPr>
          <w:rFonts w:ascii="Arial" w:cs="Arial" w:eastAsia="Arial" w:hAnsi="Arial"/>
          <w:sz w:val="16"/>
          <w:szCs w:val="16"/>
          <w:color w:val="auto"/>
        </w:rPr>
        <w:t>: As part of our BPO opportunity and solution identification, we first sought to understand the various business processes conducted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and the challenges associated with those processes. We applied our Six Sigma-based process transfer methodology, performed pilot migrations, trained employees in India and implemented quality control processes and process management procedures prior to initiating operations from our facilities.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Services Overview</w:t>
      </w:r>
      <w:r>
        <w:rPr>
          <w:rFonts w:ascii="Arial" w:cs="Arial" w:eastAsia="Arial" w:hAnsi="Arial"/>
          <w:sz w:val="16"/>
          <w:szCs w:val="16"/>
          <w:color w:val="auto"/>
        </w:rPr>
        <w:t>: Since December 2001, we have provided a wide range of services to this client, which have increased both in volume and complexity.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Commencing with a new customer service process designed to reduce first payment defaults, we graduated to early- and then late-stage collections for the client’s mortgage loan portfolio. We then began to perform an even more complex process designed to pre-empt the refinancing of mortgages in a declining interest rate environment by proactively offering rate modifications to existing prime borrowers. The services we provide now include:</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left="400" w:hanging="284"/>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Customer Information Verification</w:t>
      </w:r>
    </w:p>
    <w:p>
      <w:pPr>
        <w:ind w:left="540"/>
        <w:spacing w:after="0" w:line="230" w:lineRule="auto"/>
        <w:rPr>
          <w:sz w:val="20"/>
          <w:szCs w:val="20"/>
          <w:color w:val="auto"/>
        </w:rPr>
      </w:pPr>
      <w:r>
        <w:rPr>
          <w:rFonts w:ascii="Arial" w:cs="Arial" w:eastAsia="Arial" w:hAnsi="Arial"/>
          <w:sz w:val="14"/>
          <w:szCs w:val="14"/>
          <w:color w:val="auto"/>
        </w:rPr>
        <w:t>Loan underwriting support, internet research, voice, e-mail and voice/email processes,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Loan Processing</w:t>
      </w:r>
    </w:p>
    <w:p>
      <w:pPr>
        <w:ind w:left="540" w:right="520"/>
        <w:spacing w:after="0" w:line="230" w:lineRule="auto"/>
        <w:rPr>
          <w:sz w:val="20"/>
          <w:szCs w:val="20"/>
          <w:color w:val="auto"/>
        </w:rPr>
      </w:pPr>
      <w:r>
        <w:rPr>
          <w:rFonts w:ascii="Arial" w:cs="Arial" w:eastAsia="Arial" w:hAnsi="Arial"/>
          <w:sz w:val="14"/>
          <w:szCs w:val="14"/>
          <w:color w:val="auto"/>
        </w:rPr>
        <w:t>Loan data validation, back office transaction support,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Underwriting Conditions</w:t>
      </w:r>
    </w:p>
    <w:p>
      <w:pPr>
        <w:ind w:left="540" w:right="40"/>
        <w:spacing w:after="0" w:line="230" w:lineRule="auto"/>
        <w:rPr>
          <w:sz w:val="20"/>
          <w:szCs w:val="20"/>
          <w:color w:val="auto"/>
        </w:rPr>
      </w:pPr>
      <w:r>
        <w:rPr>
          <w:rFonts w:ascii="Arial" w:cs="Arial" w:eastAsia="Arial" w:hAnsi="Arial"/>
          <w:sz w:val="14"/>
          <w:szCs w:val="14"/>
          <w:color w:val="auto"/>
        </w:rPr>
        <w:t>Loan underwriting support, voice, e-mail and voice/email processes, broker inquiries, multi-skilled agents to ensure productivity</w:t>
      </w:r>
    </w:p>
    <w:p>
      <w:pPr>
        <w:spacing w:after="0" w:line="44" w:lineRule="exact"/>
        <w:rPr>
          <w:sz w:val="20"/>
          <w:szCs w:val="20"/>
          <w:color w:val="auto"/>
        </w:rPr>
      </w:pPr>
    </w:p>
    <w:p>
      <w:pPr>
        <w:ind w:left="400" w:hanging="284"/>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Collections</w:t>
      </w:r>
    </w:p>
    <w:p>
      <w:pPr>
        <w:ind w:left="540"/>
        <w:spacing w:after="0"/>
        <w:rPr>
          <w:sz w:val="20"/>
          <w:szCs w:val="20"/>
          <w:color w:val="auto"/>
        </w:rPr>
      </w:pPr>
      <w:r>
        <w:rPr>
          <w:rFonts w:ascii="Arial" w:cs="Arial" w:eastAsia="Arial" w:hAnsi="Arial"/>
          <w:sz w:val="14"/>
          <w:szCs w:val="14"/>
          <w:color w:val="auto"/>
        </w:rPr>
        <w:t>Automated dialing systems, tracking debtors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294" w:hanging="294"/>
        <w:spacing w:after="0"/>
        <w:tabs>
          <w:tab w:leader="none" w:pos="294"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Document Management</w:t>
      </w:r>
    </w:p>
    <w:p>
      <w:pPr>
        <w:ind w:left="434"/>
        <w:spacing w:after="0"/>
        <w:rPr>
          <w:sz w:val="20"/>
          <w:szCs w:val="20"/>
          <w:color w:val="auto"/>
        </w:rPr>
      </w:pPr>
      <w:r>
        <w:rPr>
          <w:rFonts w:ascii="Arial" w:cs="Arial" w:eastAsia="Arial" w:hAnsi="Arial"/>
          <w:sz w:val="14"/>
          <w:szCs w:val="14"/>
          <w:color w:val="auto"/>
        </w:rPr>
        <w:t>Collection of title policy documents, facsimile and e-mail</w:t>
      </w:r>
    </w:p>
    <w:p>
      <w:pPr>
        <w:spacing w:after="0" w:line="43" w:lineRule="exact"/>
        <w:rPr>
          <w:sz w:val="20"/>
          <w:szCs w:val="20"/>
          <w:color w:val="auto"/>
        </w:rPr>
      </w:pPr>
    </w:p>
    <w:p>
      <w:pPr>
        <w:ind w:left="294" w:hanging="294"/>
        <w:spacing w:after="0"/>
        <w:tabs>
          <w:tab w:leader="none" w:pos="294"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Tax Servicing</w:t>
      </w:r>
    </w:p>
    <w:p>
      <w:pPr>
        <w:ind w:left="434"/>
        <w:spacing w:after="0"/>
        <w:rPr>
          <w:sz w:val="20"/>
          <w:szCs w:val="20"/>
          <w:color w:val="auto"/>
        </w:rPr>
      </w:pPr>
      <w:r>
        <w:rPr>
          <w:rFonts w:ascii="Arial" w:cs="Arial" w:eastAsia="Arial" w:hAnsi="Arial"/>
          <w:sz w:val="14"/>
          <w:szCs w:val="14"/>
          <w:color w:val="auto"/>
        </w:rPr>
        <w:t>Property tax servicing and maintenance, e-mail</w:t>
      </w:r>
    </w:p>
    <w:p>
      <w:pPr>
        <w:spacing w:after="0" w:line="43" w:lineRule="exact"/>
        <w:rPr>
          <w:sz w:val="20"/>
          <w:szCs w:val="20"/>
          <w:color w:val="auto"/>
        </w:rPr>
      </w:pPr>
    </w:p>
    <w:p>
      <w:pPr>
        <w:ind w:left="294" w:hanging="294"/>
        <w:spacing w:after="0"/>
        <w:tabs>
          <w:tab w:leader="none" w:pos="294"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Rate Modification</w:t>
      </w:r>
    </w:p>
    <w:p>
      <w:pPr>
        <w:ind w:left="434"/>
        <w:spacing w:after="0"/>
        <w:rPr>
          <w:sz w:val="20"/>
          <w:szCs w:val="20"/>
          <w:color w:val="auto"/>
        </w:rPr>
      </w:pPr>
      <w:r>
        <w:rPr>
          <w:rFonts w:ascii="Arial" w:cs="Arial" w:eastAsia="Arial" w:hAnsi="Arial"/>
          <w:sz w:val="14"/>
          <w:szCs w:val="14"/>
          <w:color w:val="auto"/>
        </w:rPr>
        <w:t>Telemarketing campaigns, customer retention</w:t>
      </w:r>
    </w:p>
    <w:p>
      <w:pPr>
        <w:spacing w:after="0" w:line="43" w:lineRule="exact"/>
        <w:rPr>
          <w:sz w:val="20"/>
          <w:szCs w:val="20"/>
          <w:color w:val="auto"/>
        </w:rPr>
      </w:pPr>
    </w:p>
    <w:p>
      <w:pPr>
        <w:ind w:left="294" w:hanging="294"/>
        <w:spacing w:after="0"/>
        <w:tabs>
          <w:tab w:leader="none" w:pos="294"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Broker Due Diligence</w:t>
      </w:r>
    </w:p>
    <w:p>
      <w:pPr>
        <w:ind w:left="434" w:right="20"/>
        <w:spacing w:after="0" w:line="230" w:lineRule="auto"/>
        <w:rPr>
          <w:sz w:val="20"/>
          <w:szCs w:val="20"/>
          <w:color w:val="auto"/>
        </w:rPr>
      </w:pPr>
      <w:r>
        <w:rPr>
          <w:rFonts w:ascii="Arial" w:cs="Arial" w:eastAsia="Arial" w:hAnsi="Arial"/>
          <w:sz w:val="14"/>
          <w:szCs w:val="14"/>
          <w:color w:val="auto"/>
        </w:rPr>
        <w:t>Research on eligibility of new brokers, license status, verification of existing brokers via web research</w:t>
      </w:r>
    </w:p>
    <w:p>
      <w:pPr>
        <w:spacing w:after="0" w:line="44" w:lineRule="exact"/>
        <w:rPr>
          <w:sz w:val="20"/>
          <w:szCs w:val="20"/>
          <w:color w:val="auto"/>
        </w:rPr>
      </w:pPr>
    </w:p>
    <w:p>
      <w:pPr>
        <w:ind w:left="294" w:hanging="294"/>
        <w:spacing w:after="0"/>
        <w:tabs>
          <w:tab w:leader="none" w:pos="294" w:val="left"/>
        </w:tabs>
        <w:numPr>
          <w:ilvl w:val="0"/>
          <w:numId w:val="36"/>
        </w:numPr>
        <w:rPr>
          <w:rFonts w:ascii="Arial" w:cs="Arial" w:eastAsia="Arial" w:hAnsi="Arial"/>
          <w:sz w:val="14"/>
          <w:szCs w:val="14"/>
          <w:color w:val="auto"/>
        </w:rPr>
      </w:pPr>
      <w:r>
        <w:rPr>
          <w:rFonts w:ascii="Arial" w:cs="Arial" w:eastAsia="Arial" w:hAnsi="Arial"/>
          <w:sz w:val="14"/>
          <w:szCs w:val="14"/>
          <w:i w:val="1"/>
          <w:iCs w:val="1"/>
          <w:color w:val="auto"/>
        </w:rPr>
        <w:t>Customer Service and Loan Verification</w:t>
      </w:r>
    </w:p>
    <w:p>
      <w:pPr>
        <w:spacing w:after="0" w:line="233" w:lineRule="exact"/>
        <w:rPr>
          <w:sz w:val="20"/>
          <w:szCs w:val="20"/>
          <w:color w:val="auto"/>
        </w:rPr>
      </w:pPr>
    </w:p>
    <w:p>
      <w:pPr>
        <w:sectPr>
          <w:pgSz w:w="11900" w:h="16838" w:orient="portrait"/>
          <w:cols w:equalWidth="0" w:num="2">
            <w:col w:w="5580" w:space="586"/>
            <w:col w:w="5234"/>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Selected services that we helped provide include:</w:t>
      </w:r>
    </w:p>
    <w:p>
      <w:pPr>
        <w:spacing w:after="0" w:line="77" w:lineRule="exact"/>
        <w:rPr>
          <w:sz w:val="20"/>
          <w:szCs w:val="20"/>
          <w:color w:val="auto"/>
        </w:rPr>
      </w:pPr>
    </w:p>
    <w:p>
      <w:pPr>
        <w:ind w:left="780" w:right="6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introducing a substantial degree of automation to improve certain key processes (such as call list queuing, transaction documentation, tracking debtors with our proprietary skip-tracing tool, web research and performance tracking),</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re-engineering key processes before migrating them to our sites in India,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formulating and standardizing desktop procedures for various banking functions.</w:t>
      </w:r>
    </w:p>
    <w:p>
      <w:pPr>
        <w:spacing w:after="0" w:line="1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Growth in Relationship: </w:t>
      </w:r>
      <w:r>
        <w:rPr>
          <w:rFonts w:ascii="Arial" w:cs="Arial" w:eastAsia="Arial" w:hAnsi="Arial"/>
          <w:sz w:val="18"/>
          <w:szCs w:val="18"/>
          <w:color w:val="auto"/>
        </w:rPr>
        <w:t>Since we first began providing services to this client in 2001, we have demonstrated our ability to provide a wide range of end-to-end solutions for processes of increasing complexity. Our relationship with this client has grown from one process to include more than twelve different processes being serviced by nearly 200 employees. The processes we manage for this client include mortgage origination, mortgage loan collections and mortgage servicing, each of which has been outsourced to us under contracts with initial terms of three years. Over 60% of our employees who work for this client are deployed on complex transaction processing activities.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Insurance Company</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Client: </w:t>
      </w:r>
      <w:r>
        <w:rPr>
          <w:rFonts w:ascii="Arial" w:cs="Arial" w:eastAsia="Arial" w:hAnsi="Arial"/>
          <w:sz w:val="18"/>
          <w:szCs w:val="18"/>
          <w:color w:val="auto"/>
        </w:rPr>
        <w:t>One of the largest insurance companies in the world and a leading insurer in the U.K. market. This client sought an alternative to its captive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center. Our mandate included re-engineering their processes in their automotive, household and life insurance operations to improve efficiency and productivity.</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Our Approach: </w:t>
      </w:r>
      <w:r>
        <w:rPr>
          <w:rFonts w:ascii="Arial" w:cs="Arial" w:eastAsia="Arial" w:hAnsi="Arial"/>
          <w:sz w:val="18"/>
          <w:szCs w:val="18"/>
          <w:color w:val="auto"/>
        </w:rPr>
        <w:t>We initially invested in training designed to familiarize our new staff with U.K. culture and the basics of general insurance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market operations in the United Kingdom and obtaining the proper certifications in order to meet industry regulatory requirements. We customized our recruitment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29"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sz w:val="20"/>
          <w:szCs w:val="20"/>
          <w:color w:val="auto"/>
        </w:rPr>
        <w:tab/>
      </w:r>
      <w:r>
        <w:rPr>
          <w:rFonts w:ascii="Arial" w:cs="Arial" w:eastAsia="Arial" w:hAnsi="Arial"/>
          <w:sz w:val="15"/>
          <w:szCs w:val="15"/>
          <w:color w:val="auto"/>
        </w:rPr>
        <w:t>We provide a range of insurance BPO services to this client: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5340" w:type="dxa"/>
            <w:vAlign w:val="bottom"/>
          </w:tcPr>
          <w:p>
            <w:pPr>
              <w:ind w:left="1820"/>
              <w:spacing w:after="0"/>
              <w:rPr>
                <w:sz w:val="20"/>
                <w:szCs w:val="20"/>
                <w:color w:val="auto"/>
              </w:rPr>
            </w:pPr>
            <w:r>
              <w:rPr>
                <w:rFonts w:ascii="Arial" w:cs="Arial" w:eastAsia="Arial" w:hAnsi="Arial"/>
                <w:sz w:val="14"/>
                <w:szCs w:val="14"/>
                <w:b w:val="1"/>
                <w:bCs w:val="1"/>
                <w:color w:val="auto"/>
              </w:rPr>
              <w:t>New Business Processing</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80" w:type="dxa"/>
            <w:vAlign w:val="bottom"/>
          </w:tcPr>
          <w:p>
            <w:pPr>
              <w:ind w:left="1400"/>
              <w:spacing w:after="0"/>
              <w:rPr>
                <w:sz w:val="20"/>
                <w:szCs w:val="20"/>
                <w:color w:val="auto"/>
              </w:rPr>
            </w:pPr>
            <w:r>
              <w:rPr>
                <w:rFonts w:ascii="Arial" w:cs="Arial" w:eastAsia="Arial" w:hAnsi="Arial"/>
                <w:sz w:val="14"/>
                <w:szCs w:val="14"/>
                <w:b w:val="1"/>
                <w:bCs w:val="1"/>
                <w:color w:val="auto"/>
              </w:rPr>
              <w:t>Administration of Current Policies</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6"/>
              </w:rPr>
              <w:t>Sales, conversion, quote acceptance, cross-selling, establishing new policies, policy upgrades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0"/>
              </w:rPr>
              <w:t>Customer service, address changes, servicing policy requests, mid-term adjustments,</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Household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Household</w:t>
            </w:r>
          </w:p>
        </w:tc>
        <w:tc>
          <w:tcPr>
            <w:tcW w:w="0" w:type="dxa"/>
            <w:vAlign w:val="bottom"/>
          </w:tcPr>
          <w:p>
            <w:pPr>
              <w:spacing w:after="0"/>
              <w:rPr>
                <w:sz w:val="1"/>
                <w:szCs w:val="1"/>
                <w:color w:val="auto"/>
              </w:rPr>
            </w:pPr>
          </w:p>
        </w:tc>
      </w:tr>
      <w:tr>
        <w:trPr>
          <w:trHeight w:val="172"/>
        </w:trPr>
        <w:tc>
          <w:tcPr>
            <w:tcW w:w="2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34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Commercial Insurance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 conversion</w:t>
            </w:r>
          </w:p>
        </w:tc>
        <w:tc>
          <w:tcPr>
            <w:tcW w:w="0" w:type="dxa"/>
            <w:vAlign w:val="bottom"/>
          </w:tcPr>
          <w:p>
            <w:pPr>
              <w:spacing w:after="0"/>
              <w:rPr>
                <w:sz w:val="1"/>
                <w:szCs w:val="1"/>
                <w:color w:val="auto"/>
              </w:rPr>
            </w:pPr>
          </w:p>
        </w:tc>
      </w:tr>
      <w:tr>
        <w:trPr>
          <w:trHeight w:val="44"/>
        </w:trPr>
        <w:tc>
          <w:tcPr>
            <w:tcW w:w="280" w:type="dxa"/>
            <w:vAlign w:val="bottom"/>
            <w:vMerge w:val="continue"/>
          </w:tcPr>
          <w:p>
            <w:pPr>
              <w:spacing w:after="0"/>
              <w:rPr>
                <w:sz w:val="3"/>
                <w:szCs w:val="3"/>
                <w:color w:val="auto"/>
              </w:rPr>
            </w:pPr>
          </w:p>
        </w:tc>
        <w:tc>
          <w:tcPr>
            <w:tcW w:w="534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rPr>
              <w:t>Establishing new policies</w:t>
            </w:r>
          </w:p>
        </w:tc>
        <w:tc>
          <w:tcPr>
            <w:tcW w:w="440" w:type="dxa"/>
            <w:vAlign w:val="bottom"/>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08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Commercial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rPr>
              <w:t>Mid-term adjustments, policy lapses and renewals</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Life Insurance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Arial" w:cs="Arial" w:eastAsia="Arial" w:hAnsi="Arial"/>
                <w:sz w:val="14"/>
                <w:szCs w:val="14"/>
                <w:color w:val="auto"/>
                <w:w w:val="94"/>
              </w:rPr>
              <w:t>Maturities, direct debit instructions, indexing, change of address, customer service</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5340" w:type="dxa"/>
            <w:vAlign w:val="bottom"/>
          </w:tcPr>
          <w:p>
            <w:pPr>
              <w:ind w:left="2000"/>
              <w:spacing w:after="0"/>
              <w:rPr>
                <w:sz w:val="20"/>
                <w:szCs w:val="20"/>
                <w:color w:val="auto"/>
              </w:rPr>
            </w:pPr>
            <w:r>
              <w:rPr>
                <w:rFonts w:ascii="Arial" w:cs="Arial" w:eastAsia="Arial" w:hAnsi="Arial"/>
                <w:sz w:val="14"/>
                <w:szCs w:val="14"/>
                <w:b w:val="1"/>
                <w:bCs w:val="1"/>
                <w:color w:val="auto"/>
              </w:rPr>
              <w:t>Claims Processing</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80" w:type="dxa"/>
            <w:vAlign w:val="bottom"/>
          </w:tcPr>
          <w:p>
            <w:pPr>
              <w:ind w:left="2060"/>
              <w:spacing w:after="0"/>
              <w:rPr>
                <w:sz w:val="20"/>
                <w:szCs w:val="20"/>
                <w:color w:val="auto"/>
              </w:rPr>
            </w:pPr>
            <w:r>
              <w:rPr>
                <w:rFonts w:ascii="Arial" w:cs="Arial" w:eastAsia="Arial" w:hAnsi="Arial"/>
                <w:sz w:val="14"/>
                <w:szCs w:val="14"/>
                <w:b w:val="1"/>
                <w:bCs w:val="1"/>
                <w:color w:val="auto"/>
              </w:rPr>
              <w:t>Accounting</w:t>
            </w:r>
          </w:p>
        </w:tc>
        <w:tc>
          <w:tcPr>
            <w:tcW w:w="0" w:type="dxa"/>
            <w:vAlign w:val="bottom"/>
          </w:tcPr>
          <w:p>
            <w:pPr>
              <w:spacing w:after="0"/>
              <w:rPr>
                <w:sz w:val="1"/>
                <w:szCs w:val="1"/>
                <w:color w:val="auto"/>
              </w:rPr>
            </w:pPr>
          </w:p>
        </w:tc>
      </w:tr>
      <w:tr>
        <w:trPr>
          <w:trHeight w:val="95"/>
        </w:trPr>
        <w:tc>
          <w:tcPr>
            <w:tcW w:w="2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80" w:type="dxa"/>
            <w:vAlign w:val="bottom"/>
          </w:tcPr>
          <w:p>
            <w:pPr>
              <w:ind w:left="120"/>
              <w:spacing w:after="0"/>
              <w:rPr>
                <w:sz w:val="20"/>
                <w:szCs w:val="20"/>
                <w:color w:val="auto"/>
              </w:rPr>
            </w:pPr>
            <w:r>
              <w:rPr>
                <w:rFonts w:ascii="Arial" w:cs="Arial" w:eastAsia="Arial" w:hAnsi="Arial"/>
                <w:sz w:val="14"/>
                <w:szCs w:val="14"/>
                <w:color w:val="auto"/>
              </w:rPr>
              <w:t>•</w:t>
            </w:r>
          </w:p>
        </w:tc>
        <w:tc>
          <w:tcPr>
            <w:tcW w:w="5340" w:type="dxa"/>
            <w:vAlign w:val="bottom"/>
          </w:tcPr>
          <w:p>
            <w:pPr>
              <w:ind w:left="120"/>
              <w:spacing w:after="0"/>
              <w:rPr>
                <w:sz w:val="20"/>
                <w:szCs w:val="20"/>
                <w:color w:val="auto"/>
              </w:rPr>
            </w:pPr>
            <w:r>
              <w:rPr>
                <w:rFonts w:ascii="Arial" w:cs="Arial" w:eastAsia="Arial" w:hAnsi="Arial"/>
                <w:sz w:val="14"/>
                <w:szCs w:val="14"/>
                <w:i w:val="1"/>
                <w:iCs w:val="1"/>
                <w:color w:val="auto"/>
              </w:rPr>
              <w:t>Motor</w:t>
            </w:r>
          </w:p>
        </w:tc>
        <w:tc>
          <w:tcPr>
            <w:tcW w:w="44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5080" w:type="dxa"/>
            <w:vAlign w:val="bottom"/>
          </w:tcPr>
          <w:p>
            <w:pPr>
              <w:ind w:left="120"/>
              <w:spacing w:after="0"/>
              <w:rPr>
                <w:sz w:val="20"/>
                <w:szCs w:val="20"/>
                <w:color w:val="auto"/>
              </w:rPr>
            </w:pPr>
            <w:r>
              <w:rPr>
                <w:rFonts w:ascii="Arial" w:cs="Arial" w:eastAsia="Arial" w:hAnsi="Arial"/>
                <w:sz w:val="14"/>
                <w:szCs w:val="14"/>
                <w:i w:val="1"/>
                <w:iCs w:val="1"/>
                <w:color w:val="auto"/>
              </w:rPr>
              <w:t>Customer Accounts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7"/>
              </w:rPr>
              <w:t>Customer service, claims progress and finalization (including total loss and third party cases),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Direct debit instructions, set up changes and new account processing, cancellations,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340" w:type="dxa"/>
            <w:vAlign w:val="bottom"/>
          </w:tcPr>
          <w:p>
            <w:pPr>
              <w:ind w:left="260"/>
              <w:spacing w:after="0" w:line="149" w:lineRule="exact"/>
              <w:rPr>
                <w:sz w:val="20"/>
                <w:szCs w:val="20"/>
                <w:color w:val="auto"/>
              </w:rPr>
            </w:pPr>
            <w:r>
              <w:rPr>
                <w:rFonts w:ascii="Arial" w:cs="Arial" w:eastAsia="Arial" w:hAnsi="Arial"/>
                <w:sz w:val="14"/>
                <w:szCs w:val="14"/>
                <w:color w:val="auto"/>
                <w:w w:val="88"/>
              </w:rPr>
              <w:t>scheduling on-site engineers’ inspection visits, claim payments, routing claims to appropriate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80" w:type="dxa"/>
            <w:vAlign w:val="bottom"/>
          </w:tcPr>
          <w:p>
            <w:pPr>
              <w:ind w:left="260"/>
              <w:spacing w:after="0" w:line="149" w:lineRule="exact"/>
              <w:rPr>
                <w:sz w:val="20"/>
                <w:szCs w:val="20"/>
                <w:color w:val="auto"/>
              </w:rPr>
            </w:pPr>
            <w:r>
              <w:rPr>
                <w:rFonts w:ascii="Arial" w:cs="Arial" w:eastAsia="Arial" w:hAnsi="Arial"/>
                <w:sz w:val="14"/>
                <w:szCs w:val="14"/>
                <w:color w:val="auto"/>
                <w:w w:val="91"/>
              </w:rPr>
              <w:t>reconciliation of accounts, correspondence with brokers, underwriters and customers</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5340" w:type="dxa"/>
            <w:vAlign w:val="bottom"/>
          </w:tcPr>
          <w:p>
            <w:pPr>
              <w:ind w:left="260"/>
              <w:spacing w:after="0"/>
              <w:rPr>
                <w:sz w:val="20"/>
                <w:szCs w:val="20"/>
                <w:color w:val="auto"/>
              </w:rPr>
            </w:pPr>
            <w:r>
              <w:rPr>
                <w:rFonts w:ascii="Arial" w:cs="Arial" w:eastAsia="Arial" w:hAnsi="Arial"/>
                <w:sz w:val="14"/>
                <w:szCs w:val="14"/>
                <w:color w:val="auto"/>
              </w:rPr>
              <w:t>department</w:t>
            </w:r>
          </w:p>
        </w:tc>
        <w:tc>
          <w:tcPr>
            <w:tcW w:w="440" w:type="dxa"/>
            <w:vAlign w:val="bottom"/>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508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Collections</w:t>
            </w: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400" w:hanging="284"/>
        <w:spacing w:after="0" w:line="221" w:lineRule="auto"/>
        <w:tabs>
          <w:tab w:leader="none" w:pos="40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status checks,</w:t>
      </w:r>
    </w:p>
    <w:p>
      <w:pPr>
        <w:ind w:left="540"/>
        <w:spacing w:after="0"/>
        <w:rPr>
          <w:sz w:val="20"/>
          <w:szCs w:val="20"/>
          <w:color w:val="auto"/>
        </w:rPr>
      </w:pPr>
      <w:r>
        <w:rPr>
          <w:rFonts w:ascii="Arial" w:cs="Arial" w:eastAsia="Arial" w:hAnsi="Arial"/>
          <w:sz w:val="14"/>
          <w:szCs w:val="14"/>
          <w:color w:val="auto"/>
        </w:rPr>
        <w:t>customer service, routing claims to appropriate department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services that we helped provide include the following:</w:t>
      </w:r>
    </w:p>
    <w:p>
      <w:pPr>
        <w:spacing w:after="0" w:line="77" w:lineRule="exact"/>
        <w:rPr>
          <w:sz w:val="20"/>
          <w:szCs w:val="20"/>
          <w:color w:val="auto"/>
        </w:rPr>
      </w:pPr>
    </w:p>
    <w:p>
      <w:pPr>
        <w:ind w:left="780" w:right="180" w:hanging="326"/>
        <w:spacing w:after="0" w:line="325"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designing and currently undertaking processes for accounting, reconciliation, collections and overall administration for insurance customer accounts, and providing insurance claims progress, initiation, and finalization for automobile and household related claims,</w:t>
      </w:r>
    </w:p>
    <w:p>
      <w:pPr>
        <w:spacing w:after="0" w:line="1" w:lineRule="exact"/>
        <w:rPr>
          <w:rFonts w:ascii="Arial" w:cs="Arial" w:eastAsia="Arial" w:hAnsi="Arial"/>
          <w:sz w:val="16"/>
          <w:szCs w:val="16"/>
          <w:color w:val="auto"/>
        </w:rPr>
      </w:pPr>
    </w:p>
    <w:p>
      <w:pPr>
        <w:ind w:left="780" w:right="6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deploying a dialer-based solution that improved the answer rate during peak hours while maintaining a constant number of full-time employee equivalents,</w:t>
      </w:r>
    </w:p>
    <w:p>
      <w:pPr>
        <w:spacing w:after="0" w:line="37"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adding services on weekends and developed processes to reduce turnaround and handle times and improve sales conversion percentages, resulting in improved productivity,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fixing the backlog of outstanding actions required for claim settlement,</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 tool for evaluating customer experience that enabled us to understand process performance and customer issues on an ongoing basis rather than depending on periodic surveys,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improving customer experience and sales conversion rates using Six Sigma methodologies.</w:t>
      </w:r>
    </w:p>
    <w:p>
      <w:pPr>
        <w:spacing w:after="0" w:line="18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Growth in Relationship: </w:t>
      </w:r>
      <w:r>
        <w:rPr>
          <w:rFonts w:ascii="Arial" w:cs="Arial" w:eastAsia="Arial" w:hAnsi="Arial"/>
          <w:sz w:val="16"/>
          <w:szCs w:val="16"/>
          <w:color w:val="auto"/>
        </w:rPr>
        <w:t>We have developed what we consider to be strong and deep customer relationships with this client. We entered into our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outsourcing contract with this client for automotive and household insurance services in March 2003. We have currently deployed over 1,800 employees at two locations in India who are engaged in 27 processes pertaining to this contract (up from about 270 employees engaged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one process deployed in March 2003). In January 2004, we entered into a second outsourcing contract from this client for life insurance services. These contracts had initial terms of three and five years,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City and London, England, and our business development team, which operates out of Noida, India.</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solutions, prepares responses to requests for proposals, hosts client visits to our facilities and coordinates due diligence investigations into client processes. We currently have seven sales and marketing professionals, all of whom are based in the United States. Each member of our sales and marketing team has significant experience in offshore outsourcing and has expertise in identifying outsourcing opportunities and process migration in the BFSI segment. Our business development team consists of 10 professionals. We intend to expand our sales and marketing team in the U.S. to at least eight persons and in the U.K. to at least one person by the end of the second quarter of 2005.</w:t>
      </w:r>
    </w:p>
    <w:p>
      <w:pPr>
        <w:spacing w:after="0" w:line="10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solutions,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have a total of 18 clients. Our largest clients are Norwich Union and Dell (including Dell Financial Services), which together accounted for approximately 76.5% of our total revenues in 2004. Other BPO clients include Prudential Financial Inc., IndyMac Bank FSB, Conseco, one of the three largest U.S. insurance companies and one of the three largest U.S. banks. Our advisory clients include Allianz, Sunterra Resorts, Keogh, Stanley Toole and United Technologies. While we are developing relationships with new clients and expect to continue to diversify our client base, we believe that the loss of either of our two largest clients could have a material adverse effect on our financial condition. See “Risk Factors—Risks Related to Our Business—We have a limited number of clients and provide services to few industries.”</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long-term relationships with our clients typically evolve from providing a single, discrete process into providing a series of complex, integrated processes across multiple business lines. We enter into long-term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agreements with our clients of typically between three and seven years. A substantial majority of our agreements with our BFSI clients have terms of over three years. Each agreement is individually negotiated with the client. We have two separate contracts with our largest client, Norwich Union, which together represented $31.7 million, or 52.4% of our revenues, in 2004. These contracts cannot be terminated without cause or penalty for their initial terms of three and five years, respectively. After the initial term expires, these contracts can be terminated without cause or penalty by Norwich Union upon six months notice. Our contract with our second largest client, Dell (including Dell Financial Services) represented 24.1% of our revenues in 2004, and expires on November 1, 2005, but includes automatic renewal rights for one year. This contract can be terminated by Dell at any time, without cause or penalty, upon 30 days notice. Contracts representing approximately 12.0% of our revenues from our other clients in 2004 will expire within one year. See “Risk Factors—Risks Related to Our Business —Our client contracts contain certain termination and other provisions that could have an adverse effect on our business and results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February 2007 and continuing through February 2011 to pay us an amount that will approximate the net asset value of our Pune facilities on the date of transfer plus the aggregate amount of certain foregone profits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Competition in the BPO services industry is intense and growing. See “Risk Factors—Risks Related to Our Business—We face significant competition from a variety of sources.”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technical support,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compete against the BPO divisions of large IT service companies and against global BPO services companies located in the United States, such as Accenture, ACS and IBM, and in the United Kingdom, such as Capita, Liberata and Xchanging. Many of these companies provide a wide array of products and services including broad-based IT, software, consulting and outsourcing services. Although many of these companies have established, or are establishing, offshore operations, they generally have a large base of higher-cost domestic operations. We also compete against the BPO divisions of numerous IT service companies located in India such as HCL Technologies, Infosys, Mphasis, Satyam, Tata Consultancy Services and Wipro Technologies. Many of these companies provide broad-based IT, software, consulting and outsourcing services. In addition, there are numerous BPO service companies based in offshore locations such as India, such as ICICI Onesource and WNS Global Services.</w:t>
      </w:r>
    </w:p>
    <w:p>
      <w:pPr>
        <w:spacing w:after="0" w:line="10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pure BPO service provider with deep industry expertise in the BFSI segment, which enables us to respond rapidly to market trends and the evolving needs of our clients in this segment, and a lower cost base than global BPO services companies. See “—Business Strategy—Extending Our Industry Expertise.”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solutions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In addition to our EXL logo, we have four unregistered trademarks: MOST, ECS, ProMPT and SOFT. We have developed MOST, an opportunity identification and migration methodology for processes, which we have used in connection with a substantial majority of our process migrations. Our proprietary software includes collections software called ECS, our web-enabled ProMPT system and our SOFT system. ProMPT assists our managers in process management and 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 well-developed international telecommunications capacity. We have fiber connectivity from India to the United States and the United Kingdom. Our networking and telecommunications hubs are situated in Sunnyvale, California, and New York.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MCI, Telstra and Cable &amp; Wireless internationally; Qwest Communications, Broadwing, AT&amp;T, PacBell, MCI and Sprint in the United States; and VSNL, Bharti and Tata Indicom in India. Currently, we have a combined international bandwidth of 22 megabits-per-second (“Mbps”) in the United States and 30 Mbps in the United Kingdom, which we believe is adequate for our business. We have implemented closed user group connectivity across all processing centers and technology hubs which should allow seamless transition from one center to the other in case of an outage. The robustness of our telecommunications network has allowed us to achieve an average network availability of 99.9% for day-to-day operations.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37" w:lineRule="exact"/>
        <w:rPr>
          <w:sz w:val="20"/>
          <w:szCs w:val="20"/>
          <w:color w:val="auto"/>
        </w:rPr>
      </w:pPr>
    </w:p>
    <w:p>
      <w:pPr>
        <w:ind w:left="780" w:right="4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information security policy complies with International Standards (BS 7799/ISO 17799) and covers critical requirements of the U.S. Federal Deposit Insurance Corporation (“FDIC”) Safe Harbor Provisions and the Gramm-Leach-Bliley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specific provisions for complying with the Health Insurance Portability and Accountability Act, the EU Privacy Directive and other client-specific needs,</w:t>
      </w:r>
    </w:p>
    <w:p>
      <w:pPr>
        <w:spacing w:after="0" w:line="37"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 audits of both our information systems policy and implemented controls.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solution.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2004, we had 5,198 full-time employees, substantially all of whom are based in India. We have 12 employees at our corporate headquarters in New York, and six sales and marketing employees in the United States. Our employees are not unionized. We have never experienced any work stoppages and believe that our employee relations are good.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have developed effective strategies and a strong track record in recruiting. We have 36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high-quality employees who demonstrate a high propensity for learning, contribution to client services and growth. Candidates must undergo numerous tests and interviews before we extend offers for employment. We also conduct extensive background checks on candidates, including criminal background checks. Our recruitment process meets COPC compliance standards. In 2004, we received approximately 55,000 applications for employment and hired approximately 5,329 new professionals. We also have an employee referral program that provides us with a cost effective way of accessing qualified potential employees.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In 2004, our turnover rate for employees who had been with us for more than our six month probationary period was 27.0% for our back-office BPO operations and 69.9% for our non-back-office BPO operations.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dedicate significant resources to the training and development of our professionals. We have approximately 75 full-time certified trainers currently capable of training over 400 employees every month. Our training process adheres to COPC standards.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99"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process’s unique requirements, and use SOFT to forecast work volume, schedule resources and management and analyze workforce management.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corporate headquarters are located in New York City. We operate four operations centers in India with a current installed capacity of approximately 3,600 workstations that operate on an uninterrupted 24/7 basis and are staffed on a three-shift basis. Our networking and telecom hubs are located in Sunnyvale, California and in New York City. We lease all of our properties, and each of our leases is renewable at our option. The following table describes each of our material properties and lease expiration dates as of December 31, 2004.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4"/>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Facility</w:t>
            </w:r>
          </w:p>
        </w:tc>
        <w:tc>
          <w:tcPr>
            <w:tcW w:w="1480" w:type="dxa"/>
            <w:vAlign w:val="bottom"/>
          </w:tcPr>
          <w:p>
            <w:pPr>
              <w:ind w:left="50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5"/>
                <w:szCs w:val="15"/>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Workstations</w:t>
            </w:r>
          </w:p>
        </w:tc>
        <w:tc>
          <w:tcPr>
            <w:tcW w:w="120" w:type="dxa"/>
            <w:vAlign w:val="bottom"/>
          </w:tcPr>
          <w:p>
            <w:pPr>
              <w:spacing w:after="0"/>
              <w:rPr>
                <w:sz w:val="15"/>
                <w:szCs w:val="15"/>
                <w:color w:val="auto"/>
              </w:rPr>
            </w:pPr>
          </w:p>
        </w:tc>
        <w:tc>
          <w:tcPr>
            <w:tcW w:w="1820" w:type="dxa"/>
            <w:vAlign w:val="bottom"/>
          </w:tcPr>
          <w:p>
            <w:pPr>
              <w:ind w:left="420"/>
              <w:spacing w:after="0"/>
              <w:rPr>
                <w:sz w:val="20"/>
                <w:szCs w:val="20"/>
                <w:color w:val="auto"/>
              </w:rPr>
            </w:pPr>
            <w:r>
              <w:rPr>
                <w:rFonts w:ascii="Arial" w:cs="Arial" w:eastAsia="Arial" w:hAnsi="Arial"/>
                <w:sz w:val="14"/>
                <w:szCs w:val="14"/>
                <w:b w:val="1"/>
                <w:bCs w:val="1"/>
                <w:color w:val="auto"/>
              </w:rPr>
              <w:t>Lease Expiration</w:t>
            </w:r>
          </w:p>
        </w:tc>
      </w:tr>
      <w:tr>
        <w:trPr>
          <w:trHeight w:val="95"/>
        </w:trPr>
        <w:tc>
          <w:tcPr>
            <w:tcW w:w="50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309"/>
        </w:trPr>
        <w:tc>
          <w:tcPr>
            <w:tcW w:w="5380" w:type="dxa"/>
            <w:vAlign w:val="bottom"/>
            <w:gridSpan w:val="2"/>
          </w:tcPr>
          <w:p>
            <w:pPr>
              <w:spacing w:after="0"/>
              <w:rPr>
                <w:sz w:val="20"/>
                <w:szCs w:val="20"/>
                <w:color w:val="auto"/>
              </w:rPr>
            </w:pPr>
            <w:r>
              <w:rPr>
                <w:rFonts w:ascii="Arial" w:cs="Arial" w:eastAsia="Arial" w:hAnsi="Arial"/>
                <w:sz w:val="18"/>
                <w:szCs w:val="18"/>
                <w:color w:val="auto"/>
              </w:rPr>
              <w:t>Corporate Headquarters</w:t>
            </w:r>
          </w:p>
        </w:tc>
        <w:tc>
          <w:tcPr>
            <w:tcW w:w="1480" w:type="dxa"/>
            <w:vAlign w:val="bottom"/>
          </w:tcPr>
          <w:p>
            <w:pPr>
              <w:spacing w:after="0"/>
              <w:rPr>
                <w:sz w:val="20"/>
                <w:szCs w:val="20"/>
                <w:color w:val="auto"/>
              </w:rPr>
            </w:pPr>
            <w:r>
              <w:rPr>
                <w:rFonts w:ascii="Arial" w:cs="Arial" w:eastAsia="Arial" w:hAnsi="Arial"/>
                <w:sz w:val="18"/>
                <w:szCs w:val="18"/>
                <w:color w:val="auto"/>
              </w:rPr>
              <w:t>New York City</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8,940 sq. ft.</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30, 2009</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586</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March 14, 2005</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II</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387</w:t>
            </w:r>
          </w:p>
        </w:tc>
        <w:tc>
          <w:tcPr>
            <w:tcW w:w="1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May 17, 2008</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III (including corporate offices)</w:t>
            </w:r>
          </w:p>
        </w:tc>
        <w:tc>
          <w:tcPr>
            <w:tcW w:w="1480" w:type="dxa"/>
            <w:vAlign w:val="bottom"/>
          </w:tcPr>
          <w:p>
            <w:pPr>
              <w:spacing w:after="0"/>
              <w:rPr>
                <w:sz w:val="20"/>
                <w:szCs w:val="20"/>
                <w:color w:val="auto"/>
              </w:rPr>
            </w:pPr>
            <w:r>
              <w:rPr>
                <w:rFonts w:ascii="Arial" w:cs="Arial" w:eastAsia="Arial" w:hAnsi="Arial"/>
                <w:sz w:val="18"/>
                <w:szCs w:val="18"/>
                <w:color w:val="auto"/>
              </w:rPr>
              <w:t>Noida, India</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68,800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582</w:t>
            </w:r>
          </w:p>
        </w:tc>
        <w:tc>
          <w:tcPr>
            <w:tcW w:w="12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May 7, 2006</w:t>
            </w: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IV-A</w:t>
            </w:r>
          </w:p>
        </w:tc>
        <w:tc>
          <w:tcPr>
            <w:tcW w:w="1480" w:type="dxa"/>
            <w:vAlign w:val="bottom"/>
          </w:tcPr>
          <w:p>
            <w:pPr>
              <w:spacing w:after="0"/>
              <w:rPr>
                <w:sz w:val="20"/>
                <w:szCs w:val="20"/>
                <w:color w:val="auto"/>
              </w:rPr>
            </w:pPr>
            <w:r>
              <w:rPr>
                <w:rFonts w:ascii="Arial" w:cs="Arial" w:eastAsia="Arial" w:hAnsi="Arial"/>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42,559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409</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7"/>
              </w:rPr>
              <w:t>July 31, 2013 February</w:t>
            </w:r>
          </w:p>
        </w:tc>
      </w:tr>
      <w:tr>
        <w:trPr>
          <w:trHeight w:val="236"/>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590</w:t>
            </w:r>
          </w:p>
        </w:tc>
        <w:tc>
          <w:tcPr>
            <w:tcW w:w="1940" w:type="dxa"/>
            <w:vAlign w:val="bottom"/>
            <w:gridSpan w:val="2"/>
          </w:tcPr>
          <w:p>
            <w:pPr>
              <w:ind w:left="120"/>
              <w:spacing w:after="0"/>
              <w:rPr>
                <w:sz w:val="20"/>
                <w:szCs w:val="20"/>
                <w:color w:val="auto"/>
              </w:rPr>
            </w:pPr>
            <w:r>
              <w:rPr>
                <w:rFonts w:ascii="Arial" w:cs="Arial" w:eastAsia="Arial" w:hAnsi="Arial"/>
                <w:sz w:val="18"/>
                <w:szCs w:val="18"/>
                <w:color w:val="auto"/>
              </w:rPr>
              <w:t>16, 2014</w:t>
            </w: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Operations Center IV-B (1)</w:t>
            </w:r>
          </w:p>
        </w:tc>
        <w:tc>
          <w:tcPr>
            <w:tcW w:w="1480" w:type="dxa"/>
            <w:vAlign w:val="bottom"/>
          </w:tcPr>
          <w:p>
            <w:pPr>
              <w:spacing w:after="0"/>
              <w:rPr>
                <w:sz w:val="20"/>
                <w:szCs w:val="20"/>
                <w:color w:val="auto"/>
              </w:rPr>
            </w:pPr>
            <w:r>
              <w:rPr>
                <w:rFonts w:ascii="Arial" w:cs="Arial" w:eastAsia="Arial" w:hAnsi="Arial"/>
                <w:sz w:val="18"/>
                <w:szCs w:val="18"/>
                <w:color w:val="auto"/>
              </w:rPr>
              <w:t>Pune, India</w:t>
            </w:r>
          </w:p>
        </w:tc>
        <w:tc>
          <w:tcPr>
            <w:tcW w:w="1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532</w:t>
            </w:r>
          </w:p>
        </w:tc>
        <w:tc>
          <w:tcPr>
            <w:tcW w:w="12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December 2, 2013</w:t>
            </w:r>
          </w:p>
        </w:tc>
      </w:tr>
      <w:tr>
        <w:trPr>
          <w:trHeight w:val="236"/>
        </w:trPr>
        <w:tc>
          <w:tcPr>
            <w:tcW w:w="5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561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January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2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1,092 agent workstations) in our Operations Center IV-B are subject to a purchase option held by our client Norwich Union. This option is exercisable at any time from February 2007 through February 2011. See “Certain Relationships and Related Transactions—Agreements with Norwich Union—Option to Purchase Stock of NCOP.”</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of our operations centers are equipped with fiber and/or satellite connectivity. In addition, all four operations centers have backups to their power supply.</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intend to expand our operations center facilities in Noida and enter into a lease for additional space. We expect that this new center will become operational in the next twelve months. In addition, we are contractually committed to one of our clients to establish and maintain a viable offshore BPO operation outside of India by September 2005, either on our own or through a relationship (such as joint venture, partnership or alliance)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129"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one of the few offshore BPO service providers that can provide TPA insurance services in 44 states of the United States, having been licensed or exempted from, or not subject to, licensing in each of those states, which may help make us an attractive service provider to future clients.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debt collection services are subject to the Fair Debt Collection Practices Act, which regulates debt collection practices and includes licensing requirements.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“per-customer” exemptions with respect to our ongoing collection obligations.</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operations are also subject to compliance with a variety of other laws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solutions we provide. We train our employees regarding the applicable laws and regulations.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March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3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566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7"/>
              </w:rPr>
              <w:t>President and Chief Financial Officer and Director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Strategic Business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89"/>
              </w:rPr>
              <w:t>Vice President, Quality, Process Excellence and Migrations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Rakesh Chopra</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Country Manager India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Advisory Services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Shiv Kumar</w:t>
            </w: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Sales and Marketing Officer of EXL Inc.</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Jagadeesh Menon</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Chief Technology Officer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Vinay Mittal</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Finance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General Counsel and Vice President of EXL Inc.</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Lalit Vij</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0"/>
              </w:rPr>
              <w:t>Vice President and Business Leader Insurance Operations of EXL India</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Steven Gruber</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Chairman of the Board of Directors of the Company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Director of the Company</w:t>
            </w:r>
          </w:p>
        </w:tc>
      </w:tr>
    </w:tbl>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Vikram Talwar </w:t>
      </w:r>
      <w:r>
        <w:rPr>
          <w:rFonts w:ascii="Arial" w:cs="Arial" w:eastAsia="Arial" w:hAnsi="Arial"/>
          <w:sz w:val="18"/>
          <w:szCs w:val="18"/>
          <w:color w:val="auto"/>
        </w:rPr>
        <w:t>co-founded EXL Inc. in April 1999 and has served as our Chief Executive Officer and Vice Chairman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i w:val="1"/>
          <w:iCs w:val="1"/>
          <w:color w:val="auto"/>
        </w:rPr>
        <w:t xml:space="preserve">Rohit Kapoor </w:t>
      </w:r>
      <w:r>
        <w:rPr>
          <w:rFonts w:ascii="Arial" w:cs="Arial" w:eastAsia="Arial" w:hAnsi="Arial"/>
          <w:sz w:val="16"/>
          <w:szCs w:val="16"/>
          <w:color w:val="auto"/>
        </w:rPr>
        <w:t>co-founded EXL Inc. in April 1999 and has served as our President and Chief Financial Officer and director since November 2002 and as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Financial Officer of EXL Inc. since August 2000. Prior to founding EXL Inc., Mr. Kapoor served as the business head of Deutsche Bank from July 1999 to July 2000. From 1991 to 2000, Mr. Kapoor served in various capacities at Bank of America in the United States and Asia, including India.</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Pavan Bagai </w:t>
      </w:r>
      <w:r>
        <w:rPr>
          <w:rFonts w:ascii="Arial" w:cs="Arial" w:eastAsia="Arial" w:hAnsi="Arial"/>
          <w:sz w:val="18"/>
          <w:szCs w:val="18"/>
          <w:color w:val="auto"/>
        </w:rPr>
        <w:t>has served as Vice President, Strategic Business of EXL India since November 2004. He previously served as Vice President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EXL India from December 2003 to October 2004 and as Vice President, Operations from July 2002 to December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Vikas Bhalla </w:t>
      </w:r>
      <w:r>
        <w:rPr>
          <w:rFonts w:ascii="Arial" w:cs="Arial" w:eastAsia="Arial" w:hAnsi="Arial"/>
          <w:sz w:val="18"/>
          <w:szCs w:val="18"/>
          <w:color w:val="auto"/>
        </w:rPr>
        <w:t>has served as Vice President, Quality and Process Excellence of EXL India since April 2002. He served as Director Quality Initiatives of EXL</w:t>
      </w:r>
      <w:r>
        <w:rPr>
          <w:rFonts w:ascii="Arial" w:cs="Arial" w:eastAsia="Arial" w:hAnsi="Arial"/>
          <w:sz w:val="18"/>
          <w:szCs w:val="18"/>
          <w:i w:val="1"/>
          <w:iCs w:val="1"/>
          <w:color w:val="auto"/>
        </w:rPr>
        <w:t xml:space="preserve"> </w:t>
      </w:r>
      <w:r>
        <w:rPr>
          <w:rFonts w:ascii="Arial" w:cs="Arial" w:eastAsia="Arial" w:hAnsi="Arial"/>
          <w:sz w:val="18"/>
          <w:szCs w:val="18"/>
          <w:color w:val="auto"/>
        </w:rPr>
        <w:t>India from May 2001 to April 2002. From May 1998 to May 2001, Mr. Bhalla served in various capacities at GE Plastics India, including as the Quality Leader and E-Business Leader for GE Plastics India.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Rakesh Chopra </w:t>
      </w:r>
      <w:r>
        <w:rPr>
          <w:rFonts w:ascii="Arial" w:cs="Arial" w:eastAsia="Arial" w:hAnsi="Arial"/>
          <w:sz w:val="16"/>
          <w:szCs w:val="16"/>
          <w:color w:val="auto"/>
        </w:rPr>
        <w:t>has served as Country Manager India of EXL India since December 6, 2004. He previously served as Regional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Manager, Global Service Centers—Asia at American Express. Prior to that Mr. Chopra spent 11 years at GE in various general management roles including Chief Financial Officer of GE Plastics, Chief Executive Officer of GE Capital Business Process Management Services Ltd, Chief Financial Officer for GE Capital India and Senior Vice President and Business Leader at GECIS. At EXL India, Rakesh will be responsible for operations and client service delivery.</w:t>
      </w:r>
    </w:p>
    <w:p>
      <w:pPr>
        <w:spacing w:after="0" w:line="99"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Deepak Dhawan </w:t>
      </w:r>
      <w:r>
        <w:rPr>
          <w:rFonts w:ascii="Arial" w:cs="Arial" w:eastAsia="Arial" w:hAnsi="Arial"/>
          <w:sz w:val="16"/>
          <w:szCs w:val="16"/>
          <w:color w:val="auto"/>
        </w:rPr>
        <w:t>has served as Vice President, Human Resources of EXL India since June 2002. Mr. Dhawan served in various capacities at Eicher</w:t>
      </w:r>
      <w:r>
        <w:rPr>
          <w:rFonts w:ascii="Arial" w:cs="Arial" w:eastAsia="Arial" w:hAnsi="Arial"/>
          <w:sz w:val="16"/>
          <w:szCs w:val="16"/>
          <w:i w:val="1"/>
          <w:iCs w:val="1"/>
          <w:color w:val="auto"/>
        </w:rPr>
        <w:t xml:space="preserve"> </w:t>
      </w:r>
      <w:r>
        <w:rPr>
          <w:rFonts w:ascii="Arial" w:cs="Arial" w:eastAsia="Arial" w:hAnsi="Arial"/>
          <w:sz w:val="16"/>
          <w:szCs w:val="16"/>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Narasimha Kini </w:t>
      </w:r>
      <w:r>
        <w:rPr>
          <w:rFonts w:ascii="Arial" w:cs="Arial" w:eastAsia="Arial" w:hAnsi="Arial"/>
          <w:sz w:val="18"/>
          <w:szCs w:val="18"/>
          <w:color w:val="auto"/>
        </w:rPr>
        <w:t>has served as Vice President, Advisory Services for EXL India since January 2004. He was Head Internal Controls of EXL India from</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2001 to December 2003. Before joining us, Mr. Kini served as Finance Manager at Al-Futtaim Wills Faber (Pvt) Ltd, an insurance broker and consulting company, from July 1999 to January 2001.</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Shiv Kumar </w:t>
      </w:r>
      <w:r>
        <w:rPr>
          <w:rFonts w:ascii="Arial" w:cs="Arial" w:eastAsia="Arial" w:hAnsi="Arial"/>
          <w:sz w:val="18"/>
          <w:szCs w:val="18"/>
          <w:color w:val="auto"/>
        </w:rPr>
        <w:t>has served as Chief Sales and Marketing Officer of EXL Inc. since March 2004. Mr. Kumar heads our global sales and marketing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EXL India, Mr. Kumar was Vice President of HCL Technologies America Inc., an offshore IT services company, from November 1987 to February 2004. Mr. Kumar has over 16 years of experience in the areas of client relationship management, sales, marketing, capital transactions and business development spanning various IT &amp; BPO services.</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Jagadeesh Menon </w:t>
      </w:r>
      <w:r>
        <w:rPr>
          <w:rFonts w:ascii="Arial" w:cs="Arial" w:eastAsia="Arial" w:hAnsi="Arial"/>
          <w:sz w:val="18"/>
          <w:szCs w:val="18"/>
          <w:color w:val="auto"/>
        </w:rPr>
        <w:t>has served as Chief Technology Officer of EXL India since April 2004. Mr. Menon served as Vice President Technology &amp;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eFunds International India (Pvt) Ltd, a BPO company, from September 1999 to April 2004 and has 20 years of experience in the area of technology for the financial services and BPO sectors.</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Vinay Mittal </w:t>
      </w:r>
      <w:r>
        <w:rPr>
          <w:rFonts w:ascii="Arial" w:cs="Arial" w:eastAsia="Arial" w:hAnsi="Arial"/>
          <w:sz w:val="18"/>
          <w:szCs w:val="18"/>
          <w:color w:val="auto"/>
        </w:rPr>
        <w:t>has served as Vice President, Finance of EXL India since December 2003. Mr. Mittal heads our finance function. Prior to joining EXL India,</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in various capacities at Max India Ltd, a life insurance, healthcare and IT company, from October 1998 to April 2003, including as Vice President and Chief Investment Officer at Max India Ltd, where he led private equity investments in the IT and IT enabled service sectors, and as Chief Financial Officer of Max IT from April 2001 to December 2002.</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Amit Shashank </w:t>
      </w:r>
      <w:r>
        <w:rPr>
          <w:rFonts w:ascii="Arial" w:cs="Arial" w:eastAsia="Arial" w:hAnsi="Arial"/>
          <w:sz w:val="18"/>
          <w:szCs w:val="18"/>
          <w:color w:val="auto"/>
        </w:rPr>
        <w:t>has served as General Counsel and Vice President of EXL Inc. since June 2004. Prior to joining EXL Inc., Mr. Shashank was an attorney</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law firm of Shearman &amp; Sterling LLP from January 1997.</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Lalit Vij </w:t>
      </w:r>
      <w:r>
        <w:rPr>
          <w:rFonts w:ascii="Arial" w:cs="Arial" w:eastAsia="Arial" w:hAnsi="Arial"/>
          <w:sz w:val="18"/>
          <w:szCs w:val="18"/>
          <w:color w:val="auto"/>
        </w:rPr>
        <w:t>has served as Vice President and Business Leader, Insurance Operations of EXL India since November 2004. Previously he served as the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Business Leader for Aviva Operations of EXL India from December 2003 to November 2004. He was the Vice President Operations of EXL India from November 2000 to December 2003. Mr. Vij served in various capacities at American Express from June 1996 to November 2000, his last position being Service Delivery Leader.</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Steven Gruber </w:t>
      </w:r>
      <w:r>
        <w:rPr>
          <w:rFonts w:ascii="Arial" w:cs="Arial" w:eastAsia="Arial" w:hAnsi="Arial"/>
          <w:sz w:val="16"/>
          <w:szCs w:val="16"/>
          <w:color w:val="auto"/>
        </w:rPr>
        <w:t>has served as Chairman of our board of directors since November 2002. Since February 1999, Mr. Gruber has been a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Oak Hill Capital Management, Inc., the investment advisor to Oak Hill Capital Partners, L.P.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Capital Access Holdings Limited, American Skiing Company, Blackboard Inc., Travel Centers of America, Inc. and Williams Scotsman Holdings, Inc.</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color w:val="auto"/>
        </w:rPr>
        <w:t xml:space="preserve">Bradford E. Bernstein </w:t>
      </w:r>
      <w:r>
        <w:rPr>
          <w:rFonts w:ascii="Arial" w:cs="Arial" w:eastAsia="Arial" w:hAnsi="Arial"/>
          <w:sz w:val="15"/>
          <w:szCs w:val="15"/>
          <w:color w:val="auto"/>
        </w:rPr>
        <w:t>has served as a director since November 2002. Since May 2003, Mr. Bernstein has been a Partner at FTVentures. From 1999 to 2003,</w:t>
      </w:r>
      <w:r>
        <w:rPr>
          <w:rFonts w:ascii="Arial" w:cs="Arial" w:eastAsia="Arial" w:hAnsi="Arial"/>
          <w:sz w:val="15"/>
          <w:szCs w:val="15"/>
          <w:i w:val="1"/>
          <w:iCs w:val="1"/>
          <w:color w:val="auto"/>
        </w:rPr>
        <w:t xml:space="preserve"> </w:t>
      </w:r>
      <w:r>
        <w:rPr>
          <w:rFonts w:ascii="Arial" w:cs="Arial" w:eastAsia="Arial" w:hAnsi="Arial"/>
          <w:sz w:val="15"/>
          <w:szCs w:val="15"/>
          <w:color w:val="auto"/>
        </w:rPr>
        <w:t>Mr. Bernstein was a Partner at Oak Hill Capital Management, Inc., the investment advisor to Oak Hill Capital Partners, L.P. From 1992 to 1999, Mr. Bernstein served in various capacities, including as a Managing Director, at Oak Hill Partners, Inc. He serves on the board of directors of several private companies.</w:t>
      </w:r>
    </w:p>
    <w:p>
      <w:pPr>
        <w:spacing w:after="0" w:line="7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James C. Hale, III </w:t>
      </w:r>
      <w:r>
        <w:rPr>
          <w:rFonts w:ascii="Arial" w:cs="Arial" w:eastAsia="Arial" w:hAnsi="Arial"/>
          <w:sz w:val="16"/>
          <w:szCs w:val="16"/>
          <w:color w:val="auto"/>
        </w:rPr>
        <w:t>has served as a director since November 2002. Since July 1998, Mr. Hale has served as a General Partner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FTVentures, a venture capital firm. Prior to joining FTVentures, Mr. Hale served in various capacities at Montgomery Securities from 1982 to 1998, and most recently as Senior Managing Director and Director of Financial Technology of Montgomery Securities. Mr. Hale serves as a director of Caplin Systems, iPhrase Technologies, Verus Financial Management, Xign and Duke University Management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7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Our board of directors currently consists of six directors. We are planning to appoint one additional director to the board of directors who would be deemed independent under applicable federal securities laws and the listing standards of the Nasdaq National Market before the consummation of this offering. This offering is conditioned upon us amending and restating our charter documents prior to its consummation. Our amended and restated by-laws will provide that our</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board of directors consists of no less than or more than persons. The exact number of members on our board of directors will be determined from time to time by resolution of a majority of our full board of directors. Upon consummation of this offering, our board will be comprised of directors and will be divided into three classes as described below, with each director serving a three-year term and one class being elected at each year’s annual meeting of stockholders. Messrs. will serve initially as Class I directors (with a term expiring in 2005). Messrs. will serve initially as Class II directors (with a term expiring in 2006). Messrs. will serve initially as Class III directors (with a term expiring in 2007).</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Upon consummation of this offering, our board of directors will have three standing committees: an Audit Committee, a Compensation Committee and a Nominating and Corporate Governance Committee. We will be required to have one independent director on each of these committees during the 90-day period beginning on the date of effectiveness of the registration statement filed with the Commission in connection with this offering and of 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assists the board in monitoring the integrity of our financial statements, our independent auditors’ qualifications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all related-party transactions in accordance with the rules of the Nasdaq National Market.</w:t>
      </w:r>
    </w:p>
    <w:p>
      <w:pPr>
        <w:spacing w:after="0" w:line="129"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Messrs. and are the current members of our Audit Committee. Prior to the consummation of this offering, we will appoint an additional director to the Audit Committee who will qualify as an audit committee financial expert under the rules of the Commission implementing Section 407 of the Sarbanes-Oxley Act of 2002, and will meet the independence and the experience requirements of the Nasdaq National Market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federal securities laws. In addition, following the consummation of this offering, our board of directors will appoint new independent members to the Audit</w:t>
      </w:r>
    </w:p>
    <w:p>
      <w:pPr>
        <w:spacing w:after="0" w:line="38" w:lineRule="exact"/>
        <w:rPr>
          <w:sz w:val="20"/>
          <w:szCs w:val="20"/>
          <w:color w:val="auto"/>
        </w:rPr>
      </w:pPr>
    </w:p>
    <w:p>
      <w:pPr>
        <w:spacing w:after="0"/>
        <w:tabs>
          <w:tab w:leader="none" w:pos="2700" w:val="left"/>
          <w:tab w:leader="none" w:pos="3520" w:val="left"/>
        </w:tabs>
        <w:rPr>
          <w:sz w:val="20"/>
          <w:szCs w:val="20"/>
          <w:color w:val="auto"/>
        </w:rPr>
      </w:pPr>
      <w:r>
        <w:rPr>
          <w:rFonts w:ascii="Arial" w:cs="Arial" w:eastAsia="Arial" w:hAnsi="Arial"/>
          <w:sz w:val="18"/>
          <w:szCs w:val="18"/>
          <w:color w:val="auto"/>
        </w:rPr>
        <w:t>Committee to replace Messrs.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b w:val="1"/>
          <w:bCs w:val="1"/>
          <w:i w:val="1"/>
          <w:iCs w:val="1"/>
          <w:color w:val="auto"/>
        </w:rPr>
        <w:t>Compensation Committee</w:t>
      </w:r>
      <w:r>
        <w:rPr>
          <w:rFonts w:ascii="Arial" w:cs="Arial" w:eastAsia="Arial" w:hAnsi="Arial"/>
          <w:sz w:val="15"/>
          <w:szCs w:val="15"/>
          <w:color w:val="auto"/>
        </w:rPr>
        <w:t>. Our Compensation Committee reviews and recommends policies relating to compensation and benefits of our directors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employees and is responsible for approving the compensation of our Chief Executive Officer and other executive officers. Our Compensation Committee also administers the issuance of stock options under our equity incentive plans. The Compensation Committee is also responsible for producing the annual report on</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executive compensation required to be included in our annual proxy materials under the federal securities laws. Messrs. and are the current members of our Compensation Committee. Messrs. and currently meet the independence requirements of the Nasdaq National Market and the</w:t>
      </w:r>
    </w:p>
    <w:p>
      <w:pPr>
        <w:spacing w:after="0" w:line="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federal securities laws. In addition, prior to the consummation of this offering, we will appoint an additional independent director to the Compensation Committee.</w:t>
      </w:r>
    </w:p>
    <w:p>
      <w:pPr>
        <w:spacing w:after="0" w:line="124" w:lineRule="exact"/>
        <w:rPr>
          <w:sz w:val="20"/>
          <w:szCs w:val="20"/>
          <w:color w:val="auto"/>
        </w:rPr>
      </w:pPr>
    </w:p>
    <w:p>
      <w:pPr>
        <w:ind w:left="460"/>
        <w:spacing w:after="0"/>
        <w:tabs>
          <w:tab w:leader="none" w:pos="4380" w:val="left"/>
        </w:tabs>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Our Nominating and Corporate Governance Committee nominates candidates for election to our</w:t>
      </w:r>
    </w:p>
    <w:p>
      <w:pPr>
        <w:spacing w:after="0" w:line="15" w:lineRule="exact"/>
        <w:rPr>
          <w:sz w:val="20"/>
          <w:szCs w:val="20"/>
          <w:color w:val="auto"/>
        </w:rPr>
      </w:pPr>
    </w:p>
    <w:p>
      <w:pPr>
        <w:ind w:left="580" w:right="40" w:hanging="570"/>
        <w:spacing w:after="0" w:line="250" w:lineRule="auto"/>
        <w:rPr>
          <w:sz w:val="20"/>
          <w:szCs w:val="20"/>
          <w:color w:val="auto"/>
        </w:rPr>
      </w:pPr>
      <w:r>
        <w:rPr>
          <w:rFonts w:ascii="Arial" w:cs="Arial" w:eastAsia="Arial" w:hAnsi="Arial"/>
          <w:sz w:val="18"/>
          <w:szCs w:val="18"/>
          <w:color w:val="auto"/>
        </w:rPr>
        <w:t>board of directors and develops and recommends to the board of directors corporate governance guidelines that are applicable to us. Messrs.</w:t>
      </w:r>
      <w:r>
        <w:rPr>
          <w:sz w:val="20"/>
          <w:szCs w:val="20"/>
          <w:color w:val="auto"/>
        </w:rPr>
        <w:t xml:space="preserve"> </w:t>
      </w:r>
      <w:r>
        <w:rPr>
          <w:rFonts w:ascii="Arial" w:cs="Arial" w:eastAsia="Arial" w:hAnsi="Arial"/>
          <w:sz w:val="18"/>
          <w:szCs w:val="18"/>
          <w:color w:val="auto"/>
        </w:rPr>
        <w:t>, and are the current members of our Nominating and Corporate Governance Committee and meet the independence requirements of the Nasdaq 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and the federal securities laws.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lnterlocks and Insider Participation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following compensation will apply following the consummation of this offering. Directors who are not executive officers will receive an annual fee of $20,000. The Chairman of our board of directors will receive an annual fee of $25,000. In addition, directors will receive a fee of $2,000 for each board meeting they attend ($1,000 if they attend telephonically). In addition, each member of a board committee will receive a fee of $1,000 for each committee meeting they attend ($500 if they attend telephonically). Directors are reimbursed for out-of-pocket expenses incurred in connection with attending meetings of the board of</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directors and its committees. In addition, non-employee directors will receive a one-time grant of options to purchase shares which will vest ratably over four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established an advisory board whose function is to provide the board of directors and senior management with advice on strategic direction and business development initiatives. Our advisory board does not constitute a part of our corporate governance structure and is currently composed of Messrs. Allen J. Gula and Simon Machell. Members of our advisory board are appointed from time to time by our board of directors.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Allen J. Gula, Jr. </w:t>
      </w:r>
      <w:r>
        <w:rPr>
          <w:rFonts w:ascii="Arial" w:cs="Arial" w:eastAsia="Arial" w:hAnsi="Arial"/>
          <w:sz w:val="18"/>
          <w:szCs w:val="18"/>
          <w:color w:val="auto"/>
        </w:rPr>
        <w:t>currently serves as an Advisor to the co-CEOs of Franklin Resources, a global asset management company. From August 1999 to July</w:t>
      </w:r>
      <w:r>
        <w:rPr>
          <w:rFonts w:ascii="Arial" w:cs="Arial" w:eastAsia="Arial" w:hAnsi="Arial"/>
          <w:sz w:val="18"/>
          <w:szCs w:val="18"/>
          <w:i w:val="1"/>
          <w:iCs w:val="1"/>
          <w:color w:val="auto"/>
        </w:rPr>
        <w:t xml:space="preserve"> </w:t>
      </w:r>
      <w:r>
        <w:rPr>
          <w:rFonts w:ascii="Arial" w:cs="Arial" w:eastAsia="Arial" w:hAnsi="Arial"/>
          <w:sz w:val="18"/>
          <w:szCs w:val="18"/>
          <w:color w:val="auto"/>
        </w:rPr>
        <w:t>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3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 xml:space="preserve">Simon Machell </w:t>
      </w:r>
      <w:r>
        <w:rPr>
          <w:rFonts w:ascii="Arial" w:cs="Arial" w:eastAsia="Arial" w:hAnsi="Arial"/>
          <w:sz w:val="18"/>
          <w:szCs w:val="18"/>
          <w:color w:val="auto"/>
        </w:rPr>
        <w:t>has been Customer Service Director &amp; Chairman of Aviva Offshore Services PLC since 2000 where he reports directly to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Norwich Union Insurance. From 1994 to 2000,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he was Head of Finance and Claims Director at Norwich Union PLC. Mr. Machell has wide-ranging experience as a management consultant in the financial services field and is qualified as a chartered accountant.</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member of the advisory board has received options to purchase 5,000 shares in the aggregate of our Series B common stock ( forma basis after giving effect to the Share Conversion).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shares on a pro</w:t>
      </w:r>
    </w:p>
    <w:p>
      <w:pPr>
        <w:spacing w:after="0" w:line="401" w:lineRule="exact"/>
        <w:rPr>
          <w:sz w:val="20"/>
          <w:szCs w:val="20"/>
          <w:color w:val="auto"/>
        </w:rPr>
      </w:pPr>
    </w:p>
    <w:p>
      <w:pPr>
        <w:sectPr>
          <w:pgSz w:w="11900" w:h="16838" w:orient="portrait"/>
          <w:cols w:equalWidth="0" w:num="2">
            <w:col w:w="9660" w:space="580"/>
            <w:col w:w="11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cash and non-cash compensation paid by or incurred on our behalf to our Chief Executive Officer and four other most highly compensated executive officers in 2004 and 2003.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Long-Term</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Compensation Awards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1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Annual Compensation</w:t>
            </w: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gridSpan w:val="4"/>
            <w:vMerge w:val="continue"/>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Other</w:t>
            </w:r>
          </w:p>
        </w:tc>
        <w:tc>
          <w:tcPr>
            <w:tcW w:w="62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Restricted</w:t>
            </w: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Options/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Year</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Bonus($)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 (1)</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w w:val="94"/>
              </w:rPr>
              <w:t>Stock($)</w:t>
            </w:r>
          </w:p>
        </w:tc>
        <w:tc>
          <w:tcPr>
            <w:tcW w:w="34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SARs(#)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393,750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117,772</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6,274(3)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2003</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312,499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175,000(2)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99,811</w:t>
            </w: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2004</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393,750</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300,000</w:t>
            </w:r>
          </w:p>
        </w:tc>
        <w:tc>
          <w:tcPr>
            <w:tcW w:w="5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President and Chief Financial Officer</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2003</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312,499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175,000(2)</w:t>
            </w: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Deepak Dhawan</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112,322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34,773</w:t>
            </w: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Human Resources</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2003</w:t>
            </w: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112,774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21,324</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2004</w:t>
            </w: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115,145</w:t>
            </w:r>
          </w:p>
        </w:tc>
        <w:tc>
          <w:tcPr>
            <w:tcW w:w="600" w:type="dxa"/>
            <w:vAlign w:val="bottom"/>
          </w:tcPr>
          <w:p>
            <w:pPr>
              <w:jc w:val="right"/>
              <w:spacing w:after="0"/>
              <w:rPr>
                <w:sz w:val="20"/>
                <w:szCs w:val="20"/>
                <w:color w:val="auto"/>
              </w:rPr>
            </w:pPr>
            <w:r>
              <w:rPr>
                <w:rFonts w:ascii="Arial" w:cs="Arial" w:eastAsia="Arial" w:hAnsi="Arial"/>
                <w:sz w:val="18"/>
                <w:szCs w:val="18"/>
                <w:color w:val="auto"/>
              </w:rPr>
              <w:t>34,773</w:t>
            </w:r>
          </w:p>
        </w:tc>
        <w:tc>
          <w:tcPr>
            <w:tcW w:w="560" w:type="dxa"/>
            <w:vAlign w:val="bottom"/>
          </w:tcPr>
          <w:p>
            <w:pPr>
              <w:spacing w:after="0"/>
              <w:rPr>
                <w:sz w:val="18"/>
                <w:szCs w:val="18"/>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Vice President, Strategic Business of EXL India</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2003</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124,235</w:t>
            </w:r>
          </w:p>
        </w:tc>
        <w:tc>
          <w:tcPr>
            <w:tcW w:w="600" w:type="dxa"/>
            <w:vAlign w:val="bottom"/>
          </w:tcPr>
          <w:p>
            <w:pPr>
              <w:jc w:val="right"/>
              <w:spacing w:after="0"/>
              <w:rPr>
                <w:sz w:val="20"/>
                <w:szCs w:val="20"/>
                <w:color w:val="auto"/>
              </w:rPr>
            </w:pPr>
            <w:r>
              <w:rPr>
                <w:rFonts w:ascii="Arial" w:cs="Arial" w:eastAsia="Arial" w:hAnsi="Arial"/>
                <w:sz w:val="18"/>
                <w:szCs w:val="18"/>
                <w:color w:val="auto"/>
              </w:rPr>
              <w:t>21,324</w:t>
            </w:r>
          </w:p>
        </w:tc>
        <w:tc>
          <w:tcPr>
            <w:tcW w:w="560" w:type="dxa"/>
            <w:vAlign w:val="bottom"/>
          </w:tcPr>
          <w:p>
            <w:pPr>
              <w:spacing w:after="0"/>
              <w:rPr>
                <w:sz w:val="19"/>
                <w:szCs w:val="19"/>
                <w:color w:val="auto"/>
              </w:rPr>
            </w:pPr>
          </w:p>
        </w:tc>
        <w:tc>
          <w:tcPr>
            <w:tcW w:w="11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90,000(4)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Kumar(6)</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166,667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Sales and Marketing Officer</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86"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$30,433 in 2003 and $38,857 in 2004 relating to travel for Mr. Talwar and his family, together with automobile allowance, automobile insurance, personal security protection in India, social club fees, home office equipment and furnishings and reimbursement of fees relating to personal tax advice.</w:t>
      </w:r>
    </w:p>
    <w:p>
      <w:pPr>
        <w:ind w:left="460" w:right="50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While the employment agreements of Messrs. Talwar and Kapoor provide for a contractual bonus of $100,000, our board of directors agreed to grant Messrs. Talwar and Kapoor additional bonuses in 2003 and 2004 as a result of our exceptional performance in 2003 and 2004.</w:t>
      </w:r>
    </w:p>
    <w:p>
      <w:pPr>
        <w:spacing w:after="0" w:line="1" w:lineRule="exact"/>
        <w:rPr>
          <w:rFonts w:ascii="Arial" w:cs="Arial" w:eastAsia="Arial" w:hAnsi="Arial"/>
          <w:sz w:val="16"/>
          <w:szCs w:val="16"/>
          <w:color w:val="auto"/>
        </w:rPr>
      </w:pPr>
    </w:p>
    <w:p>
      <w:pPr>
        <w:jc w:val="both"/>
        <w:ind w:left="460" w:right="2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an employer contribution of $1,500 in 2003 and $6,121 in 2004 for Mr. Talwar to our 401(k) plan and insurance premiums for term life insurance. Includes an employer contribution of $1,500 in 2003 and $5,940 in 2004 for Mr. Kapoor to our 401(k) plan and insurance premiums for term life insurance.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Special one-time incentive paid under the Conseco Management Incentive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Reflects an employer contribution of $5,000 to our 401(k)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Kumar joined the Company in March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Options/SAR Grants in Last Fiscal Year</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on option grants in 2004 to our Chief Executive Officer and four other most highly compensated executive officers under our equity incentive plans.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Individual Grants</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Number of</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 of Total</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4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Exercise or</w:t>
            </w: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Present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4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Base Price</w:t>
            </w:r>
          </w:p>
        </w:tc>
        <w:tc>
          <w:tcPr>
            <w:tcW w:w="14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w:t>
            </w:r>
          </w:p>
        </w:tc>
        <w:tc>
          <w:tcPr>
            <w:tcW w:w="0" w:type="dxa"/>
            <w:vAlign w:val="bottom"/>
          </w:tcPr>
          <w:p>
            <w:pPr>
              <w:spacing w:after="0"/>
              <w:rPr>
                <w:sz w:val="1"/>
                <w:szCs w:val="1"/>
                <w:color w:val="auto"/>
              </w:rPr>
            </w:pPr>
          </w:p>
        </w:tc>
      </w:tr>
      <w:tr>
        <w:trPr>
          <w:trHeight w:val="174"/>
        </w:trPr>
        <w:tc>
          <w:tcPr>
            <w:tcW w:w="49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Granted(#)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Per Share($)</w:t>
            </w:r>
          </w:p>
        </w:tc>
        <w:tc>
          <w:tcPr>
            <w:tcW w:w="14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241"/>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left="24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Deepak Dhawan</w:t>
            </w: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24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left="24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Kumar(2)</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30,000</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11.7</w:t>
            </w:r>
          </w:p>
        </w:tc>
        <w:tc>
          <w:tcPr>
            <w:tcW w:w="1860" w:type="dxa"/>
            <w:vAlign w:val="bottom"/>
            <w:gridSpan w:val="3"/>
            <w:shd w:val="clear" w:color="auto" w:fill="CCEEFF"/>
          </w:tcPr>
          <w:p>
            <w:pPr>
              <w:jc w:val="center"/>
              <w:ind w:left="102"/>
              <w:spacing w:after="0"/>
              <w:rPr>
                <w:sz w:val="20"/>
                <w:szCs w:val="20"/>
                <w:color w:val="auto"/>
              </w:rPr>
            </w:pPr>
            <w:r>
              <w:rPr>
                <w:rFonts w:ascii="Arial" w:cs="Arial" w:eastAsia="Arial" w:hAnsi="Arial"/>
                <w:sz w:val="18"/>
                <w:szCs w:val="18"/>
                <w:color w:val="auto"/>
                <w:w w:val="91"/>
              </w:rPr>
              <w:t>7.50</w:t>
            </w:r>
          </w:p>
        </w:tc>
        <w:tc>
          <w:tcPr>
            <w:tcW w:w="14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9"/>
              </w:rPr>
              <w:t>3/04/2014</w:t>
            </w:r>
          </w:p>
        </w:tc>
        <w:tc>
          <w:tcPr>
            <w:tcW w:w="660" w:type="dxa"/>
            <w:vAlign w:val="bottom"/>
            <w:shd w:val="clear" w:color="auto" w:fill="CCEEFF"/>
          </w:tcPr>
          <w:p>
            <w:pPr>
              <w:jc w:val="center"/>
              <w:ind w:left="281"/>
              <w:spacing w:after="0"/>
              <w:rPr>
                <w:sz w:val="20"/>
                <w:szCs w:val="20"/>
                <w:color w:val="auto"/>
              </w:rPr>
            </w:pPr>
            <w:r>
              <w:rPr>
                <w:rFonts w:ascii="Arial" w:cs="Arial" w:eastAsia="Arial" w:hAnsi="Arial"/>
                <w:sz w:val="18"/>
                <w:szCs w:val="18"/>
                <w:color w:val="auto"/>
                <w:w w:val="85"/>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6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the Black-Scholes option pricing model, assuming an expected life of 60 months, a risk-free interest rate of 4.0%, a 50.0% volatility and a 0.0% dividend yield.</w:t>
      </w:r>
    </w:p>
    <w:p>
      <w:pPr>
        <w:ind w:left="460" w:right="140" w:hanging="452"/>
        <w:spacing w:after="0" w:line="25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Kumar’s option was granted under the ExlService Holdings Inc. 2003 Stock Option Plan and has a grant price that is equal to the fair market value on the date of grant. Mr. Kumar’s options vest ratably in 25% increments on the March 2 of 2005, 2006, 2007, and 2008. Vesting is contingent on continued service with the company. Mr. Kumar’s options have a term of ten years.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 Options/SAR Exercises and Value in Last Fiscal Year</w:t>
      </w:r>
    </w:p>
    <w:p>
      <w:pPr>
        <w:spacing w:after="0" w:line="15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Option Exercises and Values in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as to each named executive officer, aggregate exercises of options to purchase our common stock in 2004:</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6"/>
              </w:rPr>
              <w:t>Number of Securities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0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40" w:type="dxa"/>
            <w:vAlign w:val="bottom"/>
            <w:gridSpan w:val="4"/>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Options at Fiscal</w:t>
            </w:r>
          </w:p>
        </w:tc>
        <w:tc>
          <w:tcPr>
            <w:tcW w:w="202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Year-End(#)</w:t>
            </w:r>
          </w:p>
        </w:tc>
        <w:tc>
          <w:tcPr>
            <w:tcW w:w="202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89"/>
              </w:rPr>
              <w:t>Fiscal Year-End($)(2)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Dollar Value</w:t>
            </w:r>
          </w:p>
        </w:tc>
        <w:tc>
          <w:tcPr>
            <w:tcW w:w="44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18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Options</w:t>
            </w:r>
          </w:p>
        </w:tc>
        <w:tc>
          <w:tcPr>
            <w:tcW w:w="80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w w:val="97"/>
              </w:rPr>
              <w:t>Realized($)</w:t>
            </w:r>
          </w:p>
        </w:tc>
        <w:tc>
          <w:tcPr>
            <w:tcW w:w="4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Name</w:t>
            </w:r>
          </w:p>
        </w:tc>
        <w:tc>
          <w:tcPr>
            <w:tcW w:w="226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Exercised(#)</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Exercisable</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Nonexercisable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4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22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Deepak Dhawan</w:t>
            </w:r>
          </w:p>
        </w:tc>
        <w:tc>
          <w:tcPr>
            <w:tcW w:w="3440" w:type="dxa"/>
            <w:vAlign w:val="bottom"/>
            <w:gridSpan w:val="3"/>
            <w:shd w:val="clear" w:color="auto" w:fill="CCEEFF"/>
          </w:tcPr>
          <w:p>
            <w:pPr>
              <w:jc w:val="center"/>
              <w:ind w:left="2052"/>
              <w:spacing w:after="0"/>
              <w:rPr>
                <w:sz w:val="20"/>
                <w:szCs w:val="20"/>
                <w:color w:val="auto"/>
              </w:rPr>
            </w:pPr>
            <w:r>
              <w:rPr>
                <w:rFonts w:ascii="Arial" w:cs="Arial" w:eastAsia="Arial" w:hAnsi="Arial"/>
                <w:sz w:val="18"/>
                <w:szCs w:val="18"/>
                <w:color w:val="auto"/>
                <w:w w:val="84"/>
              </w:rPr>
              <w:t>5,000</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36,350</w:t>
            </w:r>
          </w:p>
        </w:tc>
        <w:tc>
          <w:tcPr>
            <w:tcW w:w="156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8"/>
              </w:rPr>
              <w:t>5,000</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Pavan Bagai</w:t>
            </w:r>
          </w:p>
        </w:tc>
        <w:tc>
          <w:tcPr>
            <w:tcW w:w="3440" w:type="dxa"/>
            <w:vAlign w:val="bottom"/>
            <w:gridSpan w:val="3"/>
          </w:tcPr>
          <w:p>
            <w:pPr>
              <w:jc w:val="center"/>
              <w:ind w:left="2052"/>
              <w:spacing w:after="0"/>
              <w:rPr>
                <w:sz w:val="20"/>
                <w:szCs w:val="20"/>
                <w:color w:val="auto"/>
              </w:rPr>
            </w:pPr>
            <w:r>
              <w:rPr>
                <w:rFonts w:ascii="Arial" w:cs="Arial" w:eastAsia="Arial" w:hAnsi="Arial"/>
                <w:sz w:val="18"/>
                <w:szCs w:val="18"/>
                <w:color w:val="auto"/>
                <w:w w:val="84"/>
              </w:rPr>
              <w:t>6,250</w:t>
            </w:r>
          </w:p>
        </w:tc>
        <w:tc>
          <w:tcPr>
            <w:tcW w:w="800" w:type="dxa"/>
            <w:vAlign w:val="bottom"/>
          </w:tcPr>
          <w:p>
            <w:pPr>
              <w:ind w:left="300"/>
              <w:spacing w:after="0"/>
              <w:rPr>
                <w:sz w:val="20"/>
                <w:szCs w:val="20"/>
                <w:color w:val="auto"/>
              </w:rPr>
            </w:pPr>
            <w:r>
              <w:rPr>
                <w:rFonts w:ascii="Arial" w:cs="Arial" w:eastAsia="Arial" w:hAnsi="Arial"/>
                <w:sz w:val="18"/>
                <w:szCs w:val="18"/>
                <w:color w:val="auto"/>
                <w:w w:val="87"/>
              </w:rPr>
              <w:t>45,438</w:t>
            </w:r>
          </w:p>
        </w:tc>
        <w:tc>
          <w:tcPr>
            <w:tcW w:w="156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6,250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12,500</w:t>
            </w:r>
          </w:p>
        </w:tc>
        <w:tc>
          <w:tcPr>
            <w:tcW w:w="680" w:type="dxa"/>
            <w:vAlign w:val="bottom"/>
          </w:tcPr>
          <w:p>
            <w:pPr>
              <w:jc w:val="right"/>
              <w:spacing w:after="0"/>
              <w:rPr>
                <w:sz w:val="20"/>
                <w:szCs w:val="20"/>
                <w:color w:val="auto"/>
              </w:rPr>
            </w:pPr>
            <w:r>
              <w:rPr>
                <w:rFonts w:ascii="Arial" w:cs="Arial" w:eastAsia="Arial" w:hAnsi="Arial"/>
                <w:sz w:val="18"/>
                <w:szCs w:val="18"/>
                <w:color w:val="auto"/>
              </w:rPr>
              <w:t>147,000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2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30,000</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fair market value of the common stock was $7.50 per share on the date of exercise, which was January 29, 2004.</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Calculated using the fair market value of $23.75 per share of our common stock on December 31, 2004 minus the option exercise price.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Vikram Talwar. </w:t>
      </w:r>
      <w:r>
        <w:rPr>
          <w:rFonts w:ascii="Arial" w:cs="Arial" w:eastAsia="Arial" w:hAnsi="Arial"/>
          <w:sz w:val="16"/>
          <w:szCs w:val="16"/>
          <w:color w:val="auto"/>
        </w:rPr>
        <w:t>We entered into an employment agreement with Mr. Talwar on November 14, 2002 which provides that Mr. Talwar will serve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Vice Chairman until November 14, 2005. At our discretion, Mr. Talwar’s employment with us may be extended for up to two additional one-year terms. The agreement provides Mr. Talwar with a base salary starting at $300,000, subject to increases of up to $400,000 upon achievement of certain revenue and EBITDA targets. Mr. Talwar’s current base salary is $400,000. We paid Mr. Talwar a cash bonus of $187,500 upon signing the agreement and he is eligible for an annual bonus of $100,000 based upon the attainment of certain financial targets. We also provide Mr. Talwar with certain benefits, including once-a-year airfare between the United States and India for Mr. Talwar and his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family, a term life insurance policy with a face value of $500,000, an automobile in the United States and India, personal security, certain club memberships up to $3,500 per year and certain furniture and equipment for home offices in India and in the United States. In addition, we reimburse Mr. Talwar on account of the additional taxes he pays above his U.S. tax liability, because of his becoming subject to Indian taxes as a result of his relocation to India at our request.</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Mr. Talwar’s employment is terminated either by us without cause (as defined in his employment agreement) or by Mr. Talwar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Talwar commences new employment before the expiration of two years.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Talwar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It is expected that we will enter into a new employment agreement with Mr. Talwar in connection with this offering, with automatic one-year extension rights. Pursuant to this new employment agreement, Mr. Talwar will have such powers, duties and responsibilities as are generally associated with the position of Chief Executive Officer, as may be modified or assigned by our board of directors and subject to the supervision of our board of directors. Mr. Talwar will also serve as Vice Chairman of our board of directors during the term of his employment agreement except under specific circumstances.</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Rohit Kapoor. </w:t>
      </w:r>
      <w:r>
        <w:rPr>
          <w:rFonts w:ascii="Arial" w:cs="Arial" w:eastAsia="Arial" w:hAnsi="Arial"/>
          <w:sz w:val="16"/>
          <w:szCs w:val="16"/>
          <w:color w:val="auto"/>
        </w:rPr>
        <w:t>We entered into an employment agreement with Mr. Kapoor on November 14, 2002 which provides that Mr. Kapoor will serve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until November 14, 2005. At our discretion, Mr. Kapoor’s employment with us may be extended for up to two additional one-year terms. The agreement provides Mr. Kapoor with a base salary starting at $300,000, subject to increases of up to $400,000 upon achievement of certain revenue and EBITDA targets. Mr. Kapoor’s current base salary is $400,000. We paid Mr. Kapoor a cash bonus of $187,500 upon signing the agreement and he is eligible for an annual bonus of $100,000 based upon the attainment of certain financial targets. We also provide Mr. Kapoor with certain benefits, including once-a-year airfare between the United States and India for Mr. Kapoor and his family, a term life insurance policy with a face value of $500,000, an automobile in the United States and India, personal security and certain furniture and equipment for home offices in India and in the United States.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Mr. Kapoor’s employment is terminated either by us without cause (as defined in his employment agreement) or by Mr. Kapoor for good reason (as defined in his employment agreement, which definition includes a change of control of us), he will be entitled to receive a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Kapoor commences new employment before the expiration of two years.</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Mr. Kapoor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It is expected that we will enter into a new employment agreement with Mr. Kapoor in connection with this offering with automatic one-year extension rights. Pursuant to this new employment agreement, Mr. Kapoor will have such powers, duties and responsibilities as are generally associated with the position of President and Chief Financial Officer, as may be modified or assigned by our board of directors and subject to the supervision of our board of directors. Mr. Kapoor will also serve as a member of our board of directors during the term of his employment agreement except under specific circumstances.</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Deepak Dhawan, Pavan Bagai and Shiv Kumar. </w:t>
      </w:r>
      <w:r>
        <w:rPr>
          <w:rFonts w:ascii="Arial" w:cs="Arial" w:eastAsia="Arial" w:hAnsi="Arial"/>
          <w:sz w:val="18"/>
          <w:szCs w:val="18"/>
          <w:color w:val="auto"/>
        </w:rPr>
        <w:t>We entered into employment agreements with Mr. Deepak Dhawan on May 29, 2002, Mr. Pavan Bagai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31, 2002 and Mr. Shiv Kumar on January 22, 2004.</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Dhawan received an initial base salary of $112,744 per year in his first year (2002), which was increased to $119,294 per year on April 1, 2004 and increased again on December 1, 2004 to $144,444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Dhawan’s employment by giving the other party one month’s notice, except that Mr. Dhawan may not voluntarily terminate his employment if he refuses to return our documents or property to us. We may also terminate Mr. Dhawan’s employment without notice if he is absent for a continuous period of eight days without prior approval. Mr. Dhawan has agreed to retire on his 58th birthday, or earlier if he becomes disabled.</w:t>
      </w:r>
    </w:p>
    <w:p>
      <w:pPr>
        <w:spacing w:after="0" w:line="10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Mr. Bagai received an initial base salary of $115,135 per year in his first year (2002). His base salary was increased once in 2003, again on April 1, 2004 to $142,450 per year and again on December 1, 2004 to $157,778 per year. The base salary includes a leased company car (with fuel, maintenance and driver), housing, leave travel concession, outpatient medical assistance and retirement benefits. He also receives telephone reimbursements, hospital and accident insurance and a discretionary bonus. Either party may terminate Mr. Bagai’s employment by giving the other party one month’s notice, except that Mr. Bagai may not voluntarily terminate his employment if he refuses to return our documents or property to us. We may also terminate Mr. Bagai’s employment without notice if he is absent for a continuous period of eight days without prior approval. Mr. Bagai has agreed to retire on his 58th birthday, or earlier if he becomes disabled.</w:t>
      </w:r>
    </w:p>
    <w:p>
      <w:pPr>
        <w:spacing w:after="0" w:line="9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Mr. Kumar receives an annual base salary of $200,000. In March 2005, if performance goals are met, Mr. Kumar will receive a one-time bonus of $35,000 and will be eligible for a target bonus of $115,000. In 2004, Mr. Kumar was also granted options to purchase 30,000 shares of our Series B common stock as provided by his employment agreement. Either party may terminate Mr. Kumar’s employment at any time.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Confidentiality and Non-Compete Arrangements</w:t>
      </w:r>
      <w:r>
        <w:rPr>
          <w:rFonts w:ascii="Arial" w:cs="Arial" w:eastAsia="Arial" w:hAnsi="Arial"/>
          <w:sz w:val="16"/>
          <w:szCs w:val="16"/>
          <w:color w:val="auto"/>
        </w:rPr>
        <w:t>. As part of their employment agreements, each of our Chief Executive Officer and the four other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highly compensated executive officers is subject to a standard confidentiality agreement during his employment and thereafter. In addition, Messrs. Talwar and Kapoor have agreed not to directly or indirectly participate in any business that competes with us during their employment with us and for up to two years after the termination of their employment with us. Messrs. Dhawan and Bagai have also agreed to disclose and assign to us any inventions they may create during their relationships with us, and they each have agreed that, after the termination of his employment with us, for any reason, they will not directly or indirectly provide any services to our existing clients or solicit our employees to leave us for a period of two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India Option Plan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adopted the ExlService Holdings, Inc. 2003 India Stock Option Plan, (the “2003 India Plan”), effective on April 1, 2003. The 2003 India Plan complies with the guidelines issued by the Indian Ministry of Finance under the proviso to section 17(2)(iii)(c) of the India Income Tax Act of 1961. The following is a discussion of the features of the 2003 India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2003 India Plan is to provide eligible employees of EXL India with the opportunity to acquire an ownership interest in EXL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2003 India Plan is administered by our board of directors or our compensation committee (the “Administrator”). The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subject to the terms of the 2003 India Option Plan, complete authority to:</w:t>
      </w:r>
    </w:p>
    <w:p>
      <w:pPr>
        <w:spacing w:after="0" w:line="37"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interpret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determine the rights and obligations of participants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persons who may participate in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of the options granted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determinations by our board of directors are final and binding upon all participants in the 2003 India Plan and the options granted under the 2003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Under the 2003 India Plan, the Administrator may grant awards of options to purchase shares of our common stock. These options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conditions of the 2003 India Plan and a stock option agreement evidencing the award, as well as applicable Indian law.</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of EXL India who is a resident of India and who the Board designates as eligible may participate in the 2003 India Plan,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is a Promoter (as defined in the Plan) or one of our directors who owns, individually or beneficially, more than 10% of our stock.</w:t>
      </w:r>
    </w:p>
    <w:p>
      <w:pPr>
        <w:sectPr>
          <w:pgSz w:w="11900" w:h="16838" w:orient="portrait"/>
          <w:cols w:equalWidth="0" w:num="1">
            <w:col w:w="11380"/>
          </w:cols>
          <w:pgMar w:left="240" w:top="459" w:right="279" w:bottom="1440" w:gutter="0" w:footer="0" w:header="0"/>
        </w:sectPr>
      </w:pPr>
    </w:p>
    <w:p>
      <w:pPr>
        <w:spacing w:after="0" w:line="72" w:lineRule="exact"/>
        <w:rPr>
          <w:sz w:val="20"/>
          <w:szCs w:val="20"/>
          <w:color w:val="auto"/>
        </w:rPr>
      </w:pPr>
    </w:p>
    <w:p>
      <w:pPr>
        <w:ind w:left="460"/>
        <w:spacing w:after="0"/>
        <w:tabs>
          <w:tab w:leader="none" w:pos="2820" w:val="left"/>
          <w:tab w:leader="none" w:pos="4520" w:val="left"/>
        </w:tabs>
        <w:rPr>
          <w:sz w:val="20"/>
          <w:szCs w:val="20"/>
          <w:color w:val="auto"/>
        </w:rPr>
      </w:pPr>
      <w:r>
        <w:rPr>
          <w:rFonts w:ascii="Arial" w:cs="Arial" w:eastAsia="Arial" w:hAnsi="Arial"/>
          <w:sz w:val="18"/>
          <w:szCs w:val="18"/>
          <w:b w:val="1"/>
          <w:bCs w:val="1"/>
          <w:i w:val="1"/>
          <w:iCs w:val="1"/>
          <w:color w:val="auto"/>
        </w:rPr>
        <w:t>Number of Shares Authorized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maximum of</w:t>
      </w:r>
      <w:r>
        <w:rPr>
          <w:sz w:val="20"/>
          <w:szCs w:val="20"/>
          <w:color w:val="auto"/>
        </w:rPr>
        <w:tab/>
      </w:r>
      <w:r>
        <w:rPr>
          <w:rFonts w:ascii="Arial" w:cs="Arial" w:eastAsia="Arial" w:hAnsi="Arial"/>
          <w:sz w:val="15"/>
          <w:szCs w:val="15"/>
          <w:color w:val="auto"/>
        </w:rPr>
        <w:t>aggregate shares of our common stock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is available for grant under the 2003 India Plan. As of the date of this prospectus, options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after giving effect to the Share Conversion) were issued and outstanding and additional options to purchase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granted under our 2003 India Plan in connection with the consummation of this offering.</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60" w:firstLine="223"/>
        <w:spacing w:after="0" w:line="335" w:lineRule="auto"/>
        <w:rPr>
          <w:sz w:val="20"/>
          <w:szCs w:val="20"/>
          <w:color w:val="auto"/>
        </w:rPr>
      </w:pPr>
      <w:r>
        <w:rPr>
          <w:rFonts w:ascii="Arial" w:cs="Arial" w:eastAsia="Arial" w:hAnsi="Arial"/>
          <w:sz w:val="15"/>
          <w:szCs w:val="15"/>
          <w:color w:val="auto"/>
        </w:rPr>
        <w:t>shares after giving effect to the Share Conversion) shares of our common stock (on a pro forma basis shares of our common stock are expected to be</w:t>
      </w:r>
    </w:p>
    <w:p>
      <w:pPr>
        <w:spacing w:after="0" w:line="290" w:lineRule="exact"/>
        <w:rPr>
          <w:sz w:val="20"/>
          <w:szCs w:val="20"/>
          <w:color w:val="auto"/>
        </w:rPr>
      </w:pPr>
    </w:p>
    <w:p>
      <w:pPr>
        <w:sectPr>
          <w:pgSz w:w="11900" w:h="16838" w:orient="portrait"/>
          <w:cols w:equalWidth="0" w:num="2">
            <w:col w:w="7540" w:space="20"/>
            <w:col w:w="3820"/>
          </w:cols>
          <w:pgMar w:left="240" w:top="459" w:right="279" w:bottom="1440" w:gutter="0" w:footer="0" w:header="0"/>
          <w:type w:val="continuous"/>
        </w:sect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Change in Capitalization</w:t>
      </w:r>
      <w:r>
        <w:rPr>
          <w:rFonts w:ascii="Arial" w:cs="Arial" w:eastAsia="Arial" w:hAnsi="Arial"/>
          <w:sz w:val="16"/>
          <w:szCs w:val="16"/>
          <w:color w:val="auto"/>
        </w:rPr>
        <w:t>. If the Administrator determines that certain corporate transactions or events (as described in the 2003 India Plan), such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all options granted under the 2003 India Plan will automatically vest and the Administrator may, in its discretion and upon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105"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Term and Vesting</w:t>
      </w:r>
      <w:r>
        <w:rPr>
          <w:rFonts w:ascii="Arial" w:cs="Arial" w:eastAsia="Arial" w:hAnsi="Arial"/>
          <w:sz w:val="18"/>
          <w:szCs w:val="18"/>
          <w:color w:val="auto"/>
        </w:rPr>
        <w:t>. An option granted under the 2003 India Plan provides a participant with the right to purchase, within a specified period of time,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number of shares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Unless otherwise provided in a stock option agreement, a participant will receive an option to purchase up to shares of our common stock at an exercise price of up to $ per share, and the option will vest with respect to 25% per year over four years. Under the terms of the 2003 India Plan, the</w:t>
      </w:r>
    </w:p>
    <w:p>
      <w:pPr>
        <w:ind w:right="300"/>
        <w:spacing w:after="0" w:line="261" w:lineRule="auto"/>
        <w:rPr>
          <w:sz w:val="20"/>
          <w:szCs w:val="20"/>
          <w:color w:val="auto"/>
        </w:rPr>
      </w:pPr>
      <w:r>
        <w:rPr>
          <w:rFonts w:ascii="Arial" w:cs="Arial" w:eastAsia="Arial" w:hAnsi="Arial"/>
          <w:sz w:val="18"/>
          <w:szCs w:val="18"/>
          <w:color w:val="auto"/>
        </w:rPr>
        <w:t>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2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Transferability of Stock Options</w:t>
      </w:r>
      <w:r>
        <w:rPr>
          <w:rFonts w:ascii="Arial" w:cs="Arial" w:eastAsia="Arial" w:hAnsi="Arial"/>
          <w:sz w:val="16"/>
          <w:szCs w:val="16"/>
          <w:color w:val="auto"/>
        </w:rPr>
        <w:t>. Subject to the following paragraph, each option may be exercised during the participant’s lifetime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or, if permissible under applicable law, by the 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Upon the effectiveness of the 2005 India Subplan as described below, we will cease to make new grants under the 2003 India Plan, and a new equity award arrangement for employees of EXL India will be simultaneously adopted as part of the 2005 Plan. Grants previously made under the 2003 India Plan may continue to be exercised in accordance with the terms of the 2003 India Plan.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2005 Stock Option Plan</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adopted the ExlService Holdings, Inc. 2003 Stock Option Plan (the “2003 Plan”) effective on January 1, 2003. In connection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this offering, we will amend and restate the 2003 Plan, to expand the number of individuals who are eligible to participate in the 2003 Plan in order to include our affiliates’ employees, directors, and consultants, including employees of EXL India, to increase the number of shares available for awards and to expand the types of awards that may be granted under the 2003 Plan in order to include awards of restricted stock, restricted share units and other stock based awards. We will also rename our 2003 Plan the ExlService Holdings, Inc. 2005 Stock Award Plan (the “2005 Plan”).</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2005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b w:val="1"/>
          <w:bCs w:val="1"/>
          <w:i w:val="1"/>
          <w:iCs w:val="1"/>
          <w:color w:val="auto"/>
        </w:rPr>
        <w:t>Administration</w:t>
      </w:r>
      <w:r>
        <w:rPr>
          <w:rFonts w:ascii="Arial" w:cs="Arial" w:eastAsia="Arial" w:hAnsi="Arial"/>
          <w:sz w:val="15"/>
          <w:szCs w:val="15"/>
          <w:color w:val="auto"/>
        </w:rPr>
        <w:t>. The 2005 Plan will be administered by our compensation committee. It is intended, but not required, that the directors appointed to serve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our compensation committee be “Non-Employee Directors” (within the meaning of Rule 16b-3 under the Securities Exchange Act of 1934, (the “Exchange Act”)) and “Outside Directors” within the meaning of Section 162(m) of the Internal Revenue Code of 1986, as amended (the “Code”), to the extent Rule 16b-3 and Section 162(m) are applicable. However, the fact that a committee member shall fail to qualify under these requirements will not invalidate any award that is otherwise validly granted under the 2005 Plan. Subject to the terms of the 2005 Plan, the compensation committee will have the authority to grant awards, to determine the number of shares of our common stock for which each award may be granted and to determine any terms and conditions pertaining to the exercise or to the vesting of each award. The compensation committee will have the power, in its sole discretion, to accelerate the vesting of any award granted under the 2005 Plan. The compensation committee will also have full power to construe and interpret the 2005 Plan and any award agreement executed pursuant to the</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2005 Plan and to establish, amend, suspend or waive any rules for the proper administration of the 2005 Plan. The determination of the compensation committee on all matters relating to the 2005 Plan or any award agreement will be conclusive.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will be eligible to be designated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2005 Plan. The compensation committee will have the sole and complete authority to determine the participants to whom awards will be granted under the 2005 Plan, subject to certain limitations described below.</w:t>
      </w:r>
    </w:p>
    <w:p>
      <w:pPr>
        <w:spacing w:after="0" w:line="12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A maximum of aggregate shares of our common stock will be available for grant under the 2005 Plan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Share Conversion. As of the date of this prospectus, options to purchase shares of our common stock (on a pro forma basis after giving effect to the Share Conversion) were issued and outstanding and additional options to purchase shares of our common stock are expected to be granted under our 2005 Plan upon consummation of this offering. Only shares may be granted to any one person in any one calendar year with respect to awards of</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restricted stock, restricted share units and stock bonuses that are intended to be “performance-based compensation” as defined in Section 162(m) of the Code. No</w:t>
      </w:r>
    </w:p>
    <w:p>
      <w:pPr>
        <w:spacing w:after="0" w:line="4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more than shares may be granted to any individual in any one calendar year with respect to options and stock appreciation rights (“SARs”). As described more fully in the 2005 Plan, if an award expires or terminates for any reason prior to the holder of such award receiving any economic benefit therefrom, the number of shares previously subject to but not delivered under such award will be available to be awarded thereafter.</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If the compensation committee determines that certain corporate transactions or events (as described in the 2005 Plan), such as a stock split, affect the shares of common stock such that an adjustment is to be consistent with such event and necessary or equitable to carry out the purposes of the 2005 Plan, the compensation committee may, in its discretion, appropriately adjust the maximum number of shares and the classes or series of our common stock which may be delivered pursuant to the 2005 Plan, the number of shares and the classes or series of our common stock subject to outstanding awards, the price per share of all of our common stock subject to outstanding awards and any other provisions of the 2005 Plan. No adjustment made by the compensation committee will give any participant any additional benefits under any outstanding award. In addition, upon the occurrence of certain corporate events or transactions (as described in the 2005 Plan), such as a merger, consolidation, or reorganization, the compensation committee may, in its discretion and upon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2005 Plan, the compensation committee may grant awards of nonqualified stock options (“NSOs”),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stock options (“ISOs”), SARs, restricted stock, restricted share units, stock bonus awards, or any combination of the foregoing. The compensation committee may but is not required to provide in an award agreement that there will be a vesting acceleration or payout of the award upon a change in control, as defined in the 2005 Plan.</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An option provides a participant with the right to purchase, within a specified period of time, a stated number of shares of our common stock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price specified in the award agreement. Options granted under the 2005 Plan will be subject to the terms, including the exercise price and the conditions and timing of exercise, not inconsistent with the 2005 Plan, determined by the compensation committee and specified in the applicable award agreement or thereafter. The maximum term of an option granted under the 2005 Plan will be ten years from the date of grant (or five years in the case of an ISO granted to a 10.0% stockholder).</w:t>
      </w:r>
    </w:p>
    <w:p>
      <w:pPr>
        <w:spacing w:after="0" w:line="12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exercise price per share paid by a participant will be determined by the compensation committee at the time of grant but will not be less than 100.0% of the fair market value of one share on the date the option is granted if the option is an ISO (or no less than 110.0% of such fair market value in the case of an ISO granted to an employee who is a 10.0% stockholder) and will not be less than the par value of one share of our common stock if the option is an NSO. Payment in respect of the exercise of an option may be made in cash or by check, except that the compensation committee may, in its discretion, allow such payment to be made by surrender of unrestricted shares of our common stock (at their fair market value on the date of exercise) which have been held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by the participant for at least six months, or by such other method as the compensation committee may determine and that is permitted by law. The compensation committee may also establish rules permitting the deferral of shares of our common stock upon the exercise of options for tax planning purposes.</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A SAR is a contractual right that allows a participant to receive, either in the form of cash, shares of our common stock or a combination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foregoing, the appreciation, if any, in the value of one share of our common stock over a certain period of time. An option granted under the 2005 Plan may include SARs, either on the date of grant or, except in the case of an ISO, by subsequent amendment. The compensation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w:t>
      </w:r>
    </w:p>
    <w:p>
      <w:pPr>
        <w:spacing w:after="0" w:line="10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No Repricing.</w:t>
      </w:r>
      <w:r>
        <w:rPr>
          <w:sz w:val="20"/>
          <w:szCs w:val="20"/>
          <w:color w:val="auto"/>
        </w:rPr>
        <w:tab/>
      </w:r>
      <w:r>
        <w:rPr>
          <w:rFonts w:ascii="Arial" w:cs="Arial" w:eastAsia="Arial" w:hAnsi="Arial"/>
          <w:sz w:val="15"/>
          <w:szCs w:val="15"/>
          <w:color w:val="auto"/>
        </w:rPr>
        <w:t>Our 2005 Plan prohibits the repricing of stock options or SARs awarded under our 2005 Plan.</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An award of restricted stock is a grant of shares at a price determined by the compensation committee, which may be zero. The grant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Restricted Share Units. </w:t>
      </w:r>
      <w:r>
        <w:rPr>
          <w:rFonts w:ascii="Arial" w:cs="Arial" w:eastAsia="Arial" w:hAnsi="Arial"/>
          <w:sz w:val="16"/>
          <w:szCs w:val="16"/>
          <w:color w:val="auto"/>
        </w:rPr>
        <w:t>The compensation committee is authorized to award restricted share units to participants. The compensation committee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the terms, conditions and restrictions applicable to each award of restricted share units, including the time or times at which restricted share units will be granted or vested and the number of units to be covered by each award. The terms and conditions of each restricted share award will be reflected in a restricted share unit agreement. Each restricted share unit (representing one share of our common stock) awarded to a participant will be credited with an amount equal to the cash or stock dividends paid by us in respect of one share of our common stock (“dividend equivalents”). At the discretion of the compensation committee, dividend equivalents may either be paid currently to the participant or withheld by us for the participant’s account and interest will be credited on such dividend equivalents withheld at rate to be determined by the compensation committee. Upon expiration of the vesting period with respect to any restricted share units covered by a restricted share award, we will deliver to the participant or his beneficiary one share of our common stock for each restricted share unit with respect to which the vesting period has expired and cash or shares of common stock equal to the dividend equivalents credited to the restricted share unit and any interest accrued thereon.</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respect to an award of restricted stock or restricted share units that is intended to qualify as “performance-based compensation” under Section 162(m) of the Code, the timing, establishment and adjustment of performance goals will be implemented by the compensation committee in a manner designed to preserve the treatment of such award as “performance-based compensation” for purposes of Section 162(m) of the Code.</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The compensation committee may, in its discretion, grant an award of unrestricted shares of our common stock, either alone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tandem with other awards, under such terms and conditions as the compensation committee in its sole discretion may decide. A stock bonus award shall be granted as, or in payment of, a bonus, or to provide special incentives or recognize special achievements or contributions.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compensation committee may, in its discretion, condition the vesting of any award granted under the 2005 Plan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certain performance goals. To the extent an award is intended to qualify as “performance-based compensation” under Section 162(m) of the Code, the performance goals will be established by the compensation committee with reference to one or more performance criteria set forth in the 2005 Plan, either on a company-wide basis or, as relevant, in respect of one or more of our affiliates, divisions or operations.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may, in its discretion, however, provide that awards granted under the 2005 Plan that are not ISOs may be transferred by a participant without consideration to certain “permitted transferees” (as defined in the 2005 Plan), pursuant to the terms of the 2005 Plan and rules adopted by the compensation committee.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2005 Plan or any portion thereof at any time.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may be taken, however, without shareholder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2005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shareholder approval of such amendment.</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2005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02"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No income will be realized by a participant upon grant of a non-qualified stock option. Upon the exercise of a non-qualified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99" w:lineRule="exact"/>
        <w:rPr>
          <w:sz w:val="20"/>
          <w:szCs w:val="20"/>
          <w:color w:val="auto"/>
        </w:rPr>
      </w:pPr>
    </w:p>
    <w:p>
      <w:pPr>
        <w:ind w:left="460" w:right="100" w:firstLine="438"/>
        <w:spacing w:after="0" w:line="290"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will not be subject to tax upon the grant of an award of restricted stock unless the participant otherwise elects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3"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i w:val="1"/>
          <w:iCs w:val="1"/>
          <w:color w:val="auto"/>
        </w:rPr>
        <w:t>Restricted Share Units</w:t>
      </w:r>
      <w:r>
        <w:rPr>
          <w:rFonts w:ascii="Arial" w:cs="Arial" w:eastAsia="Arial" w:hAnsi="Arial"/>
          <w:sz w:val="18"/>
          <w:szCs w:val="18"/>
          <w:color w:val="auto"/>
        </w:rPr>
        <w:t>. A participant will not be subject to tax upon the grant of a restricted share unit award. Rather, upon the delivery of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cash pursuant to a restricted share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29" w:lineRule="exact"/>
        <w:rPr>
          <w:sz w:val="20"/>
          <w:szCs w:val="20"/>
          <w:color w:val="auto"/>
        </w:rPr>
      </w:pPr>
    </w:p>
    <w:p>
      <w:pPr>
        <w:ind w:left="460" w:right="220" w:firstLine="438"/>
        <w:spacing w:after="0" w:line="254" w:lineRule="auto"/>
        <w:rPr>
          <w:sz w:val="20"/>
          <w:szCs w:val="20"/>
          <w:color w:val="auto"/>
        </w:rPr>
      </w:pPr>
      <w:r>
        <w:rPr>
          <w:rFonts w:ascii="Arial" w:cs="Arial" w:eastAsia="Arial" w:hAnsi="Arial"/>
          <w:sz w:val="18"/>
          <w:szCs w:val="18"/>
          <w:i w:val="1"/>
          <w:iCs w:val="1"/>
          <w:color w:val="auto"/>
        </w:rPr>
        <w:t>Section 162(m)</w:t>
      </w:r>
      <w:r>
        <w:rPr>
          <w:rFonts w:ascii="Arial" w:cs="Arial" w:eastAsia="Arial" w:hAnsi="Arial"/>
          <w:sz w:val="18"/>
          <w:szCs w:val="18"/>
          <w:color w:val="auto"/>
        </w:rPr>
        <w:t>. In general, Section 162(m) of the Code denies a publicly held corporation a deduction for U.S. federal income tax purposes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 excess of $1,000,000 per year per person to its chief executive officer and the four other officers whose compensation is disclosed in its proxy statement, subject to certain exceptions. The 2005 Plan is intended to satisfy either an exception or applicable transitional rule requirements with respect to grants of options to covered employees. The 2005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13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the above, a portion of the 2005 Plan will be designated the “2005 India Subplan.” The terms and conditions governing options granted under the 2005 India Subplan are identical to the terms and conditions governing options granted under the 2003 India Plan. Under the 2005 India Subplan, the compensation committee may also grant awards of nonqualified stock options, incentive stock options, SARs, restricted stock, restricted share units, stock bonus awards, or any combination of the foregoing in accordance with the same terms and conditions governing such awards under the 2005 Plan. The shares reserved under the 2005 Plan will be available for grants under the 2005 India Subplan.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March 31, 2005, information with respect to the beneficial ownership of our common stock by:</w:t>
      </w:r>
    </w:p>
    <w:p>
      <w:pPr>
        <w:spacing w:after="0" w:line="7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our directors and each of the executive officers named in the Summary Compensation Table under “Management—Executive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or series of our capital stock,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Shares of Series A Common</w:t>
            </w:r>
          </w:p>
        </w:tc>
        <w:tc>
          <w:tcPr>
            <w:tcW w:w="2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4"/>
              </w:rPr>
              <w:t>Shares of Series B Common</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27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Beneficially 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Before This Offering</w:t>
            </w:r>
          </w:p>
        </w:tc>
        <w:tc>
          <w:tcPr>
            <w:tcW w:w="2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Before This Offering</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This Offering (1)</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w:t>
            </w:r>
          </w:p>
        </w:tc>
        <w:tc>
          <w:tcPr>
            <w:tcW w:w="280" w:type="dxa"/>
            <w:vAlign w:val="bottom"/>
          </w:tcPr>
          <w:p>
            <w:pPr>
              <w:spacing w:after="0"/>
              <w:rPr>
                <w:sz w:val="20"/>
                <w:szCs w:val="20"/>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Number of</w:t>
            </w: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2"/>
              </w:rPr>
              <w:t>Percentage of</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6"/>
              </w:rPr>
              <w:t>Percentage of</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74"/>
        </w:trPr>
        <w:tc>
          <w:tcPr>
            <w:tcW w:w="3480" w:type="dxa"/>
            <w:vAlign w:val="bottom"/>
            <w:gridSpan w:val="4"/>
          </w:tcPr>
          <w:p>
            <w:pPr>
              <w:spacing w:after="0"/>
              <w:rPr>
                <w:sz w:val="20"/>
                <w:szCs w:val="20"/>
                <w:color w:val="auto"/>
              </w:rPr>
            </w:pPr>
            <w:r>
              <w:rPr>
                <w:rFonts w:ascii="Arial" w:cs="Arial" w:eastAsia="Arial" w:hAnsi="Arial"/>
                <w:sz w:val="14"/>
                <w:szCs w:val="14"/>
                <w:b w:val="1"/>
                <w:bCs w:val="1"/>
                <w:color w:val="auto"/>
              </w:rPr>
              <w:t>Beneficial Owner (2)</w:t>
            </w:r>
          </w:p>
        </w:tc>
        <w:tc>
          <w:tcPr>
            <w:tcW w:w="280" w:type="dxa"/>
            <w:vAlign w:val="bottom"/>
          </w:tcPr>
          <w:p>
            <w:pPr>
              <w:spacing w:after="0"/>
              <w:rPr>
                <w:sz w:val="15"/>
                <w:szCs w:val="15"/>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Shares</w:t>
            </w:r>
          </w:p>
        </w:tc>
        <w:tc>
          <w:tcPr>
            <w:tcW w:w="14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Class</w:t>
            </w:r>
          </w:p>
        </w:tc>
        <w:tc>
          <w:tcPr>
            <w:tcW w:w="680" w:type="dxa"/>
            <w:vAlign w:val="bottom"/>
          </w:tcPr>
          <w:p>
            <w:pPr>
              <w:jc w:val="right"/>
              <w:ind w:right="58"/>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5"/>
                <w:szCs w:val="15"/>
                <w:color w:val="auto"/>
              </w:rPr>
            </w:pPr>
          </w:p>
        </w:tc>
        <w:tc>
          <w:tcPr>
            <w:tcW w:w="15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Class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0"/>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5,271,252(4)</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FTVentures(5)</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1,757,084(6)</w:t>
            </w: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NUI Investments Limited(7)</w:t>
            </w:r>
          </w:p>
        </w:tc>
        <w:tc>
          <w:tcPr>
            <w:tcW w:w="17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526,316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Vikram Talwar</w:t>
            </w:r>
          </w:p>
        </w:tc>
        <w:tc>
          <w:tcPr>
            <w:tcW w:w="1720" w:type="dxa"/>
            <w:vAlign w:val="bottom"/>
            <w:gridSpan w:val="3"/>
          </w:tcPr>
          <w:p>
            <w:pPr>
              <w:jc w:val="right"/>
              <w:ind w:right="540"/>
              <w:spacing w:after="0"/>
              <w:rPr>
                <w:sz w:val="20"/>
                <w:szCs w:val="20"/>
                <w:color w:val="auto"/>
              </w:rPr>
            </w:pPr>
            <w:r>
              <w:rPr>
                <w:rFonts w:ascii="Arial" w:cs="Arial" w:eastAsia="Arial" w:hAnsi="Arial"/>
                <w:sz w:val="18"/>
                <w:szCs w:val="18"/>
                <w:color w:val="auto"/>
              </w:rPr>
              <w:t>1,053,036(8)</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Rohit Kapoor</w:t>
            </w:r>
          </w:p>
        </w:tc>
        <w:tc>
          <w:tcPr>
            <w:tcW w:w="17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1,053,036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Deepak Dhawan</w:t>
            </w:r>
          </w:p>
        </w:tc>
        <w:tc>
          <w:tcPr>
            <w:tcW w:w="2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59,831</w:t>
            </w:r>
          </w:p>
        </w:tc>
        <w:tc>
          <w:tcPr>
            <w:tcW w:w="2080" w:type="dxa"/>
            <w:vAlign w:val="bottom"/>
            <w:gridSpan w:val="3"/>
          </w:tcPr>
          <w:p>
            <w:pPr>
              <w:jc w:val="right"/>
              <w:ind w:right="540"/>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Pavan Bagai</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Lalit Vij</w:t>
            </w:r>
          </w:p>
        </w:tc>
        <w:tc>
          <w:tcPr>
            <w:tcW w:w="2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48,656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Steven Gruber</w:t>
            </w:r>
          </w:p>
        </w:tc>
        <w:tc>
          <w:tcPr>
            <w:tcW w:w="2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C. Hale, III</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Bradford E. Bernstein</w:t>
            </w:r>
          </w:p>
        </w:tc>
        <w:tc>
          <w:tcPr>
            <w:tcW w:w="2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All current directors and executive officers as</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 group (15 persons)</w:t>
            </w:r>
          </w:p>
        </w:tc>
        <w:tc>
          <w:tcPr>
            <w:tcW w:w="17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2,106,072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Gives effect to the Share Conversion and assumes no exercise of the underwriters’ option to purchase additional shares. In the event the option is exercised,</w:t>
      </w:r>
    </w:p>
    <w:p>
      <w:pPr>
        <w:spacing w:after="0" w:line="50"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the underwriters have an option to purchase up to</w:t>
      </w:r>
      <w:r>
        <w:rPr>
          <w:sz w:val="20"/>
          <w:szCs w:val="20"/>
          <w:color w:val="auto"/>
        </w:rPr>
        <w:tab/>
      </w:r>
      <w:r>
        <w:rPr>
          <w:rFonts w:ascii="Arial" w:cs="Arial" w:eastAsia="Arial" w:hAnsi="Arial"/>
          <w:sz w:val="15"/>
          <w:szCs w:val="15"/>
          <w:color w:val="auto"/>
        </w:rPr>
        <w:t>additional shares of our common stock.</w:t>
      </w:r>
    </w:p>
    <w:p>
      <w:pPr>
        <w:spacing w:after="0" w:line="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business address of Oak Hill Partnerships is 201 Main Street, Suite 2415, Fort Worth, TX 76102.</w:t>
      </w:r>
    </w:p>
    <w:p>
      <w:pPr>
        <w:spacing w:after="0" w:line="9"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an aggregate of 5,139,471 shares of Series A common stock held by Oak Hill Capital Partners, L.P. and 131,781 shares of Series A common stock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business address of FTVentures is 601 California Street, Suite 2200, San Francisco, CA 94109.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8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847,139 shares of Series A common stock held by Financial Technology Ventures (Q), L.P., 31,403 shares of Series A common stock held by Financial Technology Ventures, L.P., 873,354 shares of Series A common stock held by Financial Technology Ventures II (Q), L.P. and 5,188 shares of Series A common stock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address of NUI Investments Limited is 8 Surrey Street, Norwich NR1 3NG, United Kingdom.</w:t>
      </w:r>
    </w:p>
    <w:p>
      <w:pPr>
        <w:spacing w:after="0" w:line="9" w:lineRule="exact"/>
        <w:rPr>
          <w:rFonts w:ascii="Arial" w:cs="Arial" w:eastAsia="Arial" w:hAnsi="Arial"/>
          <w:sz w:val="18"/>
          <w:szCs w:val="18"/>
          <w:color w:val="auto"/>
        </w:rPr>
      </w:pPr>
    </w:p>
    <w:p>
      <w:pPr>
        <w:ind w:left="460" w:right="60" w:hanging="452"/>
        <w:spacing w:after="0" w:line="290"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This amount includes 42,000 shares of common stock transferred by Mr. Talwar to a spousal lifetime access trust. Mr. Talwar’s spouse and Mr. Kapoor are the trustees of this trust and share dispositive and voting control over the shares in the trust. This amount also includes 42,000 shares of common stock transferred by Mr. Talwar’s spouse to a spousal lifetime access trust. Mr. Talwar and Mr. Kapoor are the trustees of this trust and share dispositive and voting control over the shares in the trust. Mr. Kapoor disclaims beneficial ownership of these shares and this prospectus shall not be deemed an admission that Mr. Kapoor is a beneficial owner of such shares of purposes of the Securities Exchange Act of 1934. This amount also includes 210,000 shares of common stock transferred by Mr. Talwar to a three year grantor retained annuity trust. Mr. Talwar is the sole trustee of this trust.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Stock Sale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 2004, Vikram Talwar and Rohit Kapoor entered into a Stock Purchase Agreement with TCV V, L.P. and TCV V Member Fund, L.P.</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(together “TCV”) pursuant to which TCV purchased an aggregate of 421,054 shares of our Series A common stock ( shares after giving effect to the Share Conversion) for an aggregate purchase price of approximately $10.0 million. In connection with the sale, Messrs. Talwar and Kapoor agreed to make up the difference to TCV between the purchase price and the resale price if TCV were required to resell those shares in connection with a sale of EXL Holdings at a price lower than that paid to Messrs. Talwar and Kapoor. By its terms, certain provisions of the agreement, including the obligation to make up for the difference, will terminate upon the consummation of this offering. In addition, we granted TCV certain piggyback registration rights with respect to its shares of our Series A common stock, subject to customary restrictions and pro rata reductions in the number of shares to be sold in an offering. We also granted TCV approval rights relating generally to affiliate transactions, the right to purchase a pro rata share of specified issuances of our common stock or preferred stock and the right to attend meetings of our board of directors in a nonvoting observer capacity. See “Certain Relationships and Related Transactions— Transactions Entered into in Connection with this Offering—Registration Rights Agreements.” The provisions of our agreement with TCV relating to approval rights of affiliate transactions, the right to participate in additional equity sales and the right to attend board meetings will terminate upon the consummation of this offering.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Entered into in Connection with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Conversion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Stockholders’ Agreement</w:t>
      </w:r>
    </w:p>
    <w:p>
      <w:pPr>
        <w:spacing w:after="0" w:line="77"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We are parties to a Stockholders’ Agreement with Oak Hill Capital Partners, L.P., Oak Hill Capital Management Partners, L.P., Financial Technology Ventures, L.P., Financial Technology Ventures (Q), L.P., Financial Technology Ventures II, L.P., Financial Technology Ventures II (Q), L.P., Vikram Talwar, Rohit Kapoor and certain other stockholders which contains certain rights and restrictions on the sale, assignment, transfer, encumbrance or other disposition of the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approximately shares of our common stock ( after giving affect to the Stock Split) that are subject to the agreement. While this agreement by its terms will expire six months after the consummation of this offering, the parties expect to terminate this agreement immediately prior to the consummation of this offering.</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One of our directors, Mr. Steven Gruber, is a Managing Partner of Oak Hill Capital Management, Inc., the investment advisor to Oak Hill Capital Partners, L.P., as Oak Capital Management. Our director, Mr. Bradford E. Bernstein, is a Partner at FTVentures, one of our 5% stockholders, and a former Partner of Oak Hill Capital Management, Inc., the investment advisor to Oak Hill Capital Partners, L.P., one of our 5% stockholders. Mr. James C. Hale III, another director, is a General Partner and Managing Member of FTVentures.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other members of our management (the “Initial Stockholders”) will enter into a registration rights agreement with us relating to the shares of common stock they hold. Subject to several exceptions, including our right to defer a demand registration under certain circumstances, the Initial Stockholders may require that we register for public resale under the Securities Act all shares of common stock that they request be registered at any time after the expiration of the relevant lock-up period following this offering. The Initial Stockholders may demand a number of registrations so long as the securities being registered in each registration statement are reasonably expected to produce specified aggregate proceeds. If we become eligible to register the sale of our securities on Form S-3 under the Securities Act, the Initial Stockholders have the right to require us to register the sale of the common stock held by them on Form S-3, subject to offering size and other restrictions. The non-requesting Initial Stockholders are entitled to piggyback registration rights with respect to any registration request made by the requesting Initial Stockholders. If the registration requested by the Initial Stockholders is in the form of a firm underwritten offering, and if the managing underwriter of the offering determines that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number of securities to be offered would jeopardize the success of the offering, the number of shares included in the offering will be determined as follows:</w:t>
      </w:r>
    </w:p>
    <w:p>
      <w:pPr>
        <w:spacing w:after="0" w:line="100"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first, shares offered by the Initial Stockholders (pro rata, based on their respective ownership of our common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their respective ownership of our common equity),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Initial Stockholders have been granted piggyback rights on any registration for our account or the account of another stockholder. If the managing underwriter in an underwritten offering determines that the number of securities offered in a piggyback registration would jeopardize the success of the offering, the number of shares included in the offering will be determined as follows:</w:t>
      </w:r>
    </w:p>
    <w:p>
      <w:pPr>
        <w:spacing w:after="0" w:line="46" w:lineRule="exact"/>
        <w:rPr>
          <w:sz w:val="20"/>
          <w:szCs w:val="20"/>
          <w:color w:val="auto"/>
        </w:rPr>
      </w:pPr>
    </w:p>
    <w:p>
      <w:pPr>
        <w:ind w:left="780" w:right="12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first, shares offered by us for own account if we have initiated such registration or by any stockholders exercising demand rights with respect to such registration (pro rata, based on their respective ownership of our common equity),</w:t>
      </w:r>
    </w:p>
    <w:p>
      <w:pPr>
        <w:spacing w:after="0" w:line="37"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Initial Stockholders) (pro rata, based on their respective ownership of our common equity),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Note Purchase Agreement</w:t>
      </w:r>
    </w:p>
    <w:p>
      <w:pPr>
        <w:spacing w:after="0" w:line="8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repurchase or redeem $4.5 million in aggregate principal amount of Series A preferred stock, plus accrued and unpaid dividends to the redemption date, and to repay all of those senior promissory notes in the aggregate principal amount of $4.9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Paid to 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Senior</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 (#)</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Stock (#)</w:t>
            </w: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$ 7,312,500.00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5,139,471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29,182.00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$ 3,175,549.94</w:t>
            </w:r>
          </w:p>
        </w:tc>
        <w:tc>
          <w:tcPr>
            <w:tcW w:w="160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131,781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748.26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81,424.07</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19,403.24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1,205,320.00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847,139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4,870.07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523,426.43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7,381.25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3,204.99</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1,242,618.75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873,354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4,958.92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539,623.68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Rohit Kapoor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Norwich Union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77" w:lineRule="exact"/>
        <w:rPr>
          <w:sz w:val="20"/>
          <w:szCs w:val="20"/>
          <w:color w:val="auto"/>
        </w:rPr>
      </w:pPr>
    </w:p>
    <w:p>
      <w:pPr>
        <w:jc w:val="both"/>
        <w:ind w:right="60" w:firstLine="456"/>
        <w:spacing w:after="0" w:line="305" w:lineRule="auto"/>
        <w:rPr>
          <w:sz w:val="20"/>
          <w:szCs w:val="20"/>
          <w:color w:val="auto"/>
        </w:rPr>
      </w:pPr>
      <w:r>
        <w:rPr>
          <w:rFonts w:ascii="Arial" w:cs="Arial" w:eastAsia="Arial" w:hAnsi="Arial"/>
          <w:sz w:val="15"/>
          <w:szCs w:val="15"/>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w:t>
      </w:r>
    </w:p>
    <w:p>
      <w:pPr>
        <w:spacing w:after="0"/>
        <w:tabs>
          <w:tab w:leader="none" w:pos="6360" w:val="left"/>
        </w:tabs>
        <w:rPr>
          <w:sz w:val="20"/>
          <w:szCs w:val="20"/>
          <w:color w:val="auto"/>
        </w:rPr>
      </w:pPr>
      <w:r>
        <w:rPr>
          <w:rFonts w:ascii="Arial" w:cs="Arial" w:eastAsia="Arial" w:hAnsi="Arial"/>
          <w:sz w:val="18"/>
          <w:szCs w:val="18"/>
          <w:color w:val="auto"/>
        </w:rPr>
        <w:t>of this offering and the Share Conversion, these shares will be converted into</w:t>
      </w:r>
      <w:r>
        <w:rPr>
          <w:sz w:val="20"/>
          <w:szCs w:val="20"/>
          <w:color w:val="auto"/>
        </w:rPr>
        <w:tab/>
      </w:r>
      <w:r>
        <w:rPr>
          <w:rFonts w:ascii="Arial" w:cs="Arial" w:eastAsia="Arial" w:hAnsi="Arial"/>
          <w:sz w:val="15"/>
          <w:szCs w:val="15"/>
          <w:color w:val="auto"/>
        </w:rPr>
        <w:t>shares of our common stock, representing approximately</w:t>
      </w:r>
    </w:p>
    <w:p>
      <w:pPr>
        <w:spacing w:after="0" w:line="9" w:lineRule="exact"/>
        <w:rPr>
          <w:sz w:val="20"/>
          <w:szCs w:val="20"/>
          <w:color w:val="auto"/>
        </w:rPr>
      </w:pPr>
    </w:p>
    <w:p>
      <w:pPr>
        <w:ind w:right="180" w:firstLine="886"/>
        <w:spacing w:after="0" w:line="292" w:lineRule="auto"/>
        <w:tabs>
          <w:tab w:leader="none" w:pos="10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Services Framework Agreements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Insurance Services Framework Agreements with Norwich Union provide a broad range of business process services to Norwich Union and its affiliates from our facilities in Pune (the “Pune Agreement”) and Noida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13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 time employees in the Noida facility in any continuous period of 12 months following August 1, 2004.</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Under the Pune Agreement, we and Norwich Union have agreed to the following restrictive covenants for so long as the average number of full time equivalents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Either we or Norwich Union may terminate the agreements immediately under certain circumstances, including our failure to meet certain performance standards, without cost or liability. In addition, either party may terminate the agreement for any reason after their original term of three to five years upon six months’ prior notice, without cost or liability. Norwich Union may also terminate the Noida Agreement for any reason upon six months’ prior notice upon payment of a termination fee. Norwich Union may also terminate a work order immediately upon certain circumstances or for any reason upon three months’ prior written notice and payment of a termination fee.</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(U.S.$50.0 million at an exchange rate as of December 2, 2004).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by Norwich Union of Assets of EXL India</w:t>
      </w:r>
    </w:p>
    <w:p>
      <w:pPr>
        <w:spacing w:after="0" w:line="77"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1" w:lineRule="exact"/>
        <w:rPr>
          <w:sz w:val="20"/>
          <w:szCs w:val="20"/>
          <w:color w:val="auto"/>
        </w:rPr>
      </w:pPr>
    </w:p>
    <w:p>
      <w:pPr>
        <w:ind w:left="780" w:right="2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are in material default of that agreement, as defined in the agreement, and such default affects the insurance services provided by more than 300 full time employees or their equivalent,</w:t>
      </w:r>
    </w:p>
    <w:p>
      <w:pPr>
        <w:spacing w:after="0" w:line="37" w:lineRule="exact"/>
        <w:rPr>
          <w:rFonts w:ascii="Arial" w:cs="Arial" w:eastAsia="Arial" w:hAnsi="Arial"/>
          <w:sz w:val="18"/>
          <w:szCs w:val="18"/>
          <w:color w:val="auto"/>
        </w:rPr>
      </w:pPr>
    </w:p>
    <w:p>
      <w:pPr>
        <w:ind w:left="780" w:right="260" w:hanging="326"/>
        <w:spacing w:after="0" w:line="325"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upon our change of control that was not approved by Norwich Union in advance, which change of control results or would result in us becoming a company controlled by a competitor of Norwich Union or a U.K. client of Norwich Union, as defined in that agreement, or</w:t>
      </w:r>
    </w:p>
    <w:p>
      <w:pPr>
        <w:spacing w:after="0" w:line="1"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there has been a material default, as defined in the agreement, by us, that has prejudiced or is likely to prejudice the reputation of Norwich Union or a U.K. client of Norwich Union.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to Purchase Stock of NCOP</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entered into a Virtual Shareholders’ Agreement with Norwich Union, EXL India and Noida Customer Operations Private Limited (“NCOP”), the operating subsidiary for the Pune services, on August 26, 2004. Under that agreement Norwich Union has the option to purchase all of the outstanding shares of NCOP under the following circumstances:</w:t>
      </w:r>
    </w:p>
    <w:p>
      <w:pPr>
        <w:spacing w:after="0" w:line="46"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six months’ prior notice, at any time during the period commencing on February 26, 2007 and terminating on February 26, 2011,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780" w:right="420" w:hanging="326"/>
        <w:spacing w:after="0" w:line="325" w:lineRule="auto"/>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either case, the purchase price of the stock will be the net asset value (as defined in the agreement) of NCOP and certain foregone profits (as calculated pursuant to the agreement) for the NCOP shares. This agreement will terminate one month after the termination of the Pune Agreement. Norwich Union also has the right under that agreement to designate for election one member of the board of directors of NCOP.</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Arrangement</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paid an annual management fee of $200,000 with respect to services rendered in each of 2003 and 2004. No management fees were paid in 2002. This management arrangement will terminate upon the consummation of this offering.</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Agreement with Conseco</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November 14, 2002, we entered into a Stock Purchase Agreement with Oak Hill Capital Partners, L.P., Oak Hill Capital Management Partners, L.P., Financial Technology Ventures (Q), L.P., Financial Technology Ventures, L.P., Financial Technology Ventures (Q) II, L.P., Financial Technology Ventures II, L.P., and Conseco Inc. for the purchase of all the issued and outstanding shares of capital stock of ExlService.com, Inc. from Conseco Inc. for a de minimis purchase price and for an agreement to provide additional capital to fund our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Related-party Transactions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retained Eplacement to provide us with language training services. Eplacement is controlled by Vikram Talwar, our Chief Executive Officer and Vice Chairman, and his immediate family, and is operated by Siddarth Talwar, Mr. Talwar’s son. We recorded expenses related to these services of $223,458 in 2004, $192,944 in 2003 and $14,128 for the period from November 15, 2002 to December 31, 2002. We expect to terminate the services of this company prior to the consummation of this offering. Our board of directors approved all of our transactions with Eplacement.</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we received catering services from Just Foods Private Limited, which is controlled by Mr. Talwar and his immediate family. We recorded expenses related to these catering services of $31,658 in 2003. We terminated the services of this company in March 2003. Our board of directors approved all of our transactions with Just Foods Private Limited.</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provide advisory services related primarily to compliance with the Sarbanes-Oxley Act of 2002 to Williams Scotsman Inc., a provider of mobile and modular building solutions in North America. Williams Scotsman, Inc. is controlled by entities related to Oak Hill Capital Partners, L.P, one of our main stockholders. Steven Gruber, our Chairman of the board of directors, is also a director of Williams Scotsman, Inc. In 2004, we received $26,000 in advisory fees and expense reimbursements from Williams Scotsman,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the Share Conversion, our authorized capital stock consists of 10,196,878 shares of Series A common stock, 990,854 shares of Series B common stock and 55,000 shares of preferred stock, of which 45,833.36 are designated as Series A preferred stock. 10,081,778 shares of Series A common stock, 528,657 shares of Series B common stock and 45,424 shares of Series A preferred stock were issued and outstanding (excluding shares to be issued upon exercise of options granted under our equity incentive plans and otherwise) as of December 31,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Share Conversion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Share Conversion and the application of the net proceeds of this offering as described under “Use of Proceeds,” our authorized</w:t>
      </w:r>
    </w:p>
    <w:p>
      <w:pPr>
        <w:spacing w:after="0" w:line="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capital stock will consist of shares of common stock and of preferred stock, of which shares of common stock and no shares of preferred stock are expected to be outstanding (excluding shares to be issued upon exercise of outstanding options and assuming the underwriters do not</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exercise their option to purchase additional shares). If the underwriters exercise their option in full, we expect shares of common stock to be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left="460"/>
        <w:spacing w:after="0"/>
        <w:tabs>
          <w:tab w:leader="none" w:pos="6780" w:val="left"/>
        </w:tabs>
        <w:rPr>
          <w:sz w:val="20"/>
          <w:szCs w:val="20"/>
          <w:color w:val="auto"/>
        </w:rPr>
      </w:pPr>
      <w:r>
        <w:rPr>
          <w:rFonts w:ascii="Arial" w:cs="Arial" w:eastAsia="Arial" w:hAnsi="Arial"/>
          <w:sz w:val="18"/>
          <w:szCs w:val="18"/>
          <w:color w:val="auto"/>
        </w:rPr>
        <w:t>After the consummation of this offering, we will be authorized to issue up to</w:t>
      </w:r>
      <w:r>
        <w:rPr>
          <w:sz w:val="20"/>
          <w:szCs w:val="20"/>
          <w:color w:val="auto"/>
        </w:rPr>
        <w:tab/>
      </w:r>
      <w:r>
        <w:rPr>
          <w:rFonts w:ascii="Arial" w:cs="Arial" w:eastAsia="Arial" w:hAnsi="Arial"/>
          <w:sz w:val="15"/>
          <w:szCs w:val="15"/>
          <w:color w:val="auto"/>
        </w:rPr>
        <w:t>shares of preferred stock. Our board of directors is authorized,</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certificate of incorporation will provide that a director will not be personally liable to us or our stockholders for monetary damages for breach of fiduciary duty as a director, except:</w:t>
      </w:r>
    </w:p>
    <w:p>
      <w:pPr>
        <w:spacing w:after="0" w:line="37"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will provide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will establish advance notice procedures for:</w:t>
      </w:r>
    </w:p>
    <w:p>
      <w:pPr>
        <w:spacing w:after="0" w:line="46"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40" w:firstLine="456"/>
        <w:spacing w:after="0" w:line="258" w:lineRule="auto"/>
        <w:rPr>
          <w:sz w:val="20"/>
          <w:szCs w:val="20"/>
          <w:color w:val="auto"/>
        </w:rPr>
      </w:pPr>
      <w:r>
        <w:rPr>
          <w:rFonts w:ascii="Arial" w:cs="Arial" w:eastAsia="Arial" w:hAnsi="Arial"/>
          <w:sz w:val="17"/>
          <w:szCs w:val="17"/>
          <w:color w:val="auto"/>
        </w:rPr>
        <w:t xml:space="preserve">Our board will be divided into three classes. The directors in each class will serve for a three-year term, one class being elected each year by our stockholders. Our stockholders may only remove directors for cause and with the vote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will not provide for cumulative voting in the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83" w:lineRule="exact"/>
        <w:rPr>
          <w:sz w:val="20"/>
          <w:szCs w:val="20"/>
          <w:color w:val="auto"/>
        </w:rPr>
      </w:pPr>
    </w:p>
    <w:p>
      <w:pPr>
        <w:ind w:right="480" w:firstLine="456"/>
        <w:spacing w:after="0" w:line="325" w:lineRule="auto"/>
        <w:rPr>
          <w:sz w:val="20"/>
          <w:szCs w:val="20"/>
          <w:color w:val="auto"/>
        </w:rPr>
      </w:pPr>
      <w:r>
        <w:rPr>
          <w:rFonts w:ascii="Arial" w:cs="Arial" w:eastAsia="Arial" w:hAnsi="Arial"/>
          <w:sz w:val="16"/>
          <w:szCs w:val="16"/>
          <w:color w:val="auto"/>
        </w:rPr>
        <w:t>Our certificate of incorporation will provide that the affirmative vote of the holders of at least two thirds (66%) of the voting power of our issued and outstanding capital stock entitled to vote in the election of directors, is required to amend the following provisions of our certificate of incorporation:</w:t>
      </w:r>
    </w:p>
    <w:p>
      <w:pPr>
        <w:spacing w:after="0" w:line="1"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37" w:lineRule="exact"/>
        <w:rPr>
          <w:rFonts w:ascii="Arial" w:cs="Arial" w:eastAsia="Arial" w:hAnsi="Arial"/>
          <w:sz w:val="18"/>
          <w:szCs w:val="18"/>
          <w:color w:val="auto"/>
        </w:rPr>
      </w:pPr>
    </w:p>
    <w:p>
      <w:pPr>
        <w:ind w:left="780" w:right="500" w:hanging="326"/>
        <w:spacing w:after="0" w:line="22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w:t>
      </w:r>
    </w:p>
    <w:p>
      <w:pPr>
        <w:spacing w:after="0" w:line="185" w:lineRule="exact"/>
        <w:rPr>
          <w:sz w:val="20"/>
          <w:szCs w:val="20"/>
          <w:color w:val="auto"/>
        </w:rPr>
      </w:pPr>
    </w:p>
    <w:p>
      <w:pPr>
        <w:ind w:right="400" w:firstLine="456"/>
        <w:spacing w:after="0" w:line="228" w:lineRule="auto"/>
        <w:rPr>
          <w:sz w:val="20"/>
          <w:szCs w:val="20"/>
          <w:color w:val="auto"/>
        </w:rPr>
      </w:pPr>
      <w:r>
        <w:rPr>
          <w:rFonts w:ascii="Arial" w:cs="Arial" w:eastAsia="Arial" w:hAnsi="Arial"/>
          <w:sz w:val="18"/>
          <w:szCs w:val="18"/>
          <w:color w:val="auto"/>
        </w:rPr>
        <w:t xml:space="preserve">In addition, the board of directors will be permitted to alter our by-laws without obtaining stockholder approval and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will be required for any amendment to our by-laws by the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will be Registrar and Transfer Company. Its telephone number is 1-800-456-0596.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Quotation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included for quotation on the Nasdaq National Market under the trading symbol “EXLS.”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AVAILABLE FOR FUTURE SALE</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83" w:lineRule="exact"/>
        <w:rPr>
          <w:sz w:val="20"/>
          <w:szCs w:val="20"/>
          <w:color w:val="auto"/>
        </w:rPr>
      </w:pPr>
    </w:p>
    <w:p>
      <w:pPr>
        <w:ind w:right="660" w:firstLine="456"/>
        <w:spacing w:after="0" w:line="286" w:lineRule="auto"/>
        <w:rPr>
          <w:sz w:val="20"/>
          <w:szCs w:val="20"/>
          <w:color w:val="auto"/>
        </w:rPr>
      </w:pPr>
      <w:r>
        <w:rPr>
          <w:rFonts w:ascii="Arial" w:cs="Arial" w:eastAsia="Arial" w:hAnsi="Arial"/>
          <w:sz w:val="16"/>
          <w:szCs w:val="16"/>
          <w:color w:val="auto"/>
        </w:rPr>
        <w:t>Upon consummation of this offering, we will have shares outstanding, excluding shares underlying outstanding options, assuming the underwriters do not exercise their option to purchase additional shares. Of these shares, the shares sold in this offering (or</w:t>
      </w:r>
    </w:p>
    <w:p>
      <w:pPr>
        <w:ind w:right="160"/>
        <w:spacing w:after="0" w:line="281" w:lineRule="auto"/>
        <w:rPr>
          <w:sz w:val="20"/>
          <w:szCs w:val="20"/>
          <w:color w:val="auto"/>
        </w:rPr>
      </w:pPr>
      <w:r>
        <w:rPr>
          <w:rFonts w:ascii="Arial" w:cs="Arial" w:eastAsia="Arial" w:hAnsi="Arial"/>
          <w:sz w:val="16"/>
          <w:szCs w:val="16"/>
          <w:color w:val="auto"/>
        </w:rPr>
        <w:t>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w:t>
      </w:r>
    </w:p>
    <w:p>
      <w:pPr>
        <w:spacing w:after="0" w:line="2" w:lineRule="exact"/>
        <w:rPr>
          <w:sz w:val="20"/>
          <w:szCs w:val="20"/>
          <w:color w:val="auto"/>
        </w:rPr>
      </w:pPr>
    </w:p>
    <w:p>
      <w:pPr>
        <w:ind w:right="40"/>
        <w:spacing w:after="0" w:line="466" w:lineRule="auto"/>
        <w:rPr>
          <w:sz w:val="20"/>
          <w:szCs w:val="20"/>
          <w:color w:val="auto"/>
        </w:rPr>
      </w:pPr>
      <w:r>
        <w:rPr>
          <w:rFonts w:ascii="Arial" w:cs="Arial" w:eastAsia="Arial" w:hAnsi="Arial"/>
          <w:sz w:val="16"/>
          <w:szCs w:val="16"/>
          <w:color w:val="auto"/>
        </w:rPr>
        <w:t>controlled by or is under common control with the issuer. After this offering, approximately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Securities Act.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w:t>
      </w:r>
    </w:p>
    <w:p>
      <w:pPr>
        <w:ind w:right="540"/>
        <w:spacing w:after="0" w:line="261" w:lineRule="auto"/>
        <w:rPr>
          <w:sz w:val="20"/>
          <w:szCs w:val="20"/>
          <w:color w:val="auto"/>
        </w:rPr>
      </w:pPr>
      <w:r>
        <w:rPr>
          <w:rFonts w:ascii="Arial" w:cs="Arial" w:eastAsia="Arial" w:hAnsi="Arial"/>
          <w:sz w:val="18"/>
          <w:szCs w:val="18"/>
          <w:color w:val="auto"/>
        </w:rPr>
        <w:t>stock will be entitled to dispose of their shares following the expiration of an initial 180-day “lock-up” period (360 days for Vikram Talwar, Rohit Kapoor, Norwich Union and Prudential Financial) pursuant to the volume and other restrictions of Rule 144.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 a number of shares that does not exceed the greater of one percent of the then outstanding shares of our common stock or the average weekly trading volume of our common stock reported through the Nasdaq National Market during the four calendar weeks preceding such sale. Sales under Rule 144 are also subject to certain manner of sale provisions, notice requirements and the availability of current public information about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Options/Equity Awards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intend to file a registration statement under the Securities Act to register approximately shares of common stock reserved for issuance or sale under our equity incentive plans and shares held for resale by our existing stockholders that were previously issued under our employee stock option plans. After giving pro forma effect to the Share Conversion, there were options outstanding under our equity incentive plans to purchase a total of shares of our common stock, of which options to purchase shares were exercisable immediately. In addition, an entity also holds options exercisable immediately to purchase shares of our common stock after giving pro forma effect to the Share Conversion. Shares</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issued upon the exercise of stock options after the effective date of the registration statement will be eligible for resale in the public market without restriction, subject to Rule 144 limitations applicable to affiliates and the lock-up agreements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EXL Holdings, 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Global Markets Inc.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Immediately following the consummation of this offering, stockholders subject to lock-up agreements will hold representing approximately % of our then outstanding shares of common stock, or approximately option to purchase additional shares in full.</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100" w:firstLine="629"/>
        <w:spacing w:after="0" w:line="370" w:lineRule="auto"/>
        <w:rPr>
          <w:sz w:val="20"/>
          <w:szCs w:val="20"/>
          <w:color w:val="auto"/>
        </w:rPr>
      </w:pPr>
      <w:r>
        <w:rPr>
          <w:rFonts w:ascii="Arial" w:cs="Arial" w:eastAsia="Arial" w:hAnsi="Arial"/>
          <w:sz w:val="15"/>
          <w:szCs w:val="15"/>
          <w:color w:val="auto"/>
        </w:rPr>
        <w:t>shares of our common stock, % if the underwriters exercise their</w:t>
      </w:r>
    </w:p>
    <w:p>
      <w:pPr>
        <w:spacing w:after="0" w:line="265" w:lineRule="exact"/>
        <w:rPr>
          <w:sz w:val="20"/>
          <w:szCs w:val="20"/>
          <w:color w:val="auto"/>
        </w:rPr>
      </w:pPr>
    </w:p>
    <w:p>
      <w:pPr>
        <w:sectPr>
          <w:pgSz w:w="11900" w:h="16838" w:orient="portrait"/>
          <w:cols w:equalWidth="0" w:num="2">
            <w:col w:w="8300" w:space="340"/>
            <w:col w:w="2760"/>
          </w:cols>
          <w:pgMar w:left="240" w:top="459" w:right="259" w:bottom="1440" w:gutter="0" w:footer="0" w:header="0"/>
          <w:type w:val="continuous"/>
        </w:sectPr>
      </w:pPr>
    </w:p>
    <w:p>
      <w:pPr>
        <w:ind w:right="100" w:firstLine="456"/>
        <w:spacing w:after="0" w:line="255"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 our existing equity incentive plans, and we may issue or sell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registration rights to some of our stockholders who, following the consummation of this offering, will hold approximately</w:t>
      </w:r>
    </w:p>
    <w:p>
      <w:pPr>
        <w:spacing w:after="0" w:line="38"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shares of our common stock in the aggregate (including shares issuable upon the exercise of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U.S. or under the laws of the U.S. or of any state thereof (including the District of Columbia),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estate, income of which is subject to U.S. federal income taxation regardless of its source,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trust that has validly elected to be treated as a U.S. person for U.S. federal income tax purposes under applicable Treasury Regulations.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Exchange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37" w:lineRule="exact"/>
        <w:rPr>
          <w:sz w:val="20"/>
          <w:szCs w:val="20"/>
          <w:color w:val="auto"/>
        </w:rPr>
      </w:pPr>
    </w:p>
    <w:p>
      <w:pPr>
        <w:ind w:left="780" w:right="16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non-U.S. holder, who is an individual, is present in the U.S. for 183 days or more in the taxable year of sale, exchange or other disposition and some additional conditions are met.</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Citigroup Global Markets Inc. (“Citigroup”)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5829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4114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459"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75565</wp:posOffset>
            </wp:positionV>
            <wp:extent cx="4114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Arial" w:cs="Arial" w:eastAsia="Arial" w:hAnsi="Arial"/>
                <w:sz w:val="14"/>
                <w:szCs w:val="14"/>
                <w:b w:val="1"/>
                <w:bCs w:val="1"/>
                <w:color w:val="auto"/>
                <w:w w:val="84"/>
              </w:rPr>
              <w:t>No Exercise</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some of the shares directly to the public at the public offering price set forth on the cover page of this prospectus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24"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officers and directors and certain of our other stockholders have agreed that, for a period of 180 days from the date of this prospectus (360 days for Vikram Talwar, Rohit Kapoor, Norwich Union and Prudential Financial), subject to certain extensions, they will not, without the prior written consent of Citigroup and Goldman, Sachs &amp; Co., dispose of or hedge any shares of our common stock or any securities convertible into or exchangeable for our common stock, subject to certain exceptions. Citigroup and Goldman, Sachs &amp; Co., in their sole discretion, may release any of the securities subject to these lock-up agreements at any time without notice.</w:t>
      </w:r>
    </w:p>
    <w:p>
      <w:pPr>
        <w:spacing w:after="0" w:line="1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options under our existing equity incentive plans, and we may issue common stock in connection with an acquisition or business combination (subject to a specified maximum amount) as long as the acquiror of such common stock agrees in writing to be bound by the obligations and restrictions of our lock-up agreement.</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underwriter agrees that (i) it has not offered or sold and, prior to the expiry of a period of six months from the date of the consummation of this offering, will not offer or sell any shares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only communicated or caused to be communicated and will only communicate or cause to be communicated any invitation or inducement to engage in investment activity (within the meaning of section 21 of the Financial Services and Markets Act 2000 (“FSMA”)) received by it in connection with the issue or sale of any shares in circumstances in which section 21(1) of the FSMA does not apply to us; and (iii) it has complied and will comply with all applicable provisions of the FSMA with respect to anything done by it in relation to the shares in, from or otherwise involving the United Kingdom.</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shares may not be offered or sold, transferred or delivered, as part of their initial distribution or at any time thereafter, directly or indirectly, to any individual or legal entity in the Netherlands other than to individuals or legal entities who or which trade or invest in securities in the conduct of their profession or trade, which includes banks, securities intermediaries, insurance companies, pension funds, other institutional investors and commercial enterprises which, as an ancillary activity, regularly trade or invest in securities.</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securities may not be circulated or distributed, nor may the securities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securities to the public in Singapore.</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securities have not been and will not be registered under the Securities and Exchange Law of Japan (the Securities and Exchange Law) and each underwriter agrees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included for quotation on the Nasdaq National Market under the trading symbol “EXLS.”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 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1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National Market or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tabs>
          <w:tab w:leader="none" w:pos="7980" w:val="left"/>
        </w:tabs>
        <w:rPr>
          <w:sz w:val="20"/>
          <w:szCs w:val="20"/>
          <w:color w:val="auto"/>
        </w:rPr>
      </w:pPr>
      <w:r>
        <w:rPr>
          <w:rFonts w:ascii="Arial" w:cs="Arial" w:eastAsia="Arial" w:hAnsi="Arial"/>
          <w:sz w:val="16"/>
          <w:szCs w:val="16"/>
          <w:color w:val="auto"/>
        </w:rPr>
        <w:t>We estimate that the total expenses of this offering, excluding discounts and commissions, will be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acted as our Indian counsel.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consolidated financial statements of ExlService Holdings, Inc. at December 31, 2004 and 2003 and for the years ended December 31, 2004 and December 31, 2003 and the period from November 15, 2002 to December 31, 2002 (successor basis); and from January 1, 2002 to November 14, 2002 (predecessor basis)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JUDGMENTS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450 Fifth Street, N.W., Washington, D.C. 20549.</w:t>
      </w:r>
    </w:p>
    <w:p>
      <w:pPr>
        <w:spacing w:after="0" w:line="10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Periods Ended December 31, 2004, 2003 and 2002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60" w:type="dxa"/>
            <w:vAlign w:val="bottom"/>
          </w:tcPr>
          <w:p>
            <w:pPr>
              <w:jc w:val="center"/>
              <w:ind w:right="3572"/>
              <w:spacing w:after="0"/>
              <w:rPr>
                <w:sz w:val="20"/>
                <w:szCs w:val="20"/>
                <w:color w:val="auto"/>
              </w:rPr>
            </w:pPr>
            <w:r>
              <w:rPr>
                <w:rFonts w:ascii="Arial" w:cs="Arial" w:eastAsia="Arial" w:hAnsi="Arial"/>
                <w:sz w:val="18"/>
                <w:szCs w:val="18"/>
                <w:b w:val="1"/>
                <w:bCs w:val="1"/>
                <w:color w:val="auto"/>
                <w:w w:val="87"/>
              </w:rPr>
              <w:t>Contents</w:t>
            </w:r>
          </w:p>
        </w:tc>
        <w:tc>
          <w:tcPr>
            <w:tcW w:w="440" w:type="dxa"/>
            <w:vAlign w:val="bottom"/>
          </w:tcPr>
          <w:p>
            <w:pPr>
              <w:spacing w:after="0"/>
              <w:rPr>
                <w:sz w:val="19"/>
                <w:szCs w:val="19"/>
                <w:color w:val="auto"/>
              </w:rPr>
            </w:pPr>
          </w:p>
        </w:tc>
      </w:tr>
      <w:tr>
        <w:trPr>
          <w:trHeight w:val="326"/>
        </w:trPr>
        <w:tc>
          <w:tcPr>
            <w:tcW w:w="10980" w:type="dxa"/>
            <w:vAlign w:val="bottom"/>
            <w:gridSpan w:val="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F-2</w:t>
            </w:r>
          </w:p>
        </w:tc>
      </w:tr>
      <w:tr>
        <w:trPr>
          <w:trHeight w:val="336"/>
        </w:trPr>
        <w:tc>
          <w:tcPr>
            <w:tcW w:w="41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As of December 31, 2004 and 2003:</w:t>
            </w:r>
          </w:p>
        </w:tc>
        <w:tc>
          <w:tcPr>
            <w:tcW w:w="6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4"/>
        </w:trPr>
        <w:tc>
          <w:tcPr>
            <w:tcW w:w="10980" w:type="dxa"/>
            <w:vAlign w:val="bottom"/>
            <w:gridSpan w:val="8"/>
          </w:tcPr>
          <w:p>
            <w:pPr>
              <w:spacing w:after="0" w:line="184"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Balance Sheets</w:t>
              </w:r>
            </w:hyperlink>
          </w:p>
        </w:tc>
        <w:tc>
          <w:tcPr>
            <w:tcW w:w="440" w:type="dxa"/>
            <w:vAlign w:val="bottom"/>
          </w:tcPr>
          <w:p>
            <w:pPr>
              <w:ind w:left="200"/>
              <w:spacing w:after="0" w:line="184" w:lineRule="exact"/>
              <w:rPr>
                <w:sz w:val="20"/>
                <w:szCs w:val="20"/>
                <w:color w:val="auto"/>
              </w:rPr>
            </w:pPr>
            <w:r>
              <w:rPr>
                <w:rFonts w:ascii="Arial" w:cs="Arial" w:eastAsia="Arial" w:hAnsi="Arial"/>
                <w:sz w:val="18"/>
                <w:szCs w:val="18"/>
                <w:color w:val="auto"/>
                <w:w w:val="81"/>
              </w:rPr>
              <w:t>F-3</w:t>
            </w:r>
          </w:p>
        </w:tc>
      </w:tr>
      <w:tr>
        <w:trPr>
          <w:trHeight w:val="20"/>
        </w:trPr>
        <w:tc>
          <w:tcPr>
            <w:tcW w:w="4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36"/>
        </w:trPr>
        <w:tc>
          <w:tcPr>
            <w:tcW w:w="10980" w:type="dxa"/>
            <w:vAlign w:val="bottom"/>
            <w:gridSpan w:val="8"/>
          </w:tcPr>
          <w:p>
            <w:pPr>
              <w:spacing w:after="0"/>
              <w:rPr>
                <w:sz w:val="20"/>
                <w:szCs w:val="20"/>
                <w:color w:val="auto"/>
              </w:rPr>
            </w:pPr>
            <w:r>
              <w:rPr>
                <w:rFonts w:ascii="Arial" w:cs="Arial" w:eastAsia="Arial" w:hAnsi="Arial"/>
                <w:sz w:val="18"/>
                <w:szCs w:val="18"/>
                <w:color w:val="auto"/>
                <w:w w:val="89"/>
              </w:rPr>
              <w:t>For the Years Ended December 31, 2004 and 2003, for the Periods from November 15, 2002 to December 31, 2002 and January 1, 2002 to November 14,</w:t>
            </w:r>
          </w:p>
        </w:tc>
        <w:tc>
          <w:tcPr>
            <w:tcW w:w="440" w:type="dxa"/>
            <w:vAlign w:val="bottom"/>
          </w:tcPr>
          <w:p>
            <w:pPr>
              <w:spacing w:after="0"/>
              <w:rPr>
                <w:sz w:val="24"/>
                <w:szCs w:val="24"/>
                <w:color w:val="auto"/>
              </w:rPr>
            </w:pPr>
          </w:p>
        </w:tc>
      </w:tr>
      <w:tr>
        <w:trPr>
          <w:trHeight w:val="216"/>
        </w:trPr>
        <w:tc>
          <w:tcPr>
            <w:tcW w:w="2040" w:type="dxa"/>
            <w:vAlign w:val="bottom"/>
            <w:gridSpan w:val="2"/>
          </w:tcPr>
          <w:p>
            <w:pPr>
              <w:ind w:left="220"/>
              <w:spacing w:after="0"/>
              <w:rPr>
                <w:sz w:val="20"/>
                <w:szCs w:val="20"/>
                <w:color w:val="auto"/>
              </w:rPr>
            </w:pPr>
            <w:r>
              <w:rPr>
                <w:rFonts w:ascii="Arial" w:cs="Arial" w:eastAsia="Arial" w:hAnsi="Arial"/>
                <w:sz w:val="18"/>
                <w:szCs w:val="18"/>
                <w:color w:val="auto"/>
              </w:rPr>
              <w:t>2002:</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84"/>
        </w:trPr>
        <w:tc>
          <w:tcPr>
            <w:tcW w:w="440" w:type="dxa"/>
            <w:vAlign w:val="bottom"/>
          </w:tcPr>
          <w:p>
            <w:pPr>
              <w:spacing w:after="0"/>
              <w:rPr>
                <w:sz w:val="15"/>
                <w:szCs w:val="15"/>
                <w:color w:val="auto"/>
              </w:rPr>
            </w:pPr>
          </w:p>
        </w:tc>
        <w:tc>
          <w:tcPr>
            <w:tcW w:w="10540" w:type="dxa"/>
            <w:vAlign w:val="bottom"/>
            <w:gridSpan w:val="7"/>
          </w:tcPr>
          <w:p>
            <w:pPr>
              <w:spacing w:after="0" w:line="184"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Operations</w:t>
              </w:r>
            </w:hyperlink>
          </w:p>
        </w:tc>
        <w:tc>
          <w:tcPr>
            <w:tcW w:w="440" w:type="dxa"/>
            <w:vAlign w:val="bottom"/>
          </w:tcPr>
          <w:p>
            <w:pPr>
              <w:ind w:left="200"/>
              <w:spacing w:after="0" w:line="184" w:lineRule="exact"/>
              <w:rPr>
                <w:sz w:val="20"/>
                <w:szCs w:val="20"/>
                <w:color w:val="auto"/>
              </w:rPr>
            </w:pPr>
            <w:r>
              <w:rPr>
                <w:rFonts w:ascii="Arial" w:cs="Arial" w:eastAsia="Arial" w:hAnsi="Arial"/>
                <w:sz w:val="18"/>
                <w:szCs w:val="18"/>
                <w:color w:val="auto"/>
                <w:w w:val="81"/>
              </w:rPr>
              <w:t>F-4</w:t>
            </w: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40" w:type="dxa"/>
            <w:vAlign w:val="bottom"/>
            <w:gridSpan w:val="7"/>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Stockholders’ Equity</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Consolidated Statements of Cash Flows</w:t>
              </w:r>
            </w:hyperlink>
          </w:p>
        </w:tc>
        <w:tc>
          <w:tcPr>
            <w:tcW w:w="660" w:type="dxa"/>
            <w:vAlign w:val="bottom"/>
            <w:tcBorders>
              <w:top w:val="single" w:sz="8" w:color="0000EE"/>
            </w:tcBorders>
            <w:gridSpan w:val="2"/>
          </w:tcPr>
          <w:p>
            <w:pPr>
              <w:spacing w:after="0"/>
              <w:rPr>
                <w:sz w:val="17"/>
                <w:szCs w:val="17"/>
                <w:color w:val="auto"/>
              </w:rPr>
            </w:pPr>
          </w:p>
        </w:tc>
        <w:tc>
          <w:tcPr>
            <w:tcW w:w="7080" w:type="dxa"/>
            <w:vAlign w:val="bottom"/>
            <w:gridSpan w:val="2"/>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440" w:type="dxa"/>
            <w:vAlign w:val="bottom"/>
          </w:tcPr>
          <w:p>
            <w:pPr>
              <w:spacing w:after="0"/>
              <w:rPr>
                <w:sz w:val="17"/>
                <w:szCs w:val="17"/>
                <w:color w:val="auto"/>
              </w:rPr>
            </w:pPr>
          </w:p>
        </w:tc>
        <w:tc>
          <w:tcPr>
            <w:tcW w:w="10540" w:type="dxa"/>
            <w:vAlign w:val="bottom"/>
            <w:gridSpan w:val="7"/>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Notes to Consolidated Financial Statements</w:t>
              </w:r>
            </w:hyperlink>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F-8</w:t>
            </w:r>
          </w:p>
        </w:tc>
      </w:tr>
      <w:tr>
        <w:trPr>
          <w:trHeight w:val="383"/>
        </w:trPr>
        <w:tc>
          <w:tcPr>
            <w:tcW w:w="440" w:type="dxa"/>
            <w:vAlign w:val="bottom"/>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60" w:type="dxa"/>
            <w:vAlign w:val="bottom"/>
          </w:tcPr>
          <w:p>
            <w:pPr>
              <w:jc w:val="center"/>
              <w:ind w:right="3572"/>
              <w:spacing w:after="0"/>
              <w:rPr>
                <w:sz w:val="20"/>
                <w:szCs w:val="20"/>
                <w:color w:val="auto"/>
              </w:rPr>
            </w:pPr>
            <w:r>
              <w:rPr>
                <w:rFonts w:ascii="Arial" w:cs="Arial" w:eastAsia="Arial" w:hAnsi="Arial"/>
                <w:sz w:val="18"/>
                <w:szCs w:val="18"/>
                <w:color w:val="auto"/>
                <w:w w:val="88"/>
              </w:rPr>
              <w:t>F-1</w:t>
            </w: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342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of ExlService Holdings, Inc.</w:t>
      </w:r>
    </w:p>
    <w:p>
      <w:pPr>
        <w:ind w:right="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ExlService Holdings, Inc. (the “Company”) as of December 31, 2004 and 2003 and the related consolidated statements of operations, stockholders’ equity, and cash flows for the years ended December 31, 2004 and 2003 and the period from November 15, 2002 to December 31, 2002 (Successor basis) and the period from January 1, 2002 to November 14, 2002 (Predecessor basis).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2004 and 2003 and the consolidated results of its operations and its cash flows for the years ended December 31, 2004 and 2003 and the period from November 15, 2002 to December 31, 2002 (Successor basis) and the period from January 1, 2002 to November 14, 2002 (Predecessor basis),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2005</w:t>
      </w: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(Successor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18,760,120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195,299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$50,000 in 2004 and 2003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10,520,227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5,262,498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229,022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145,520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2,035,208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32,625,313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15,459,403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14,888,102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5,213,920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2,734,717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50,385,579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22,295,298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3,486,917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1,916,999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4,415,191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1,586,499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178,880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14,195,641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5,364,581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5,167,710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45,833.36 designated as Series A redeemable shares; 45,304 and 45,424 shares issued and outstanding at December 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2004 and 2003, respectively (liquidation preference $5,597,359 at December 31, 2004)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5,597,359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395,675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45,289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25,553,256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17,374,449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10,196,878 designated as Series A; 10,081,778 and 9,555,462 shares issued and outstanding at December 31,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2004 and 2003, respectively</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w w:val="99"/>
              </w:rPr>
              <w:t>1,190,854 designated as Series B; 529,369 and 444,538 shares issued at December 31, 2004 and 2003,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17,198,127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(441,889)</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8,425,314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(345,381)</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(353,041)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24,846,782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6"/>
              </w:rPr>
              <w:t>Less 61,414 and 8,785 shares at December 31, 2004 and 2003, respectively, of Series B common stock held in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24,832,323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50,385,579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22,295,298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-5608955</wp:posOffset>
            </wp:positionV>
            <wp:extent cx="150495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-600710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-600710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-600710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-600710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-600710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-600710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Period from</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November 15, 2002</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January 1,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52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to December 31,</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to 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2"/>
              </w:rPr>
              <w:t>(Successor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60,466,646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27,771,359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3,359,772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23,789,661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38,716,017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18,443,205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1,326,819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11,723,159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21,750,629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9,328,154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2,032,953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12,066,502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11,085,273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7,891,083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2,974,716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8,861,998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1,456,153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1,104,482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59,106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3,909,098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420,719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8,391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3,896,547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16,450,524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9,416,284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3,042,213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13,341,072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5,300,105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(88,130)</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(1,009,260)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(1,274,570)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112,418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258,583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214,942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33,665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(332,594)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(277,331)</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(41,271)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20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(598,409)</w:t>
            </w: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(281,970)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(46,008,087)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 and extraordinary item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5,401,880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(904,448)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(47,171,864)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21,584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769,554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6,636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94,338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extraordinary gain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(757,310)</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(911,084)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(47,266,202)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Extraordinary gain</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5,027,452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(757,310)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4,116,368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(47,266,202)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(258,131)</w:t>
            </w:r>
          </w:p>
        </w:tc>
        <w:tc>
          <w:tcPr>
            <w:tcW w:w="80" w:type="dxa"/>
            <w:vAlign w:val="bottom"/>
          </w:tcPr>
          <w:p>
            <w:pPr>
              <w:spacing w:after="0"/>
              <w:rPr>
                <w:sz w:val="19"/>
                <w:szCs w:val="19"/>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8"/>
                <w:szCs w:val="18"/>
                <w:color w:val="auto"/>
              </w:rPr>
              <w:t>(55,909)</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(1,015,441)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4,060,459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(47,266,202)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(loss) before extraordinary gain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20" w:type="dxa"/>
            <w:vAlign w:val="bottom"/>
            <w:gridSpan w:val="4"/>
          </w:tcPr>
          <w:p>
            <w:pPr>
              <w:jc w:val="right"/>
              <w:ind w:right="44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Extraordinary gain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Income (loss) before extraordinary gain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520" w:type="dxa"/>
            <w:vAlign w:val="bottom"/>
            <w:gridSpan w:val="4"/>
          </w:tcPr>
          <w:p>
            <w:pPr>
              <w:jc w:val="right"/>
              <w:ind w:right="440"/>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Extraordinary gain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10,259,166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9,784,420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9,555,462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9,555,462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10,508,626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9,784,420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9,555,462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9,555,462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-2299970</wp:posOffset>
            </wp:positionV>
            <wp:extent cx="5956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-2299970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-2299970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-2299970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-2299970</wp:posOffset>
            </wp:positionV>
            <wp:extent cx="7327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-2299970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-2299970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-2299970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-1442085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-1442085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-1442085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-1442085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-1442085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-1442085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-1442085</wp:posOffset>
            </wp:positionV>
            <wp:extent cx="7327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-1442085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-1442085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-584835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-584835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-584835</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-584835</wp:posOffset>
            </wp:positionV>
            <wp:extent cx="59563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-584835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-584835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-584835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-584835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-584835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-584835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right="220" w:hanging="332"/>
        <w:spacing w:after="0" w:line="239"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weighted average number of shares used in computing earnings (loss) per share for the period from November 15, 2002 to December 31, 2002 and for the years ended December 31, 2004 and 2003 includes Series A and Series B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85"/>
              </w:rPr>
              <w:t>Series A</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5"/>
          </w:tcPr>
          <w:p>
            <w:pPr>
              <w:jc w:val="center"/>
              <w:ind w:left="176"/>
              <w:spacing w:after="0"/>
              <w:rPr>
                <w:sz w:val="20"/>
                <w:szCs w:val="20"/>
                <w:color w:val="auto"/>
              </w:rPr>
            </w:pPr>
            <w:r>
              <w:rPr>
                <w:rFonts w:ascii="Arial" w:cs="Arial" w:eastAsia="Arial" w:hAnsi="Arial"/>
                <w:sz w:val="14"/>
                <w:szCs w:val="14"/>
                <w:b w:val="1"/>
                <w:bCs w:val="1"/>
                <w:color w:val="auto"/>
                <w:w w:val="85"/>
              </w:rPr>
              <w:t>Series B</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0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8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0"/>
              </w:rPr>
              <w:t>Based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1"/>
                <w:szCs w:val="11"/>
                <w:color w:val="auto"/>
              </w:rPr>
            </w:pPr>
          </w:p>
        </w:tc>
        <w:tc>
          <w:tcPr>
            <w:tcW w:w="800" w:type="dxa"/>
            <w:vAlign w:val="bottom"/>
          </w:tcPr>
          <w:p>
            <w:pPr>
              <w:jc w:val="center"/>
              <w:ind w:right="36"/>
              <w:spacing w:after="0" w:line="129" w:lineRule="exact"/>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1"/>
                <w:szCs w:val="11"/>
                <w:color w:val="auto"/>
              </w:rPr>
            </w:pP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Compensation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(Predecessor Basis)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52,503,635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(965,361)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51,774,033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Contribution by Conseco</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13,000,000</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8"/>
              </w:rPr>
              <w:t>Reversal of deferred compensation</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cost issued by Conseco</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(657,251)</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657,251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(47,266,202)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(47,266,202)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(47,260,695)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14, 2002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(Predecessor Basis)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64,846,384</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(47,262,551)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17,821,447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cash</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7,555,462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1,784,111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8"/>
              </w:rPr>
              <w:t>Restricted common stock issued to</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management</w:t>
            </w:r>
          </w:p>
        </w:tc>
        <w:tc>
          <w:tcPr>
            <w:tcW w:w="700" w:type="dxa"/>
            <w:vAlign w:val="bottom"/>
          </w:tcPr>
          <w:p>
            <w:pPr>
              <w:spacing w:after="0"/>
              <w:rPr>
                <w:sz w:val="20"/>
                <w:szCs w:val="20"/>
                <w:color w:val="auto"/>
              </w:rPr>
            </w:pPr>
            <w:r>
              <w:rPr>
                <w:rFonts w:ascii="Arial" w:cs="Arial" w:eastAsia="Arial" w:hAnsi="Arial"/>
                <w:sz w:val="18"/>
                <w:szCs w:val="18"/>
                <w:color w:val="auto"/>
                <w:w w:val="84"/>
              </w:rPr>
              <w:t>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1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472,270</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Equity issuance costs</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3"/>
              </w:rPr>
              <w:t>Dividends and accretion on preferred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stock</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(55,909)</w:t>
            </w:r>
          </w:p>
        </w:tc>
        <w:tc>
          <w:tcPr>
            <w:tcW w:w="12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(55,909)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2002</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9,555,462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2,091,517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-2384425</wp:posOffset>
            </wp:positionV>
            <wp:extent cx="545846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58460" cy="29845"/>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-420370</wp:posOffset>
            </wp:positionV>
            <wp:extent cx="545846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5846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Series A</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w w:val="82"/>
              </w:rPr>
              <w:t>Series B</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7"/>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11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98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8"/>
              </w:rPr>
              <w:t>Stock Based</w:t>
            </w: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Income</w:t>
            </w:r>
          </w:p>
        </w:tc>
        <w:tc>
          <w:tcPr>
            <w:tcW w:w="80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9,555,462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2,091,517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$4,060,459</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8"/>
              </w:rPr>
              <w:t>Series B common stock and options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issued to management</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444,538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Deferred stock based compensation</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(170,299)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1"/>
              </w:rPr>
              <w:t>Amortization of deferred compensation</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Acquisition of treasury stock (Series B</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6"/>
              </w:rPr>
              <w:t>Dividends and accretion on preferred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(258,131)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(369,455)</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(757,310)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(1,126,765)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9,555,462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2,375,984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(155,004)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3,045,018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(353,041)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3"/>
              </w:rPr>
              <w:t>Series A common stock issued (net of</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issuance cost of $37,374)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526,316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12,462,100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12,462,627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Series B common stock and options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issued to management</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Non-employee options</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1,853,601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1,853,601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employee stock based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(423,775)</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Employee stock options forfeited</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(32,225)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32,225</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Amortization of deferred compensation</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3"/>
              </w:rPr>
              <w:t>Acquisition of treasury stock (Series B</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common stock)</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(12,351)</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Translation adjustments</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Minimum pension liability</w:t>
            </w: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5,380,296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5,380,296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10,081,778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10,082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529,369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17,198,127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(441,889)</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6"/>
              </w:rPr>
              <w:t>$8,425,314</w:t>
            </w:r>
          </w:p>
        </w:tc>
        <w:tc>
          <w:tcPr>
            <w:tcW w:w="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(14,459)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-29210</wp:posOffset>
            </wp:positionV>
            <wp:extent cx="541528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1528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2002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December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2002 to</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November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7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(Successor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1"/>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Basis)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5,380,296</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(757,310)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4,116,368</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(47,266,202)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3,909,098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420,719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8,391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3,896,547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598,409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281,970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67,500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Amortization of deferred stock compensation and other non-cash compensation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675,173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237,977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484,558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Interest on senior long term debt</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210,110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197,021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24,286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sale of fixed assets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Bad debt expense (recovery)</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Extraordinary gain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(5,027,452)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200"/>
              <w:spacing w:after="0" w:line="149" w:lineRule="exact"/>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46,008,087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 of acquisitions):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42,874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1,308,422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610,367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(1,160,226)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(5,258,055)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(4,714,544)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(597,954)</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2,699,758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(2,417,740)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581,473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1,426,592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(1,445,256)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648,920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(1,373,678)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1,369,036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(129,784)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1,569,918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416,999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(500,000)</w:t>
            </w: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3,820,920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1,586,054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(2,830,752)</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(96,284)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686,159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745,509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(571,037)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79,195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9,882,443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(1,882,275)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(537,365)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(1,516,381)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Purchase of fixed assets (net of sale proceeds)</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(12,336,918)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(5,405,780)</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(136,599)</w:t>
            </w:r>
          </w:p>
        </w:tc>
        <w:tc>
          <w:tcPr>
            <w:tcW w:w="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(4,617,011)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acquired on acquisition of Exl Inc, net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7,017,610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(12,336,918)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(5,405,780)</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6,881,011</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(4,617,011)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Proceeds from issuance (payment on redemption) of senior long-term debt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272,403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4,349,000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capital lease obligations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(104,437)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(16,360)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(7,324)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Proceeds from issuance (payment on redemption) of preferred stock</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252,400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3,990,701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common stock transactions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1,791,666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Proceeds from sale of Series A common stock, net of issuance costs</w:t>
            </w:r>
          </w:p>
        </w:tc>
        <w:tc>
          <w:tcPr>
            <w:tcW w:w="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12,462,627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114,976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Purchase of Series B common stock at cost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by Conseco</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Restricted common stock issued to management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(764,864)</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12,433,867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608,348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9,361,179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11,972,669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131,452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(364,531)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(11,311)</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10,110,844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(7,044,238)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15,693,514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5,870,718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Arial" w:cs="Arial" w:eastAsia="Arial" w:hAnsi="Arial"/>
                <w:sz w:val="14"/>
                <w:szCs w:val="14"/>
                <w:color w:val="auto"/>
              </w:rPr>
              <w:t>Cash and cash equivalents at the beginning of the period</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8,649,276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15,693,514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2,593,071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the end of the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18,760,120</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8,649,276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15,693,514</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8,463,789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44,798</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18,800</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taxes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information</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payable to management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line="149" w:lineRule="exact"/>
              <w:rPr>
                <w:sz w:val="20"/>
                <w:szCs w:val="20"/>
                <w:color w:val="auto"/>
              </w:rPr>
            </w:pPr>
            <w:r>
              <w:rPr>
                <w:rFonts w:ascii="Arial" w:cs="Arial" w:eastAsia="Arial" w:hAnsi="Arial"/>
                <w:sz w:val="14"/>
                <w:szCs w:val="14"/>
                <w:color w:val="auto"/>
              </w:rPr>
              <w:t>Common stock issued to management</w:t>
            </w: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472,270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issued to management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299,000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Arial" w:cs="Arial" w:eastAsia="Arial" w:hAnsi="Arial"/>
                <w:sz w:val="14"/>
                <w:szCs w:val="14"/>
                <w:color w:val="auto"/>
              </w:rPr>
              <w:t>Assets acquired under capital lease</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704,811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4,242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80,708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-865505</wp:posOffset>
            </wp:positionV>
            <wp:extent cx="254254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42540" cy="2984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w:t>
      </w:r>
    </w:p>
    <w:p>
      <w:pPr>
        <w:spacing w:after="0" w:line="145" w:lineRule="exact"/>
        <w:rPr>
          <w:sz w:val="20"/>
          <w:szCs w:val="20"/>
          <w:color w:val="auto"/>
        </w:rPr>
      </w:pPr>
    </w:p>
    <w:p>
      <w:pPr>
        <w:ind w:left="240" w:right="6440" w:hanging="232"/>
        <w:spacing w:after="0" w:line="332" w:lineRule="auto"/>
        <w:tabs>
          <w:tab w:leader="none" w:pos="187"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Basis of Presentation and Business Combinations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ExlService Holdings, Inc. (“Exl Holdings”) was organized as a corporation under the laws of the state of Delaware on October 29, 2002 with the primary objective of acquiring the Exl entities existing on that date. Exl Holdings, together with its subsidiaries ExlService.com,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Successor and Predecessor Entities and Periods Presented</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July 31, 2001, Conseco, Inc (“Conseco” or the “Former Parent”) acquired all of Exl Inc’s outstanding common shares in exchange for shares of Conseco’s common stock. On November 14, 2002, Exl Holdings, purchased all of the outstanding capital stock of Exl Inc from Conseco. The acquisitions were accounted for under the purchase method in accordance with Statement of Financial Accounting Standards SFAS No. 141, “Business Combinations” (“SFAS No. 141”).</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present the Company as of and for the years ended December 31, 2004 and 2003 and the period from November 15, 2002 through December 31, 2002 (Successor basis reflecting the Exl Holdings acquisition of Exl Inc) and the period from January 1, 2002 through November 14, 2002 (Predecessor basis for the period of Conseco’s ownership of Exl Inc). Exl Holdings did not have any operations from the date of its incorporation through November 14, 2002.</w:t>
      </w:r>
    </w:p>
    <w:p>
      <w:pPr>
        <w:spacing w:after="0" w:line="13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application of purchase accounting, which requires assets acquired and liabilities assumed to be recorded at their fair values, creates a new basis of accounting and accordingly results in different depreciation and amortization expense in later periods. Accordingly, the accompanying consolidated financial statements for the period during which the Company was owned by Conseco and as of and for the periods after Exl Holdings acquisition and ownership are not comparable.</w:t>
      </w:r>
    </w:p>
    <w:p>
      <w:pPr>
        <w:spacing w:after="0" w:line="13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On February 5, 2002, the Board of Directors of Exl Inc authorized a reverse stock split pursuant to which one equity share was issued for every 119,379 shares of Exl Inc equity shares held on that date and the par value was increased from $0.001 to $0.01 per share. Accordingly, all share amounts in the accompanying consolidated financial statements and related notes for the Predecessor period have been adjusted retroactively to reflect the reverse stock split.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by Conseco on July 31, 2001</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31, 2001, Conseco acquired all of the outstanding common shares of Exl Inc and its wholly owned subsidiary, Exl India, for approximately $52.5 million. After the acquisition, Exl Inc became a wholly owned subsidiary of Conseco. Purchase transactions that result in an entity becoming substantially wholly owned establish a new basis of accounting for the purchased assets and liabilities. Therefore, Conseco’s cost of acquiring Exl Inc was pushed down to establish a new accounting basis in Exl Inc’s separate financial statements, thereby establishing a new basis of accounting for the purchased assets and liabilities. The following table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summarizes the estimated fair value of the assets acquired and liabilities assumed and the resulting goodwill at the date of the acquisition:</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July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 (fair value of shares and options issued)</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52,081,897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Acquisition costs capitalized</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Allocated to assets and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1,116,683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Fixed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4,831,136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and liabilities, net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(1,562,660)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Noncurrent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current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Deferred compensation cost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46,008,087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52,503,635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-1710055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-1710055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-1710055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Since this was a stock acquisition, none of the goodwill was tax deductible. In accordance with SFAS No. 142, “Goodwill and Other Intangibles Assets” (“SFAS No. 142”), the Company treated the goodwill as non-amortizable because the acquisition was completed after June 30, 2001. As discussed in Note 2, the Company recorded an impairment charge of $46,008,087 related to this goodwill during the period from January 1, 2002 to November 14, 2002.</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 by Exl Holdings on November 14, 2002</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November 14, 2002, Exl Holdings purchased all of the outstanding capital stock of Exl Inc and its wholly owned subsidiary, Exl India, from Conseco for $1 plus a commitment to provide ongoing services under a transition/wind-down service agreement effective through March 2003. The consideration provided by the Company for Exl Inc was determined by arm’s-length negotiations between the parties. Conseco made a strategic decision to terminate all of its outsourcing activities in India in 2002. Company management believes that Conseco determined that selling Exl Inc at a minimal cost plus the continued provision of services during a transition period was a cheaper and more attractive alternative to it than liquidating the business and maintaining the operational risks associated with a liquidation. Also factored into the purchase price was the fact that Conseco at the time represented approximately 95% of Exl Inc’s revenues, which would cease within a short period of time following the sale of the business.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included:</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Contribution by Conseco: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Conseco provided a capital contribution of $1,000,000 to Exl Inc prior to the sale of its ownership to Exl Holdings.</w:t>
      </w:r>
    </w:p>
    <w:p>
      <w:pPr>
        <w:spacing w:after="0" w:line="77" w:lineRule="exact"/>
        <w:rPr>
          <w:sz w:val="20"/>
          <w:szCs w:val="20"/>
          <w:color w:val="auto"/>
        </w:rPr>
      </w:pPr>
    </w:p>
    <w:p>
      <w:pPr>
        <w:ind w:left="1520" w:hanging="179"/>
        <w:spacing w:after="0"/>
        <w:tabs>
          <w:tab w:leader="none" w:pos="1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Conseco waived repayment of advances of $11,000,000 provided to Exl Inc.</w:t>
      </w:r>
    </w:p>
    <w:p>
      <w:pPr>
        <w:spacing w:after="0" w:line="76" w:lineRule="exact"/>
        <w:rPr>
          <w:rFonts w:ascii="Arial" w:cs="Arial" w:eastAsia="Arial" w:hAnsi="Arial"/>
          <w:sz w:val="18"/>
          <w:szCs w:val="18"/>
          <w:color w:val="auto"/>
        </w:rPr>
      </w:pPr>
    </w:p>
    <w:p>
      <w:pPr>
        <w:ind w:left="920" w:right="60" w:firstLine="421"/>
        <w:spacing w:after="0" w:line="268" w:lineRule="auto"/>
        <w:tabs>
          <w:tab w:leader="none" w:pos="15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Conseco paid $1,000,000 to certain members of management of Exl Inc whereby their existing employment agreements and incentive plan with Exl Inc were terminated and new employment agreements were entered into with Exl Holdings.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b. For employees who were covered by the terms of the Employment Incentive Plan established by Exl Inc effective August 1, 2001, the Company entered into an agreement and established a trust for the benefit of the eligible employees and deposited $1,050,000 into the trust to meet its obligation under the agreement (see Note 11).</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 New investors contributed cash of approximately $10,000,000 to Exl Holdings in return for common shares, preferred shares and Senior Debt.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the estimated fair value of the assets acquired and liabilities assumed and the purchase price at the date of the acquisition:</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 consideration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Acquisition costs capitalized</w:t>
            </w: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1,446,179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1,446,180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8,463,789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2,185,173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 net of reduction of $11,347,816</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Current assets and liabilities, net</w:t>
            </w: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(4,161,326)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liabilities</w:t>
            </w:r>
          </w:p>
        </w:tc>
        <w:tc>
          <w:tcPr>
            <w:tcW w:w="2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5,027,452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acquisition of Exl Inc by Exl Holdings for $1 resulted in the fair value of the net assets exceeding the cost. In accordance with SFAS No. 141, the Company allocated the excess of fair value over cost to the non-current assets acquired. Such allocation resulted in reducing the carrying value of fixed assets to zero and the Company recognized the remaining excess of the fair value of the net assets acquired over cost of $5,027,452 as an extraordinary gain (net of tax of $0) in its consolidated financial statements.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Professional fees totaling $2,549,830 were incurred in connection with the acquisition and certain transactions. Of such amount, $1,446,179 was capitalized and recorded as acquisition costs, $338,787 represented organization and start-up costs and was appropriately expensed, and the balance of $764,864 were transaction costs related to common stock, preferred stock and senior long-term debt. The acquisition costs capitalized included fees paid to lawyers, consultants and accountants for their services provided in relation to the acquisition of Exl Inc from Conseco. These fees were paid for services directly associated with the acquisition, including drafting agreements and due diligence services.</w:t>
      </w:r>
    </w:p>
    <w:p>
      <w:pPr>
        <w:spacing w:after="0" w:line="96" w:lineRule="exact"/>
        <w:rPr>
          <w:sz w:val="20"/>
          <w:szCs w:val="20"/>
          <w:color w:val="auto"/>
        </w:rPr>
      </w:pPr>
    </w:p>
    <w:p>
      <w:pPr>
        <w:ind w:left="240" w:right="7940" w:hanging="232"/>
        <w:spacing w:after="0" w:line="332" w:lineRule="auto"/>
        <w:tabs>
          <w:tab w:leader="none" w:pos="187"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depreciation and amortization periods, and recoverability of long-term assets.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were made to the prior years’ financial statements to conform to the current year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and NCOP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 of operations.</w:t>
      </w:r>
    </w:p>
    <w:p>
      <w:pPr>
        <w:spacing w:after="0" w:line="102"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Fixed Assets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00"/>
          </w:cols>
          <w:pgMar w:left="24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derives revenues from business process outsourcing services, which includes processing of transactions and services provided through voice and Internet communication channels. The Company recognizes revenue as services are rendered, provided that persuasive evidence of an arrangement exists, there are no remaining obligations with respect to the services rendered and collection is considered probable. The Company invoices the clients in accordance with the agreed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13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4,182,638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2320" w:type="dxa"/>
            <w:vAlign w:val="bottom"/>
          </w:tcPr>
          <w:p>
            <w:pPr>
              <w:jc w:val="right"/>
              <w:spacing w:after="0"/>
              <w:rPr>
                <w:sz w:val="20"/>
                <w:szCs w:val="20"/>
                <w:color w:val="auto"/>
              </w:rPr>
            </w:pPr>
            <w:r>
              <w:rPr>
                <w:rFonts w:ascii="Arial" w:cs="Arial" w:eastAsia="Arial" w:hAnsi="Arial"/>
                <w:sz w:val="18"/>
                <w:szCs w:val="18"/>
                <w:color w:val="auto"/>
              </w:rPr>
              <w:t>555,372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2002 to December 31, 2002</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January 1, 2002 to November 14, 2002</w:t>
            </w:r>
          </w:p>
        </w:tc>
        <w:tc>
          <w:tcPr>
            <w:tcW w:w="2320" w:type="dxa"/>
            <w:vAlign w:val="bottom"/>
          </w:tcPr>
          <w:p>
            <w:pPr>
              <w:jc w:val="right"/>
              <w:spacing w:after="0"/>
              <w:rPr>
                <w:sz w:val="20"/>
                <w:szCs w:val="20"/>
                <w:color w:val="auto"/>
              </w:rPr>
            </w:pPr>
            <w:r>
              <w:rPr>
                <w:rFonts w:ascii="Arial" w:cs="Arial" w:eastAsia="Arial" w:hAnsi="Arial"/>
                <w:sz w:val="18"/>
                <w:szCs w:val="18"/>
                <w:color w:val="auto"/>
              </w:rPr>
              <w:t>69,096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Pursuant to a transition/wind-down services agreement executed with Conseco on November 14, 2002, the Company contracted to provide wind-down and transition services to Conseco over the four-month period from December 1, 2002 to March 31, 2003. Pursuant to the terms of the agreement, the Company deposited $2,000,000 that it received from Conseco for such services in an escrow account and was entitled to receive this amount in four equal monthly installments during the period from December 1, 2002 through March 31, 2003 as services are performed. Revenue for the year ended December 31, 2003 includes approximately $1,500,000 for the services rendered to Conseco pursuant to the transition/wind-down services agreement. Revenue from services provided to Conseco as a percentage of total revenues on the consolidated statement of operations for each of the respective periods is as follows:</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3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2002 to December 31, 2002</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January 1, 2002 to November 14, 2002</w:t>
            </w:r>
          </w:p>
        </w:tc>
        <w:tc>
          <w:tcPr>
            <w:tcW w:w="32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the year ended December 31, 2004, two other clients accounted for 52% and 24% of the Company’s total revenues. These same two clients accounted for 43% and 31% of the Company’s total revenues for the year ended December 31,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Cost of revenues include salaries, employee benefits and stock compensation expense, project related travel costs, communication expenses, technology operating expenses and facilities costs.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Company accounts for income taxes pursuant to the provisions of Statement of Financial Accounting Standards No. 109 “Accounting for Income Taxes.” Under SFAS No. 109, deferred tax liabilities and assets are recognized for future tax consequences attributable to differences between the financial statement carrying amounts of existing assets and liabilities and their tax bases. Any deferred tax assets recognized for net operating 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SFAS No. 130, “Reporting Comprehensive Income”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The Company reports comprehensive income (loss) in the consolidated statements of stockholders’ equity.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current liabilities, recorded amounts approximate fair value due to the relatively short maturity periods.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and time deposits. By their nature, all such financial instruments involve risks including the credit risks of non-performance by counter parties.</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The Company entered into forward exchange contracts during the years ended December 31, 2004 and 2003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from November 15, 2002 through December 31, 2002. None of these contracts were outstanding at December 31, 2003. Forward exchange contracts with a notional amount of $ 11.3 million were outstanding at December 31, 2004. The fair value of such contracts at December 31, 2004 was $ 0.1 million.</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40"/>
          </w:cols>
          <w:pgMar w:left="240" w:top="459"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In fiscal 2003 and as amended, the Company instituted the Exl Holdings 2003 Stock Option Plan (“the Plan”).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covers all the employees of the Company and its subsidiaries. The Compensation Committee of the Board (the “Committee”) administers the Plan and grants stock options to eligible employees of the Company and its subsidiaries.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Plan, the Company has reserved 726,316 shares of Series B common stock for the granting of options.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Had the compensation cost been recognized based on the fair value at the date of grant in accordance with SFAS No. 123 </w:t>
      </w:r>
      <w:r>
        <w:rPr>
          <w:rFonts w:ascii="Arial" w:cs="Arial" w:eastAsia="Arial" w:hAnsi="Arial"/>
          <w:sz w:val="18"/>
          <w:szCs w:val="18"/>
          <w:i w:val="1"/>
          <w:iCs w:val="1"/>
          <w:color w:val="auto"/>
        </w:rPr>
        <w:t>Accounting for Stock 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 amended by SFAS No. 148</w:t>
      </w:r>
      <w:r>
        <w:rPr>
          <w:rFonts w:ascii="Arial" w:cs="Arial" w:eastAsia="Arial" w:hAnsi="Arial"/>
          <w:sz w:val="18"/>
          <w:szCs w:val="18"/>
          <w:i w:val="1"/>
          <w:iCs w:val="1"/>
          <w:color w:val="auto"/>
        </w:rPr>
        <w:t xml:space="preserve"> Accounting for Stock-Based Compensation—Transition and Disclosure</w:t>
      </w:r>
      <w:r>
        <w:rPr>
          <w:rFonts w:ascii="Arial" w:cs="Arial" w:eastAsia="Arial" w:hAnsi="Arial"/>
          <w:sz w:val="18"/>
          <w:szCs w:val="18"/>
          <w:color w:val="auto"/>
        </w:rPr>
        <w:t>, the pro-forma amounts of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would have been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Period from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2002 to</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2002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8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5,380,296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(1,015,441)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4,060,459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(47,266,202)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5"/>
              </w:rPr>
              <w:t>Add stock based employee compensation expense included in reported net income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104,665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stock based employee compensation expense determined under the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(268,240)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5,216,721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(1,015,854)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4,060,459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(47,293,193)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860"/>
              <w:spacing w:after="0"/>
              <w:rPr>
                <w:sz w:val="20"/>
                <w:szCs w:val="20"/>
                <w:color w:val="auto"/>
              </w:rPr>
            </w:pPr>
            <w:r>
              <w:rPr>
                <w:rFonts w:ascii="Arial" w:cs="Arial" w:eastAsia="Arial" w:hAnsi="Arial"/>
                <w:sz w:val="18"/>
                <w:szCs w:val="18"/>
                <w:color w:val="auto"/>
              </w:rPr>
              <w:t>Basic, 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-1367155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-1367155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-1367155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-1367155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-1367155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-1367155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-1367155</wp:posOffset>
            </wp:positionV>
            <wp:extent cx="150495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-929640</wp:posOffset>
            </wp:positionV>
            <wp:extent cx="57848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-929640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-929640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-929640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-929640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-929640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-929640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-929640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-929640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-929640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-629285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-629285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-629285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-629285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-629285</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-629285</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-629285</wp:posOffset>
            </wp:positionV>
            <wp:extent cx="150495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-329565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-329565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-329565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-329565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-329565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-329565</wp:posOffset>
            </wp:positionV>
            <wp:extent cx="150495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0495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57848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Stock compensation expense for the period from January 1, 2002 to November 14, 2002 relates to stock options granted to Exl Inc employees by Conseco (Predecessor entity).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is estimated on the date of grant using the Black-Scholes option valuation model with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 from</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1, 2002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Year ended</w:t>
            </w: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2002 to</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November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300" w:type="dxa"/>
            <w:vAlign w:val="bottom"/>
            <w:gridSpan w:val="2"/>
          </w:tcPr>
          <w:p>
            <w:pPr>
              <w:jc w:val="center"/>
              <w:ind w:left="479"/>
              <w:spacing w:after="0" w:line="149" w:lineRule="exact"/>
              <w:rPr>
                <w:sz w:val="20"/>
                <w:szCs w:val="20"/>
                <w:color w:val="auto"/>
              </w:rPr>
            </w:pPr>
            <w:r>
              <w:rPr>
                <w:rFonts w:ascii="Arial" w:cs="Arial" w:eastAsia="Arial" w:hAnsi="Arial"/>
                <w:sz w:val="14"/>
                <w:szCs w:val="14"/>
                <w:b w:val="1"/>
                <w:bCs w:val="1"/>
                <w:color w:val="auto"/>
                <w:w w:val="92"/>
              </w:rPr>
              <w:t>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136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89"/>
              </w:rPr>
              <w:t>2003</w:t>
            </w:r>
          </w:p>
        </w:tc>
        <w:tc>
          <w:tcPr>
            <w:tcW w:w="136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89"/>
              </w:rPr>
              <w:t>2002</w:t>
            </w:r>
          </w:p>
        </w:tc>
        <w:tc>
          <w:tcPr>
            <w:tcW w:w="130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36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92"/>
              </w:rPr>
              <w:t>0%</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Expected life</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2"/>
          </w:tcPr>
          <w:p>
            <w:pPr>
              <w:jc w:val="center"/>
              <w:ind w:left="479"/>
              <w:spacing w:after="0"/>
              <w:rPr>
                <w:sz w:val="20"/>
                <w:szCs w:val="20"/>
                <w:color w:val="auto"/>
              </w:rPr>
            </w:pPr>
            <w:r>
              <w:rPr>
                <w:rFonts w:ascii="Arial" w:cs="Arial" w:eastAsia="Arial" w:hAnsi="Arial"/>
                <w:sz w:val="18"/>
                <w:szCs w:val="18"/>
                <w:color w:val="auto"/>
                <w:w w:val="84"/>
              </w:rPr>
              <w:t>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60 months</w:t>
            </w:r>
          </w:p>
        </w:tc>
        <w:tc>
          <w:tcPr>
            <w:tcW w:w="5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60 months</w:t>
            </w:r>
          </w:p>
        </w:tc>
        <w:tc>
          <w:tcPr>
            <w:tcW w:w="5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5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60 months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4%</w:t>
            </w:r>
          </w:p>
        </w:tc>
        <w:tc>
          <w:tcPr>
            <w:tcW w:w="1360" w:type="dxa"/>
            <w:vAlign w:val="bottom"/>
            <w:gridSpan w:val="2"/>
            <w:shd w:val="clear" w:color="auto" w:fill="CCEEFF"/>
          </w:tcPr>
          <w:p>
            <w:pPr>
              <w:jc w:val="center"/>
              <w:ind w:left="477"/>
              <w:spacing w:after="0"/>
              <w:rPr>
                <w:sz w:val="20"/>
                <w:szCs w:val="20"/>
                <w:color w:val="auto"/>
              </w:rPr>
            </w:pPr>
            <w:r>
              <w:rPr>
                <w:rFonts w:ascii="Arial" w:cs="Arial" w:eastAsia="Arial" w:hAnsi="Arial"/>
                <w:sz w:val="18"/>
                <w:szCs w:val="18"/>
                <w:color w:val="auto"/>
                <w:w w:val="92"/>
              </w:rPr>
              <w:t>4%</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gridSpan w:val="2"/>
            <w:shd w:val="clear" w:color="auto" w:fill="CCEEFF"/>
          </w:tcPr>
          <w:p>
            <w:pPr>
              <w:jc w:val="center"/>
              <w:ind w:left="479"/>
              <w:spacing w:after="0"/>
              <w:rPr>
                <w:sz w:val="20"/>
                <w:szCs w:val="20"/>
                <w:color w:val="auto"/>
              </w:rPr>
            </w:pPr>
            <w:r>
              <w:rPr>
                <w:rFonts w:ascii="Arial" w:cs="Arial" w:eastAsia="Arial" w:hAnsi="Arial"/>
                <w:sz w:val="18"/>
                <w:szCs w:val="18"/>
                <w:color w:val="auto"/>
                <w:w w:val="84"/>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Volatility</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360" w:type="dxa"/>
            <w:vAlign w:val="bottom"/>
            <w:gridSpan w:val="2"/>
          </w:tcPr>
          <w:p>
            <w:pPr>
              <w:jc w:val="center"/>
              <w:ind w:left="477"/>
              <w:spacing w:after="0"/>
              <w:rPr>
                <w:sz w:val="20"/>
                <w:szCs w:val="20"/>
                <w:color w:val="auto"/>
              </w:rPr>
            </w:pPr>
            <w:r>
              <w:rPr>
                <w:rFonts w:ascii="Arial" w:cs="Arial" w:eastAsia="Arial" w:hAnsi="Arial"/>
                <w:sz w:val="18"/>
                <w:szCs w:val="18"/>
                <w:color w:val="auto"/>
                <w:w w:val="88"/>
              </w:rPr>
              <w:t>50%</w:t>
            </w:r>
          </w:p>
        </w:tc>
        <w:tc>
          <w:tcPr>
            <w:tcW w:w="5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gridSpan w:val="2"/>
          </w:tcPr>
          <w:p>
            <w:pPr>
              <w:jc w:val="center"/>
              <w:ind w:left="459"/>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Certain options that are currently anti-dilutive may be dilutive in the future.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adopted SFAS No. 142 on January 1, 2002. SFAS No. 142 requires that goodwill and intangible assets with indefinite useful lives no longer be amortized. SFAS No. 142 requires an annual impairment test, or more frequently if impairment indicators arise, to determine impairment of goodwill.</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had recorded $46,008,087 of goodwill related to the 2001 Conseco acquisition. During the period from January 1, 2002 to November 14, 2002, the Company experienced a significant decline in revenue from Conseco and determined that the projections with respect to revenue and cash flows made at the time of the Conseco acquisition, including such determination made at December 31, 2001, could not be sustained. Accordingly, the Company made an assessment that the entire goodwill balance was impaired and recorded an impairment charge related to goodwill of $46,008,087.</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xml:space="preserve"> which eliminated the exception for nonmonetary exchanges of similar productive assets and replaces it with a general exception for exchanges of nonmonetary assets that do not have commercial substance. SFAS No. 153 will be effective for nonmonetary asset exchanges occurring in fiscal periods beginning after June 15, 2005. The Company does not believe the adoption of SFAS No. 153 will have a material impact on its consolidated financial position, results of operations or cash flows.</w:t>
      </w:r>
    </w:p>
    <w:p>
      <w:pPr>
        <w:spacing w:after="0" w:line="9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establishes standards for transactions in which an entity exchanges its equity for goods or services. This standard requires a public entity to measure the cost of employee services received in exchange for an award of equity instruments based on the grant-date fair value of the award. This eliminates the exception to account for such awards using the intrinsic method previously allowable under APB Opinion No. 25. SFAS 123(R) will be effective for fiscal years beginning after June 15,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SFAS 123(R) permits public companies to adopt its requirements using one of the following two methods:</w:t>
      </w:r>
    </w:p>
    <w:p>
      <w:pPr>
        <w:spacing w:after="0" w:line="77" w:lineRule="exact"/>
        <w:rPr>
          <w:sz w:val="20"/>
          <w:szCs w:val="20"/>
          <w:color w:val="auto"/>
        </w:rPr>
      </w:pPr>
    </w:p>
    <w:p>
      <w:pPr>
        <w:ind w:left="460" w:right="280" w:firstLine="443"/>
        <w:spacing w:after="0" w:line="306" w:lineRule="auto"/>
        <w:tabs>
          <w:tab w:leader="none" w:pos="1074"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“modified prospective” method in which compensation cost is recognized beginning with the effective date (a) based on the requirements of SFAS 123(R) for all share based payments granted after the effective date and (b) based on the requirements of SFAS 123(R) for all awards granted to employees prior to the effective date of SFAS 123(R) that remain unvested on the effective date.</w:t>
      </w:r>
    </w:p>
    <w:p>
      <w:pPr>
        <w:spacing w:after="0" w:line="12" w:lineRule="exact"/>
        <w:rPr>
          <w:rFonts w:ascii="Arial" w:cs="Arial" w:eastAsia="Arial" w:hAnsi="Arial"/>
          <w:sz w:val="16"/>
          <w:szCs w:val="16"/>
          <w:color w:val="auto"/>
        </w:rPr>
      </w:pPr>
    </w:p>
    <w:p>
      <w:pPr>
        <w:ind w:left="460" w:firstLine="443"/>
        <w:spacing w:after="0" w:line="259" w:lineRule="auto"/>
        <w:tabs>
          <w:tab w:leader="none" w:pos="107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“modified retrospective” method which includes the requirements of the modified prospective method described above, but also permits entities to restate based on the amounts previously recognized under SFAS 123 for purposes of pro forma disclosures either (a) all periods presented or (b) prior interim periods of the year of adoption.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plans to adopt SFAS 123(R) using the modified prospective method.</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permitted by SFAS No. 123, the Company currently accounts for share-based payments to employees using APB Opinion 25’s intrinsic value method and, as such, generally recognizes no compensation cost for employee stock options. Accordingly, the adoption of SFAS 123(R)’s fair value method will have a significant impact on its results of operations, although it will have no impact on its overall financial position. The impact of the adoption of SFAS 123(R) cannot be predicted at this time because it will depend on levels of share-based payments granted in the future. However, had the Company adopted SFAS 123(R) in prior periods, the impact of that standard would have approximated the impact of SFAS 123(R) as described in the disclosure of pro forma net income (loss) and earnings (loss) per share in Note 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determined what impact SFAS 123(R) might have on the nature of its share-based compensation to employees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Current restricted time deposits of Exl India represent amounts on deposit with banks against letters of credit and bank guarantees issued by the Company for equipment imports amounting to $195,299 that mature on various dates in 2005.</w:t>
      </w:r>
    </w:p>
    <w:p>
      <w:pPr>
        <w:spacing w:after="0" w:line="2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Non-current restricted time deposits represent guarantees against custom and excise bonding issued through banks amounting to $36,384 that mature between 2006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3160" w:type="dxa"/>
            <w:vAlign w:val="bottom"/>
            <w:gridSpan w:val="2"/>
          </w:tcPr>
          <w:p>
            <w:pPr>
              <w:jc w:val="center"/>
              <w:ind w:left="2436"/>
              <w:spacing w:after="0"/>
              <w:rPr>
                <w:sz w:val="20"/>
                <w:szCs w:val="20"/>
                <w:color w:val="auto"/>
              </w:rPr>
            </w:pPr>
            <w:r>
              <w:rPr>
                <w:rFonts w:ascii="Arial" w:cs="Arial" w:eastAsia="Arial" w:hAnsi="Arial"/>
                <w:sz w:val="14"/>
                <w:szCs w:val="14"/>
                <w:b w:val="1"/>
                <w:bCs w:val="1"/>
                <w:color w:val="auto"/>
                <w:w w:val="89"/>
              </w:rPr>
              <w:t>Useful Life</w:t>
            </w:r>
          </w:p>
        </w:tc>
        <w:tc>
          <w:tcPr>
            <w:tcW w:w="14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3160" w:type="dxa"/>
            <w:vAlign w:val="bottom"/>
            <w:gridSpan w:val="2"/>
            <w:shd w:val="clear" w:color="auto" w:fill="CCEEFF"/>
          </w:tcPr>
          <w:p>
            <w:pPr>
              <w:jc w:val="center"/>
              <w:ind w:left="2436"/>
              <w:spacing w:after="0"/>
              <w:rPr>
                <w:sz w:val="20"/>
                <w:szCs w:val="20"/>
                <w:color w:val="auto"/>
              </w:rPr>
            </w:pPr>
            <w:r>
              <w:rPr>
                <w:rFonts w:ascii="Arial" w:cs="Arial" w:eastAsia="Arial" w:hAnsi="Arial"/>
                <w:sz w:val="18"/>
                <w:szCs w:val="18"/>
                <w:color w:val="auto"/>
                <w:w w:val="79"/>
              </w:rPr>
              <w:t>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$10,449,806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60" w:type="dxa"/>
            <w:vAlign w:val="bottom"/>
            <w:gridSpan w:val="2"/>
          </w:tcPr>
          <w:p>
            <w:pPr>
              <w:jc w:val="center"/>
              <w:ind w:left="2436"/>
              <w:spacing w:after="0"/>
              <w:rPr>
                <w:sz w:val="20"/>
                <w:szCs w:val="20"/>
                <w:color w:val="auto"/>
              </w:rPr>
            </w:pPr>
            <w:r>
              <w:rPr>
                <w:rFonts w:ascii="Arial" w:cs="Arial" w:eastAsia="Arial" w:hAnsi="Arial"/>
                <w:sz w:val="18"/>
                <w:szCs w:val="18"/>
                <w:color w:val="auto"/>
                <w:w w:val="92"/>
              </w:rPr>
              <w:t>3-5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3,634,048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160" w:type="dxa"/>
            <w:vAlign w:val="bottom"/>
            <w:gridSpan w:val="2"/>
            <w:shd w:val="clear" w:color="auto" w:fill="CCEEFF"/>
          </w:tcPr>
          <w:p>
            <w:pPr>
              <w:jc w:val="center"/>
              <w:ind w:left="2436"/>
              <w:spacing w:after="0"/>
              <w:rPr>
                <w:sz w:val="20"/>
                <w:szCs w:val="20"/>
                <w:color w:val="auto"/>
              </w:rPr>
            </w:pPr>
            <w:r>
              <w:rPr>
                <w:rFonts w:ascii="Arial" w:cs="Arial" w:eastAsia="Arial" w:hAnsi="Arial"/>
                <w:sz w:val="18"/>
                <w:szCs w:val="18"/>
                <w:color w:val="auto"/>
                <w:w w:val="92"/>
              </w:rPr>
              <w:t>3-5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1,887,046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Motor vehicles</w:t>
            </w:r>
          </w:p>
        </w:tc>
        <w:tc>
          <w:tcPr>
            <w:tcW w:w="3160" w:type="dxa"/>
            <w:vAlign w:val="bottom"/>
            <w:gridSpan w:val="2"/>
          </w:tcPr>
          <w:p>
            <w:pPr>
              <w:jc w:val="center"/>
              <w:ind w:left="2436"/>
              <w:spacing w:after="0"/>
              <w:rPr>
                <w:sz w:val="20"/>
                <w:szCs w:val="20"/>
                <w:color w:val="auto"/>
              </w:rPr>
            </w:pPr>
            <w:r>
              <w:rPr>
                <w:rFonts w:ascii="Arial" w:cs="Arial" w:eastAsia="Arial" w:hAnsi="Arial"/>
                <w:sz w:val="18"/>
                <w:szCs w:val="18"/>
                <w:color w:val="auto"/>
                <w:w w:val="79"/>
              </w:rPr>
              <w:t>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789,761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2,595,106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19,355,767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5,649,161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8"/>
                <w:szCs w:val="18"/>
                <w:color w:val="auto"/>
              </w:rPr>
              <w:t>(4,467,665)</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(435,241)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$14,888,102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$5,213,920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3160" w:type="dxa"/>
            <w:vAlign w:val="bottom"/>
            <w:gridSpan w:val="2"/>
            <w:vMerge w:val="restart"/>
          </w:tcPr>
          <w:p>
            <w:pPr>
              <w:ind w:left="780"/>
              <w:spacing w:after="0"/>
              <w:rPr>
                <w:sz w:val="20"/>
                <w:szCs w:val="20"/>
                <w:color w:val="auto"/>
              </w:rPr>
            </w:pPr>
            <w:r>
              <w:rPr>
                <w:rFonts w:ascii="Arial" w:cs="Arial" w:eastAsia="Arial" w:hAnsi="Arial"/>
                <w:sz w:val="18"/>
                <w:szCs w:val="18"/>
                <w:color w:val="auto"/>
              </w:rPr>
              <w:t>F-16</w:t>
            </w:r>
          </w:p>
        </w:tc>
        <w:tc>
          <w:tcPr>
            <w:tcW w:w="6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2004 is $789,761 and $166,661, respectively, and at December 31, 2003 it is $84,950 and $28,469,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December 13, 2002, certain new investors and members of the management team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w:t>
      </w:r>
    </w:p>
    <w:p>
      <w:pPr>
        <w:spacing w:after="0" w:line="13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The effective interest rate during the years ended December 31, 2004 and 2003 was 4.08 % and 4.11% per annum, respectively. Accrued interest at December 31, 2004 and 2003 included in senior long-term debt on the balance sheet is $431,417 and $221,307, respectively. The Company redeemed debt, including accrued interest, amounting to $13,239 during 2004.</w:t>
      </w:r>
    </w:p>
    <w:p>
      <w:pPr>
        <w:spacing w:after="0" w:line="12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Deferred financing costs, totaling $300,000, are included in other assets and are being amortized to interest expense through the maturity date of the senior long-term debt. For the years ended December 31, 2004 and 2003, amortization of deferred financing costs amounted to $60,000 and $67,500,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2004 amounted to $1,066,919.</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Mandatory redemption events include (i) breach in any material respect of warranties and representations made by Conseco under the stock purchase agreement dated November 14, 2002, (ii) any material adverse change in the condition, financial or otherwise, business, properties, assets, results of operations or prospects of the Company or any of its subsidiaries, and (iii) if either or both Vikram Talwar or Rohit Kapoor resign from or are terminated or are otherwise no longer employed by the Company or any of its subsidiaries for any reason. Further, if Exl Holdings defaults on any debt or other obligation, automatic redemption of the redeemable preferred stock would be triggered. Although the redemption events are conditional on the events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occurring, mandatory redemption event (iii) is certain to occur and therefore upon adoption of SFAS No. 150, the Company classified the redeemable preferred stock as a liability. Upon the occurrence of a liquidity event, as defined, the vesting of certain preferred stock granted in connection with employment agreements is accelerated.</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This standard requires, among other things, that any of various financial instruments that are issued in the form of shares that are mandatorily redeemable on a fixed or determinable date be classified as liabilities, any dividends paid on the underlying shares be treated as interest expense, and issuance costs should be deferred and amortized using the interest method. SFAS No. 150 is effective for all financial instruments created or modified after May 31, 2003, and otherwise effective at the beginning of the first interim period beginning after June 15, 2003 (July 1, 2003 for the Company). As required by SFAS No. 150, accrued and unpaid dividends in fiscal years prior to adoption of SFAS No. 150 have not been reclassified to interest expense. Such amount, totaling $223,131 for the six months ended June 30, 2003, is included in dividends and accretion on preferred stock in the consolidated statements of operations. Effective July 1, 2003, dividends on the redeemable preferred stock have been classified as interest expense. For the years ended December 31, 2004 and 2003, the Company has recorded $538,409 and $249,470, respectively, of redeemable preferred stock dividends as interest expense.</w:t>
      </w:r>
    </w:p>
    <w:p>
      <w:pPr>
        <w:spacing w:after="0" w:line="10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Redeemable preferred stock issuance costs of $300,000 are included in other assets and are being amortized over a period of five years. Amortization of issuance costs totaling $35,000 for the six months ended June 30, 2003 is recorded as dividends and accretions on preferred stock. Effective July 1, 2003, amortization of issuance costs has been classified as interest expense. For the year ended December 31, 2004 and 2003, amortization of issuance costs, included in interest expense—redeemable preferred stock, amounted to $60,000 and $32,500, respectively.</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redeemable preferred stock is carried at the amount of cash that would be paid under the respective agreement if the shares were repurchased or redeemed at the reporting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redeemed and retired preferred stock amounting to $13,709 during 2004.</w:t>
      </w:r>
    </w:p>
    <w:p>
      <w:pPr>
        <w:spacing w:after="0" w:line="152" w:lineRule="exact"/>
        <w:rPr>
          <w:sz w:val="20"/>
          <w:szCs w:val="20"/>
          <w:color w:val="auto"/>
        </w:rPr>
      </w:pPr>
    </w:p>
    <w:p>
      <w:pPr>
        <w:ind w:left="240" w:right="9920" w:hanging="232"/>
        <w:spacing w:after="0" w:line="373" w:lineRule="auto"/>
        <w:tabs>
          <w:tab w:leader="none" w:pos="187"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Prior to the occurrence of a conversion event, as defined, the Series B common stock will be converted into Series A common stock initially at a ratio of 1:1. Among other things, a conversion event includes the consummation of a sale of common stock in a public offering, as defined.</w:t>
      </w:r>
    </w:p>
    <w:p>
      <w:pPr>
        <w:spacing w:after="0" w:line="7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July 2004, NUI Investment Limited, a significant client, purchased 526,316 shares of Series A common stock for $12,500,000. Net proceeds to the Company were $12,462,627.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Liabilities with regard to the Gratuity Plan are determined by actuarial valuation. Current service costs for the Gratuity Plan are accrued in the year to which they relate.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financial statements at the end of the relevant periods: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7"/>
          </w:tcPr>
          <w:p>
            <w:pPr>
              <w:ind w:left="4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1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6"/>
          </w:tcPr>
          <w:p>
            <w:pPr>
              <w:jc w:val="center"/>
              <w:ind w:left="114"/>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Benefit obligation at the beginning of the period</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$188,595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$132,019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140,394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94,226</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cost</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10,938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(48,914)</w:t>
            </w:r>
          </w:p>
        </w:tc>
        <w:tc>
          <w:tcPr>
            <w:tcW w:w="200" w:type="dxa"/>
            <w:vAlign w:val="bottom"/>
            <w:shd w:val="clear" w:color="auto" w:fill="CCEEFF"/>
          </w:tcPr>
          <w:p>
            <w:pPr>
              <w:spacing w:after="0"/>
              <w:rPr>
                <w:sz w:val="18"/>
                <w:szCs w:val="18"/>
                <w:color w:val="auto"/>
              </w:rPr>
            </w:pPr>
          </w:p>
        </w:tc>
        <w:tc>
          <w:tcPr>
            <w:tcW w:w="9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(15,578)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Actuarial (gain) loss</w:t>
            </w:r>
          </w:p>
        </w:tc>
        <w:tc>
          <w:tcPr>
            <w:tcW w:w="90" w:type="dxa"/>
            <w:vAlign w:val="bottom"/>
          </w:tcPr>
          <w:p>
            <w:pPr>
              <w:spacing w:after="0"/>
              <w:rPr>
                <w:sz w:val="18"/>
                <w:szCs w:val="18"/>
                <w:color w:val="auto"/>
              </w:rPr>
            </w:pPr>
          </w:p>
        </w:tc>
        <w:tc>
          <w:tcPr>
            <w:tcW w:w="71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7"/>
          </w:tcPr>
          <w:p>
            <w:pPr>
              <w:jc w:val="right"/>
              <w:ind w:right="20"/>
              <w:spacing w:after="0"/>
              <w:rPr>
                <w:sz w:val="20"/>
                <w:szCs w:val="20"/>
                <w:color w:val="auto"/>
              </w:rPr>
            </w:pPr>
            <w:r>
              <w:rPr>
                <w:rFonts w:ascii="Arial" w:cs="Arial" w:eastAsia="Arial" w:hAnsi="Arial"/>
                <w:sz w:val="18"/>
                <w:szCs w:val="18"/>
                <w:color w:val="auto"/>
              </w:rPr>
              <w:t>(40,749)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12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period</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$395,454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$395,454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$336,763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$188,595</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$336,763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$ 66,962</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spacing w:after="0"/>
              <w:rPr>
                <w:sz w:val="9"/>
                <w:szCs w:val="9"/>
                <w:color w:val="auto"/>
              </w:rPr>
            </w:pP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5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gratuity cost includes the following components:</w:t>
            </w: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80" w:type="dxa"/>
            <w:vAlign w:val="bottom"/>
            <w:gridSpan w:val="2"/>
            <w:vMerge w:val="continue"/>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November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Year ended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240" w:type="dxa"/>
            <w:vAlign w:val="bottom"/>
            <w:gridSpan w:val="5"/>
          </w:tcPr>
          <w:p>
            <w:pPr>
              <w:jc w:val="right"/>
              <w:ind w:right="97"/>
              <w:spacing w:after="0" w:line="149" w:lineRule="exact"/>
              <w:rPr>
                <w:sz w:val="20"/>
                <w:szCs w:val="20"/>
                <w:color w:val="auto"/>
              </w:rPr>
            </w:pPr>
            <w:r>
              <w:rPr>
                <w:rFonts w:ascii="Arial" w:cs="Arial" w:eastAsia="Arial" w:hAnsi="Arial"/>
                <w:sz w:val="14"/>
                <w:szCs w:val="14"/>
                <w:b w:val="1"/>
                <w:bCs w:val="1"/>
                <w:color w:val="auto"/>
              </w:rPr>
              <w:t>15, 2002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1, 2002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360" w:type="dxa"/>
            <w:vAlign w:val="bottom"/>
          </w:tcPr>
          <w:p>
            <w:pPr>
              <w:spacing w:after="0"/>
              <w:rPr>
                <w:sz w:val="12"/>
                <w:szCs w:val="12"/>
                <w:color w:val="auto"/>
              </w:rPr>
            </w:pPr>
          </w:p>
        </w:tc>
        <w:tc>
          <w:tcPr>
            <w:tcW w:w="114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to 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 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97"/>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71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8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2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center"/>
              <w:ind w:left="394"/>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9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9,517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(40,749)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(13,785)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gridSpan w:val="2"/>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3"/>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1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168,771</w:t>
            </w:r>
          </w:p>
        </w:tc>
        <w:tc>
          <w:tcPr>
            <w:tcW w:w="8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11,421</w:t>
            </w:r>
          </w:p>
        </w:tc>
        <w:tc>
          <w:tcPr>
            <w:tcW w:w="600" w:type="dxa"/>
            <w:vAlign w:val="bottom"/>
            <w:gridSpan w:val="4"/>
            <w:shd w:val="clear" w:color="auto" w:fill="CCEEFF"/>
          </w:tcPr>
          <w:p>
            <w:pPr>
              <w:jc w:val="center"/>
              <w:ind w:left="394"/>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-3168015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-3168015</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-3168015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-3168015</wp:posOffset>
            </wp:positionV>
            <wp:extent cx="4584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-2867660</wp:posOffset>
            </wp:positionV>
            <wp:extent cx="118745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8745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-2567940</wp:posOffset>
            </wp:positionV>
            <wp:extent cx="4584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-2567940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-2567940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-2567940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-2267585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-2267585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-2267585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-2267585</wp:posOffset>
            </wp:positionV>
            <wp:extent cx="4584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-1967230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-1967230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-1967230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-1967230</wp:posOffset>
            </wp:positionV>
            <wp:extent cx="45847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59563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63881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pacing w:after="0" w:line="22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2004 and 2003, for the above calculations, a discount rate of 8% has been assumed and salaries are assumed to increase at the rate of 7% and 8% per annum, respectively.</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2003, the Company established the Exl 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$29,569 and $6,457 in 2004 and 2003, respectively.</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$ 603,323</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5420" w:type="dxa"/>
            <w:vAlign w:val="bottom"/>
          </w:tcPr>
          <w:p>
            <w:pPr>
              <w:jc w:val="right"/>
              <w:spacing w:after="0"/>
              <w:rPr>
                <w:sz w:val="20"/>
                <w:szCs w:val="20"/>
                <w:color w:val="auto"/>
              </w:rPr>
            </w:pPr>
            <w:r>
              <w:rPr>
                <w:rFonts w:ascii="Arial" w:cs="Arial" w:eastAsia="Arial" w:hAnsi="Arial"/>
                <w:sz w:val="18"/>
                <w:szCs w:val="18"/>
                <w:color w:val="auto"/>
              </w:rPr>
              <w:t>393,587</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November 15, 2002 to December 31, 2002</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w:t>
            </w: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January 1, 2002 to November 14, 2002</w:t>
            </w:r>
          </w:p>
        </w:tc>
        <w:tc>
          <w:tcPr>
            <w:tcW w:w="5420" w:type="dxa"/>
            <w:vAlign w:val="bottom"/>
          </w:tcPr>
          <w:p>
            <w:pPr>
              <w:jc w:val="right"/>
              <w:spacing w:after="0"/>
              <w:rPr>
                <w:sz w:val="20"/>
                <w:szCs w:val="20"/>
                <w:color w:val="auto"/>
              </w:rPr>
            </w:pPr>
            <w:r>
              <w:rPr>
                <w:rFonts w:ascii="Arial" w:cs="Arial" w:eastAsia="Arial" w:hAnsi="Arial"/>
                <w:sz w:val="18"/>
                <w:szCs w:val="18"/>
                <w:color w:val="auto"/>
              </w:rPr>
              <w:t>336,929</w:t>
            </w:r>
          </w:p>
        </w:tc>
      </w:tr>
      <w:tr>
        <w:trPr>
          <w:trHeight w:val="35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20" w:type="dxa"/>
            <w:vAlign w:val="bottom"/>
          </w:tcPr>
          <w:p>
            <w:pPr>
              <w:jc w:val="right"/>
              <w:ind w:right="4312"/>
              <w:spacing w:after="0"/>
              <w:rPr>
                <w:sz w:val="20"/>
                <w:szCs w:val="20"/>
                <w:color w:val="auto"/>
              </w:rPr>
            </w:pPr>
            <w:r>
              <w:rPr>
                <w:rFonts w:ascii="Arial" w:cs="Arial" w:eastAsia="Arial" w:hAnsi="Arial"/>
                <w:sz w:val="18"/>
                <w:szCs w:val="18"/>
                <w:color w:val="auto"/>
              </w:rPr>
              <w:t>F-19</w:t>
            </w: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 to 12.5%. Future minimum lease payments under these capital leases at December 31, 2004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 December 31:</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2005</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2006</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242,305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2007</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204,390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689,000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114,445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574,555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178,880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395,675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is conducting its operations using facilities, office furniture and certain equipment under non-cancelable operating lease agreements that expire at various dates through the year 2009.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 December 31:</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jc w:val="right"/>
              <w:ind w:right="4412"/>
              <w:spacing w:after="0"/>
              <w:rPr>
                <w:sz w:val="20"/>
                <w:szCs w:val="20"/>
                <w:color w:val="auto"/>
              </w:rPr>
            </w:pPr>
            <w:r>
              <w:rPr>
                <w:rFonts w:ascii="Arial" w:cs="Arial" w:eastAsia="Arial" w:hAnsi="Arial"/>
                <w:sz w:val="18"/>
                <w:szCs w:val="18"/>
                <w:color w:val="auto"/>
              </w:rPr>
              <w:t>2005</w:t>
            </w:r>
          </w:p>
        </w:tc>
        <w:tc>
          <w:tcPr>
            <w:tcW w:w="3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jc w:val="right"/>
              <w:ind w:right="4412"/>
              <w:spacing w:after="0"/>
              <w:rPr>
                <w:sz w:val="20"/>
                <w:szCs w:val="20"/>
                <w:color w:val="auto"/>
              </w:rPr>
            </w:pPr>
            <w:r>
              <w:rPr>
                <w:rFonts w:ascii="Arial" w:cs="Arial" w:eastAsia="Arial" w:hAnsi="Arial"/>
                <w:sz w:val="18"/>
                <w:szCs w:val="18"/>
                <w:color w:val="auto"/>
              </w:rPr>
              <w:t>2006</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jc w:val="right"/>
              <w:ind w:right="4412"/>
              <w:spacing w:after="0"/>
              <w:rPr>
                <w:sz w:val="20"/>
                <w:szCs w:val="20"/>
                <w:color w:val="auto"/>
              </w:rPr>
            </w:pPr>
            <w:r>
              <w:rPr>
                <w:rFonts w:ascii="Arial" w:cs="Arial" w:eastAsia="Arial" w:hAnsi="Arial"/>
                <w:sz w:val="18"/>
                <w:szCs w:val="18"/>
                <w:color w:val="auto"/>
              </w:rPr>
              <w:t>2007</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158,746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jc w:val="right"/>
              <w:ind w:right="4412"/>
              <w:spacing w:after="0"/>
              <w:rPr>
                <w:sz w:val="20"/>
                <w:szCs w:val="20"/>
                <w:color w:val="auto"/>
              </w:rPr>
            </w:pPr>
            <w:r>
              <w:rPr>
                <w:rFonts w:ascii="Arial" w:cs="Arial" w:eastAsia="Arial" w:hAnsi="Arial"/>
                <w:sz w:val="18"/>
                <w:szCs w:val="18"/>
                <w:color w:val="auto"/>
              </w:rPr>
              <w:t>2008</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169,192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jc w:val="right"/>
              <w:ind w:right="4412"/>
              <w:spacing w:after="0"/>
              <w:rPr>
                <w:sz w:val="20"/>
                <w:szCs w:val="20"/>
                <w:color w:val="auto"/>
              </w:rPr>
            </w:pPr>
            <w:r>
              <w:rPr>
                <w:rFonts w:ascii="Arial" w:cs="Arial" w:eastAsia="Arial" w:hAnsi="Arial"/>
                <w:sz w:val="18"/>
                <w:szCs w:val="18"/>
                <w:color w:val="auto"/>
              </w:rPr>
              <w:t>2009</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181,035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917,089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Rent expense under operating leases was $1,646,367, $817,400, $90,802, and $700,004 for the years ended December 31, 2004 and 2003, the period from November 15, 2002 through December 31, 2002 and the period from January 1, 2002 through November 14, 2002,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fiscal year under the Indian Income Tax Act ends on March 31. A substantial portion of the Company’s Indian operations qualify for deduction from taxable income because its profits are attributable to undertakings situated in Export Processing Zones. This deduction is available for a period of ten consecutive years beginning from the year in which the respective undertaking commenced commercial operations. Accordingly, Exl India and NCOP can benefit from this deduction for the years ended March 31, 1999 through March 31, 2009. This deduction shall terminate if the Company ceases to be an undertaking situated in Export Processing Zones.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 in depreciation rates of fixed assets and provision for gratuity and vacation pay which are allowable on a cash basis under the Indian Income Tax Act.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and extraordinary item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Period from</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November 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28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2002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2002 to</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11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4"/>
          </w:tcPr>
          <w:p>
            <w:pPr>
              <w:ind w:left="36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2002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267,044</w:t>
            </w:r>
          </w:p>
        </w:tc>
        <w:tc>
          <w:tcPr>
            <w:tcW w:w="3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 (2,009,204)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(1,543,597)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(48,866,042)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5,134,836</w:t>
            </w:r>
          </w:p>
        </w:tc>
        <w:tc>
          <w:tcPr>
            <w:tcW w:w="3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2,021,448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639,149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1,694,178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5,401,880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(904,448)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9"/>
              </w:rPr>
              <w:t>(47,171,864)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vMerge w:val="restart"/>
          </w:tcPr>
          <w:p>
            <w:pPr>
              <w:ind w:left="460"/>
              <w:spacing w:after="0"/>
              <w:rPr>
                <w:sz w:val="20"/>
                <w:szCs w:val="20"/>
                <w:color w:val="auto"/>
              </w:rPr>
            </w:pPr>
            <w:r>
              <w:rPr>
                <w:rFonts w:ascii="Arial" w:cs="Arial" w:eastAsia="Arial" w:hAnsi="Arial"/>
                <w:sz w:val="18"/>
                <w:szCs w:val="18"/>
                <w:color w:val="auto"/>
              </w:rPr>
              <w:t>The provision for income taxes consists of the following:</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1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7"/>
              </w:rPr>
              <w:t>November 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2002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2002 to</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November</w:t>
            </w: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jc w:val="center"/>
              <w:ind w:left="5"/>
              <w:spacing w:after="0"/>
              <w:rPr>
                <w:sz w:val="20"/>
                <w:szCs w:val="20"/>
                <w:color w:val="auto"/>
              </w:rPr>
            </w:pPr>
            <w:r>
              <w:rPr>
                <w:rFonts w:ascii="Arial" w:cs="Arial" w:eastAsia="Arial" w:hAnsi="Arial"/>
                <w:sz w:val="14"/>
                <w:szCs w:val="14"/>
                <w:b w:val="1"/>
                <w:bCs w:val="1"/>
                <w:color w:val="auto"/>
                <w:w w:val="83"/>
              </w:rPr>
              <w:t>2003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14, 2002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51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Domestic</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69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Deferred benefit: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(101,063)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gridSpan w:val="3"/>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1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9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-2576195</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-2576195</wp:posOffset>
            </wp:positionV>
            <wp:extent cx="319405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9405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53594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domestic income tax provision in 2004 primarily includes $50,000 related to U.S. Federal alternative minimum taxes (“AMT”).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net deferred income tax assets and liabilities are as follows: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916,000</w:t>
            </w:r>
          </w:p>
        </w:tc>
        <w:tc>
          <w:tcPr>
            <w:tcW w:w="3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AMT credit carryforward</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Accounts receivable allowances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2,079,000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exchange gain</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Valuation allowance</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(1,744,000)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(2,099,000)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57848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2004, the Company has U.S. Federal net operating loss carryforwards for U.S. Federal income tax purposes of approximately $2,100,000 expiring in years 2022 through 2024 and has AMT tax credit carryforwards of approximately $750,000. In addition, the Company has foreign net operating loss carryforwards of approximately $1,130,000 expiring within the tax holiday period.</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foreign operations that will reverse after the tax holiday period has expired. The Company believes that it is more likely than not that these deferred tax assets will be realized.</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has provided a valuation allowance for deferred tax assets that the Company believes it is more likely than not that they will not be realized or that reverse or expire within the tax holiday period. The valuation allowance (decreased) increased by ($355,000), $1,436,000 and $663,000 for the years ended December 31, 2004 and 2003 and the period from November 15, 2002 through December 31, 2002, respectively.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tax rate differs from the amount computed by applying the U.S. Federal statutory rate to income (loss) before income taxes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November 15,</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2002 to</w:t>
            </w: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2002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Expected tax (provision) benefit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1,891,000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(317,000)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(16,510,000)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(355,000)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(1,743,000)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(638,000)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(217,000)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(137,000)</w:t>
            </w: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(123,000)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preferred stock dividend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Non-deductible goodwill impairment</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16,103,000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Foreign taxes withheld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57848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3873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Pre-Predecessor Stock Option</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acquisition of the Company by Conseco as discussed in Note 1, each of the Company’s stock options which was outstanding at July 31, 2001 pursuant to the 2000 Plan was converted to an option to purchase a number of shares of Conseco common stock as determined in the Agreement and Plan of Merger by multiplying (i) the number of shares of common stock subject to the Company’s options immediately prior to July 31, 2001 by (ii) the exchange ratio. The conversion of the Company’s options to Conseco’s options was recorded by the Company based on their fair value. In addition, as part of the push down accounting discussed in Note 1, the Company recorded deferred compensation of $1,015,361 based on the intrinsic value of the options that remained unvested. Compensation expense pushed down to the Company based on the intrinsic value of these options was $308,110 for the period from January 1, 2002 through November 14, 2002.</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Predecessor Options</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Conseco issued stock options to purchase its common stock to the Company’s employee’s subsequent to the Company’s acquisition by Conseco. A total of 190,000 options were granted in the period from August 1, 2001 to December 31, 2001, at an exercise price equivalent to the market price of Conseco’s common stock at the date of the grant. There were no options granted by Conseco for the period from January 1, 2002 through November 14, 2002.</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selling its equity ownership in Exl Inc in November 2002, Conseco and Exl Inc agreed to pay a cash bonus of $1,050,000 to all the eligible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employees, the amount being determined based on performance evaluation and employee grades and payable only if the employee was still in service at July 31,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2003. The Company recorded $437,500 as compensation expense in 2002 and the balance of $612,500 was recorded as part of prepaid expenses at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2002. The bonus payable of $1,050,000 was placed in a trust account by the Company.</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2003, the Company recorded $342,500 of compensation expense. The remaining balance of $270,000 pertaining to employees who left Exl Inc prior to July 31, 2003 was returned to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and as amended, the Company instituted a plan under which it may award options to employees, officers, directors, advisory board and consultants to purchase up to 726,316 shares of its Series B common stock. The options vest over a four-year period. The vested options must be exercised within ten years after the vesting date or they will expire.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Plan is shown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Number of</w:t>
            </w:r>
          </w:p>
        </w:tc>
        <w:tc>
          <w:tcPr>
            <w:tcW w:w="2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1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5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1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404,600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(58,325)</w:t>
            </w:r>
          </w:p>
        </w:tc>
        <w:tc>
          <w:tcPr>
            <w:tcW w:w="2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346,275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257,100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(64,831)</w:t>
            </w:r>
          </w:p>
        </w:tc>
        <w:tc>
          <w:tcPr>
            <w:tcW w:w="2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(73,120)</w:t>
            </w:r>
          </w:p>
        </w:tc>
        <w:tc>
          <w:tcPr>
            <w:tcW w:w="2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1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51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 w:type="dxa"/>
            <w:vAlign w:val="bottom"/>
          </w:tcPr>
          <w:p>
            <w:pPr>
              <w:spacing w:after="0"/>
              <w:rPr>
                <w:sz w:val="8"/>
                <w:szCs w:val="8"/>
                <w:color w:val="auto"/>
              </w:rPr>
            </w:pPr>
          </w:p>
        </w:tc>
        <w:tc>
          <w:tcPr>
            <w:tcW w:w="51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465,424</w:t>
            </w:r>
          </w:p>
        </w:tc>
        <w:tc>
          <w:tcPr>
            <w:tcW w:w="320" w:type="dxa"/>
            <w:vAlign w:val="bottom"/>
            <w:shd w:val="clear" w:color="auto" w:fill="CCEEFF"/>
          </w:tcPr>
          <w:p>
            <w:pPr>
              <w:spacing w:after="0"/>
              <w:rPr>
                <w:sz w:val="18"/>
                <w:szCs w:val="18"/>
                <w:color w:val="auto"/>
              </w:rPr>
            </w:pPr>
          </w:p>
        </w:tc>
        <w:tc>
          <w:tcPr>
            <w:tcW w:w="35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75,662</w:t>
            </w:r>
          </w:p>
        </w:tc>
        <w:tc>
          <w:tcPr>
            <w:tcW w:w="320" w:type="dxa"/>
            <w:vAlign w:val="bottom"/>
            <w:shd w:val="clear" w:color="auto" w:fill="CCEEFF"/>
          </w:tcPr>
          <w:p>
            <w:pPr>
              <w:spacing w:after="0"/>
              <w:rPr>
                <w:sz w:val="18"/>
                <w:szCs w:val="18"/>
                <w:color w:val="auto"/>
              </w:rPr>
            </w:pPr>
          </w:p>
        </w:tc>
        <w:tc>
          <w:tcPr>
            <w:tcW w:w="35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51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 w:type="dxa"/>
            <w:vAlign w:val="bottom"/>
          </w:tcPr>
          <w:p>
            <w:pPr>
              <w:spacing w:after="0"/>
              <w:rPr>
                <w:sz w:val="9"/>
                <w:szCs w:val="9"/>
                <w:color w:val="auto"/>
              </w:rPr>
            </w:pPr>
          </w:p>
        </w:tc>
        <w:tc>
          <w:tcPr>
            <w:tcW w:w="5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196,061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51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-629285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-629285</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-629285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-629285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-329565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-329565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-329565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weighted-average fair value of options issued under the Plan during 2004 and 2003 was $9.26 and $0.59, respectively, and the weighted-average remaining contractual life of options outstanding and exercisable at December 31, 2004 and 2003 was 8.89 years and 9.34 years, respectively.</w:t>
      </w:r>
    </w:p>
    <w:p>
      <w:pPr>
        <w:spacing w:after="0" w:line="7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options granted to employees in 2004 and 2003, the Company recorded $423,775 and $165,409, respectively in deferred compensation, representing the difference between the exercise price of the options on the date of grant and the fair value of the Company’s common stock. Deferred compensation is amortized over the vesting period of the related options. For the year ended December 31, 2004 and 2003, the Company amortized and recorded $104,665 and $10,405 respectively, as compensation expense.</w:t>
      </w:r>
    </w:p>
    <w:p>
      <w:pPr>
        <w:spacing w:after="0" w:line="13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December 2003, the Company granted an employee options to purchase 20,000 shares of Series B common stock at an exercise of $5.00 per share outside the Plan. These options vest immediately and expire ten years from the date of grant. For the year ended December 31, 2003, the Company recorded $12,600 as compensation expense.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twelve month period ended December 31, 2004, the Company granted stock options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Deemed Fair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3"/>
              </w:rPr>
              <w:t>Exercise</w:t>
            </w:r>
          </w:p>
        </w:tc>
        <w:tc>
          <w:tcPr>
            <w:tcW w:w="80" w:type="dxa"/>
            <w:vAlign w:val="bottom"/>
          </w:tcPr>
          <w:p>
            <w:pPr>
              <w:spacing w:after="0"/>
              <w:rPr>
                <w:sz w:val="12"/>
                <w:szCs w:val="12"/>
                <w:color w:val="auto"/>
              </w:rPr>
            </w:pPr>
          </w:p>
        </w:tc>
        <w:tc>
          <w:tcPr>
            <w:tcW w:w="6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7"/>
              </w:rPr>
              <w:t>Value Per</w:t>
            </w:r>
          </w:p>
        </w:tc>
        <w:tc>
          <w:tcPr>
            <w:tcW w:w="70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74"/>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16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Options Granted</w:t>
            </w:r>
          </w:p>
        </w:tc>
        <w:tc>
          <w:tcPr>
            <w:tcW w:w="12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Price</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Per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$ 7.50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April 13, 2004</w:t>
            </w:r>
          </w:p>
        </w:tc>
        <w:tc>
          <w:tcPr>
            <w:tcW w:w="1000" w:type="dxa"/>
            <w:vAlign w:val="bottom"/>
          </w:tcPr>
          <w:p>
            <w:pPr>
              <w:jc w:val="right"/>
              <w:spacing w:after="0"/>
              <w:rPr>
                <w:sz w:val="20"/>
                <w:szCs w:val="20"/>
                <w:color w:val="auto"/>
              </w:rPr>
            </w:pPr>
            <w:r>
              <w:rPr>
                <w:rFonts w:ascii="Arial" w:cs="Arial" w:eastAsia="Arial" w:hAnsi="Arial"/>
                <w:sz w:val="18"/>
                <w:szCs w:val="18"/>
                <w:color w:val="auto"/>
              </w:rPr>
              <w:t>34,100</w:t>
            </w:r>
          </w:p>
        </w:tc>
        <w:tc>
          <w:tcPr>
            <w:tcW w:w="6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 2004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June 18, 2004</w:t>
            </w:r>
          </w:p>
        </w:tc>
        <w:tc>
          <w:tcPr>
            <w:tcW w:w="1000" w:type="dxa"/>
            <w:vAlign w:val="bottom"/>
          </w:tcPr>
          <w:p>
            <w:pPr>
              <w:jc w:val="right"/>
              <w:spacing w:after="0"/>
              <w:rPr>
                <w:sz w:val="20"/>
                <w:szCs w:val="20"/>
                <w:color w:val="auto"/>
              </w:rPr>
            </w:pPr>
            <w:r>
              <w:rPr>
                <w:rFonts w:ascii="Arial" w:cs="Arial" w:eastAsia="Arial" w:hAnsi="Arial"/>
                <w:sz w:val="18"/>
                <w:szCs w:val="18"/>
                <w:color w:val="auto"/>
              </w:rPr>
              <w:t>51,500</w:t>
            </w:r>
          </w:p>
        </w:tc>
        <w:tc>
          <w:tcPr>
            <w:tcW w:w="6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2004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6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December 18, 2004</w:t>
            </w:r>
          </w:p>
        </w:tc>
        <w:tc>
          <w:tcPr>
            <w:tcW w:w="1000" w:type="dxa"/>
            <w:vAlign w:val="bottom"/>
          </w:tcPr>
          <w:p>
            <w:pPr>
              <w:jc w:val="right"/>
              <w:spacing w:after="0"/>
              <w:rPr>
                <w:sz w:val="20"/>
                <w:szCs w:val="20"/>
                <w:color w:val="auto"/>
              </w:rPr>
            </w:pPr>
            <w:r>
              <w:rPr>
                <w:rFonts w:ascii="Arial" w:cs="Arial" w:eastAsia="Arial" w:hAnsi="Arial"/>
                <w:sz w:val="18"/>
                <w:szCs w:val="18"/>
                <w:color w:val="auto"/>
              </w:rPr>
              <w:t>13,000</w:t>
            </w:r>
          </w:p>
        </w:tc>
        <w:tc>
          <w:tcPr>
            <w:tcW w:w="68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23.75</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257,100</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The deemed fair value of the common stock for accounting purposes was based on contemporaneous valuations performed by management as adjusted for the cash sales price of common stock in 2004. Management considered a number of factors in determining the deemed fair value per share including:</w:t>
      </w:r>
    </w:p>
    <w:p>
      <w:pPr>
        <w:spacing w:after="0" w:line="1"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Key Company milestones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Comparable company and industry analysis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Third party common stock investments and the impact of those investments on different classes of common stock value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Anticipated initial public offering price per share and the timing of the initial public offering</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Series B Common Stock</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During the period from November 15, 2002 through December 31,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year ended December 31, 2004 and 2003 and the period from November 15, 2002 through December 31, 2002, the Company amortized and recorded compensation expense of $101,420, $101,420 and $12,288,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2003, the Company also granted to members of its advisory board options to purchase 10,000 shares of Series B common stock at an exercise price of $0.24 per share under the Plan. These options vest over a period of four years and expire ten years from the vesting date. Using the Black-Scholes valuation model, the fair value of these options at December 31, 2004 was determined to be $235,400. For the years ended December 31, 2004 and 2003, the Company recorded $61,494 and $1,750, respectively, as compensation expense. The fair value and related compensation expense will be remeasured for the unvested portion of these options at the end of each reporting period until such options are fully vested.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Client Options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year ended December 31, 2004 was approximately $299,000.</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63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40" w:type="dxa"/>
            <w:vAlign w:val="bottom"/>
            <w:shd w:val="clear" w:color="auto" w:fill="CCEEFF"/>
          </w:tcPr>
          <w:p>
            <w:pPr>
              <w:jc w:val="center"/>
              <w:ind w:left="213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Life</w:t>
            </w:r>
          </w:p>
        </w:tc>
        <w:tc>
          <w:tcPr>
            <w:tcW w:w="2740" w:type="dxa"/>
            <w:vAlign w:val="bottom"/>
          </w:tcPr>
          <w:p>
            <w:pPr>
              <w:ind w:left="2240"/>
              <w:spacing w:after="0"/>
              <w:rPr>
                <w:sz w:val="20"/>
                <w:szCs w:val="20"/>
                <w:color w:val="auto"/>
              </w:rPr>
            </w:pPr>
            <w:r>
              <w:rPr>
                <w:rFonts w:ascii="Arial" w:cs="Arial" w:eastAsia="Arial" w:hAnsi="Arial"/>
                <w:sz w:val="18"/>
                <w:szCs w:val="18"/>
                <w:color w:val="auto"/>
                <w:w w:val="81"/>
              </w:rPr>
              <w:t>5 years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2740" w:type="dxa"/>
            <w:vAlign w:val="bottom"/>
            <w:shd w:val="clear" w:color="auto" w:fill="CCEEFF"/>
          </w:tcPr>
          <w:p>
            <w:pPr>
              <w:jc w:val="center"/>
              <w:ind w:left="2132"/>
              <w:spacing w:after="0"/>
              <w:rPr>
                <w:sz w:val="20"/>
                <w:szCs w:val="20"/>
                <w:color w:val="auto"/>
              </w:rPr>
            </w:pPr>
            <w:r>
              <w:rPr>
                <w:rFonts w:ascii="Arial" w:cs="Arial" w:eastAsia="Arial" w:hAnsi="Arial"/>
                <w:sz w:val="18"/>
                <w:szCs w:val="18"/>
                <w:color w:val="auto"/>
                <w:w w:val="87"/>
              </w:rPr>
              <w:t>$23.75</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740" w:type="dxa"/>
            <w:vAlign w:val="bottom"/>
          </w:tcPr>
          <w:p>
            <w:pPr>
              <w:jc w:val="center"/>
              <w:ind w:left="213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740" w:type="dxa"/>
            <w:vAlign w:val="bottom"/>
            <w:shd w:val="clear" w:color="auto" w:fill="CCEEFF"/>
          </w:tcPr>
          <w:p>
            <w:pPr>
              <w:jc w:val="center"/>
              <w:ind w:left="213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received services in India for employee training by a company controlled by a stockholder. This company is one of the many companies rendering such services to Exl India. The Company recorded expenses related to these services of $223,458, $192,944 and $14,128 for the year ended December 31, 2004 and 2003 and for the period from November 15, 2002 through December 31, 2002, respectively. At December 31, 2004 and 2003, the Company had a balance payable of $3,459 and $23,210, respectively, related to these services.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received services in India for catering of meals by a company controlled by a stockholder. The Company recorded expenses related to these services of $31,658 for the year ended December 31, 2003. There is no amount payable at December 31, 2003 related to these services. The services of this company were terminated during 2003.</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entered into employment and non-competition agreements with management in November 2002. The initial term of these agreements is three years and the Company has the option to extend the term for two additional one-year periods. These agreements include a base salary of $300,000 with an annual increase over the period payable to these individuals, a bonus amount and an additional incentive bonus amount as well as certain other fringe benefits. Under the employment and non-competition agreements, the vesting of senior management’s portion of senior debt and the preferred stock accelerate upon a liquidity event, as defined. In addition,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0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Senior long-term debt of $325,000 with a five-year life issued to certain officers is being amortized over a three year period consistent with the preferred stock issued to such officers. For each of the years ended December 31, 2004 and 2003, the Company has recorded compensation expense of $108,660.</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each of the years ended December 31, 2004 and 2003, the Company paid a management fee of $200,000 to certain investors.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00"/>
          </w:cols>
          <w:pgMar w:left="24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3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November 15,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3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4"/>
              </w:rPr>
              <w:t>Year 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6"/>
              </w:rPr>
              <w:t>2002 to</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6"/>
              </w:rPr>
              <w:t>2002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93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61"/>
              <w:spacing w:after="0" w:line="149" w:lineRule="exact"/>
              <w:rPr>
                <w:sz w:val="20"/>
                <w:szCs w:val="20"/>
                <w:color w:val="auto"/>
              </w:rPr>
            </w:pPr>
            <w:r>
              <w:rPr>
                <w:rFonts w:ascii="Arial" w:cs="Arial" w:eastAsia="Arial" w:hAnsi="Arial"/>
                <w:sz w:val="14"/>
                <w:szCs w:val="14"/>
                <w:b w:val="1"/>
                <w:bCs w:val="1"/>
                <w:color w:val="auto"/>
                <w:w w:val="87"/>
              </w:rPr>
              <w:t>November 14,</w:t>
            </w:r>
          </w:p>
        </w:tc>
        <w:tc>
          <w:tcPr>
            <w:tcW w:w="0" w:type="dxa"/>
            <w:vAlign w:val="bottom"/>
          </w:tcPr>
          <w:p>
            <w:pPr>
              <w:spacing w:after="0"/>
              <w:rPr>
                <w:sz w:val="1"/>
                <w:szCs w:val="1"/>
                <w:color w:val="auto"/>
              </w:rPr>
            </w:pPr>
          </w:p>
        </w:tc>
      </w:tr>
      <w:tr>
        <w:trPr>
          <w:trHeight w:val="174"/>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w w:val="83"/>
              </w:rPr>
              <w:t>2003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w w:val="83"/>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6"/>
          </w:tcPr>
          <w:p>
            <w:pPr>
              <w:jc w:val="right"/>
              <w:spacing w:after="0"/>
              <w:rPr>
                <w:sz w:val="20"/>
                <w:szCs w:val="20"/>
                <w:color w:val="auto"/>
              </w:rPr>
            </w:pPr>
            <w:r>
              <w:rPr>
                <w:rFonts w:ascii="Arial" w:cs="Arial" w:eastAsia="Arial" w:hAnsi="Arial"/>
                <w:sz w:val="14"/>
                <w:szCs w:val="14"/>
                <w:b w:val="1"/>
                <w:bCs w:val="1"/>
                <w:color w:val="auto"/>
              </w:rPr>
              <w:t>(Successor</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3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Basis)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3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28,832,232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15,927,472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3,359,772</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23,789,661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0"/>
              </w:rPr>
              <w:t>Untied Kingdom</w:t>
            </w:r>
          </w:p>
        </w:tc>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w w:val="99"/>
              </w:rPr>
              <w:t>31,634,414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11,843,887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3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60,466,646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27,771,359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3,359,772</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23,789,661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200" w:type="dxa"/>
            <w:vAlign w:val="bottom"/>
            <w:gridSpan w:val="3"/>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Fixed assets</w:t>
            </w:r>
          </w:p>
        </w:tc>
        <w:tc>
          <w:tcPr>
            <w:tcW w:w="3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93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ind w:right="30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975,813</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India</w:t>
            </w:r>
          </w:p>
        </w:tc>
        <w:tc>
          <w:tcPr>
            <w:tcW w:w="3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13,912,289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4,658,127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20" w:type="dxa"/>
            <w:vAlign w:val="bottom"/>
            <w:gridSpan w:val="4"/>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14,888,102</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5,213,920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3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-1323975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-1323975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-1323975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-1323975</wp:posOffset>
            </wp:positionV>
            <wp:extent cx="65595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-1323975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-1323975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-1323975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-1323975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-1323975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-1323975</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65595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520" w:hanging="232"/>
        <w:spacing w:after="0" w:line="398" w:lineRule="auto"/>
        <w:tabs>
          <w:tab w:leader="none" w:pos="275"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Assets Commitments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2004, the Company had committed to spend approximately $1,760,000 under agreements to purchase fixed assets. This amount is net of advances paid in respect of these purchases.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$104.9 million and $43.4 million, respectively, over a period of five years.</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the event of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80"/>
          </w:cols>
          <w:pgMar w:left="240" w:top="459" w:right="3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1130300</wp:posOffset>
            </wp:positionV>
            <wp:extent cx="11061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22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Arial" w:cs="Arial" w:eastAsia="Arial" w:hAnsi="Arial"/>
                <w:sz w:val="24"/>
                <w:szCs w:val="24"/>
                <w:b w:val="1"/>
                <w:bCs w:val="1"/>
                <w:color w:val="auto"/>
              </w:rPr>
              <w:t>Merrill Lynch &amp; Co.</w:t>
            </w:r>
          </w:p>
        </w:tc>
        <w:tc>
          <w:tcPr>
            <w:tcW w:w="62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276"/>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NASD fee</w:t>
            </w:r>
          </w:p>
        </w:tc>
        <w:tc>
          <w:tcPr>
            <w:tcW w:w="34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National Market listing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Transfer agent fees and expenses</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Total</w:t>
            </w:r>
          </w:p>
        </w:tc>
        <w:tc>
          <w:tcPr>
            <w:tcW w:w="3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2"/>
        </w:trPr>
        <w:tc>
          <w:tcPr>
            <w:tcW w:w="1180" w:type="dxa"/>
            <w:vAlign w:val="bottom"/>
            <w:tcBorders>
              <w:bottom w:val="single" w:sz="8" w:color="auto"/>
            </w:tcBorders>
            <w:gridSpan w:val="2"/>
          </w:tcPr>
          <w:p>
            <w:pPr>
              <w:spacing w:after="0"/>
              <w:rPr>
                <w:sz w:val="8"/>
                <w:szCs w:val="8"/>
                <w:color w:val="auto"/>
              </w:rPr>
            </w:pPr>
          </w:p>
        </w:tc>
        <w:tc>
          <w:tcPr>
            <w:tcW w:w="5620" w:type="dxa"/>
            <w:vAlign w:val="bottom"/>
          </w:tcPr>
          <w:p>
            <w:pPr>
              <w:spacing w:after="0"/>
              <w:rPr>
                <w:sz w:val="8"/>
                <w:szCs w:val="8"/>
                <w:color w:val="auto"/>
              </w:rPr>
            </w:pPr>
          </w:p>
        </w:tc>
        <w:tc>
          <w:tcPr>
            <w:tcW w:w="3480" w:type="dxa"/>
            <w:vAlign w:val="bottom"/>
          </w:tcPr>
          <w:p>
            <w:pPr>
              <w:spacing w:after="0"/>
              <w:rPr>
                <w:sz w:val="8"/>
                <w:szCs w:val="8"/>
                <w:color w:val="auto"/>
              </w:rPr>
            </w:pPr>
          </w:p>
        </w:tc>
      </w:tr>
      <w:tr>
        <w:trPr>
          <w:trHeight w:val="316"/>
        </w:trPr>
        <w:tc>
          <w:tcPr>
            <w:tcW w:w="680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3480" w:type="dxa"/>
            <w:vAlign w:val="bottom"/>
          </w:tcPr>
          <w:p>
            <w:pPr>
              <w:spacing w:after="0"/>
              <w:rPr>
                <w:sz w:val="24"/>
                <w:szCs w:val="24"/>
                <w:color w:val="auto"/>
              </w:rPr>
            </w:pPr>
          </w:p>
        </w:tc>
      </w:tr>
      <w:tr>
        <w:trPr>
          <w:trHeight w:val="365"/>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3480" w:type="dxa"/>
            <w:vAlign w:val="bottom"/>
          </w:tcPr>
          <w:p>
            <w:pPr>
              <w:spacing w:after="0"/>
              <w:rPr>
                <w:sz w:val="24"/>
                <w:szCs w:val="24"/>
                <w:color w:val="auto"/>
              </w:rPr>
            </w:pPr>
          </w:p>
        </w:tc>
      </w:tr>
    </w:tbl>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limit the personal liability of our directors to the fullest extent permitted by section 102 of the DGCL.</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of 1933 but only with respect to written information relating to such underwriter furnished to ExlService Holdings, Inc. by or on behalf of such underwriter specifically for inclusion in the documents referred to in the foregoing indemnity.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60" w:firstLine="464"/>
        <w:spacing w:after="0" w:line="256"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December 13, 2002, we issued and sold an aggregate of 7,555,462 shares of Series A common stock and 42,900 shares of Series A preferred stock to certain private equity investors and certain members of senior management, at an aggregate purchase price equal to $1,791,666.84 and $4,290,003.00, respectively. These transactions were effected without registration under the Securities Act in reliance on the exemption from registration provided under Section 4(2) promulgated thereunder.</w:t>
      </w:r>
    </w:p>
    <w:p>
      <w:pPr>
        <w:spacing w:after="0" w:line="129" w:lineRule="exact"/>
        <w:rPr>
          <w:rFonts w:ascii="Arial" w:cs="Arial" w:eastAsia="Arial" w:hAnsi="Arial"/>
          <w:sz w:val="18"/>
          <w:szCs w:val="18"/>
          <w:color w:val="auto"/>
        </w:rPr>
      </w:pPr>
    </w:p>
    <w:p>
      <w:pPr>
        <w:ind w:right="200" w:firstLine="464"/>
        <w:spacing w:after="0" w:line="335" w:lineRule="auto"/>
        <w:tabs>
          <w:tab w:leader="none" w:pos="705" w:val="left"/>
        </w:tabs>
        <w:numPr>
          <w:ilvl w:val="0"/>
          <w:numId w:val="71"/>
        </w:numPr>
        <w:rPr>
          <w:rFonts w:ascii="Arial" w:cs="Arial" w:eastAsia="Arial" w:hAnsi="Arial"/>
          <w:sz w:val="15"/>
          <w:szCs w:val="15"/>
          <w:color w:val="auto"/>
        </w:rPr>
      </w:pPr>
      <w:r>
        <w:rPr>
          <w:rFonts w:ascii="Arial" w:cs="Arial" w:eastAsia="Arial" w:hAnsi="Arial"/>
          <w:sz w:val="15"/>
          <w:szCs w:val="15"/>
          <w:color w:val="auto"/>
        </w:rPr>
        <w:t>On December 13, 2002, we issued and sold an aggregate of 2,000,000 shares of Series A common stock to certain members of senior management in connection with their employment agreements, at a purchase price of $0.23 per share or an aggregate price of $460,000. This transaction was effected without registration under the Securities Act in reliance on the exemption from registration provided under Section 4(2) or Regulation S promulgated thereunder.</w:t>
      </w:r>
    </w:p>
    <w:p>
      <w:pPr>
        <w:spacing w:after="0" w:line="74" w:lineRule="exact"/>
        <w:rPr>
          <w:rFonts w:ascii="Arial" w:cs="Arial" w:eastAsia="Arial" w:hAnsi="Arial"/>
          <w:sz w:val="15"/>
          <w:szCs w:val="15"/>
          <w:color w:val="auto"/>
        </w:rPr>
      </w:pPr>
    </w:p>
    <w:p>
      <w:pPr>
        <w:ind w:right="160" w:firstLine="464"/>
        <w:spacing w:after="0" w:line="298" w:lineRule="auto"/>
        <w:tabs>
          <w:tab w:leader="none" w:pos="6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On June 25, 2003, we issued and sold an aggregate of 444,538 shares of Series B common stock and 2,524 shares of Series A preferred stock at a purchase price of $0.23 per share of Series B common stock and $100.00 per share of Series A preferred stock or an aggregate purchase price of $354,653.70 to certain employees pursuant to incentive agreements with such employees. These transactions were effected without registration under the Securities Act in reliance on the exemption from registration provided under Section 4(2) or Regulation S promulgated thereunder.</w:t>
      </w:r>
    </w:p>
    <w:p>
      <w:pPr>
        <w:spacing w:after="0" w:line="99" w:lineRule="exact"/>
        <w:rPr>
          <w:rFonts w:ascii="Arial" w:cs="Arial" w:eastAsia="Arial" w:hAnsi="Arial"/>
          <w:sz w:val="16"/>
          <w:szCs w:val="16"/>
          <w:color w:val="auto"/>
        </w:rPr>
      </w:pPr>
    </w:p>
    <w:p>
      <w:pPr>
        <w:ind w:firstLine="464"/>
        <w:spacing w:after="0" w:line="268"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June 4, 2004, we issued and sold 20,000 shares of Series B common stock to an Executive Officer based in India pursuant to an incentive agreement with said Executive Officer at a purchase price of $5.00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share or an aggregate purchase price of $100,000. This transaction was effected without registration under the Securities Act in reliance on the exemption from registration provided under Regulation S promulgated thereunder.</w:t>
      </w:r>
    </w:p>
    <w:p>
      <w:pPr>
        <w:spacing w:after="0" w:line="118" w:lineRule="exact"/>
        <w:rPr>
          <w:sz w:val="20"/>
          <w:szCs w:val="20"/>
          <w:color w:val="auto"/>
        </w:rPr>
      </w:pPr>
    </w:p>
    <w:p>
      <w:pPr>
        <w:ind w:right="200" w:firstLine="464"/>
        <w:spacing w:after="0" w:line="259"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July 1, 2004, we granted options to purchase an aggregate of 115,100 shares of Series A common stock to Prudential Financial Inc., at an exercise price of $12.50 per share. This transaction was effected without registration under the Securities Act in reliance on the exemption from registration provided under Section 4(2) promulgated thereunder.</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July 22, 2004, we issued and sold an aggregate of 526,316 shares of Series A common stock to NUI Investments Limited, at a purchase price of</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$23.75 per share or an aggregate purchase price of $12,500,000.00. This transaction was effected without registration under the Securities Act in reliance on the exemption from registration provided under Section 4(2) promulgated thereunder.</w:t>
      </w:r>
    </w:p>
    <w:p>
      <w:pPr>
        <w:spacing w:after="0" w:line="124" w:lineRule="exact"/>
        <w:rPr>
          <w:sz w:val="20"/>
          <w:szCs w:val="20"/>
          <w:color w:val="auto"/>
        </w:rPr>
      </w:pPr>
    </w:p>
    <w:p>
      <w:pPr>
        <w:ind w:firstLine="464"/>
        <w:spacing w:after="0" w:line="291"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accordance with the terms of our certificate of incorporation and our existing stock option plan arrangements, immediately prior to the consummation of this offering, each share of our Series B common stock will be converted automatically into one share of our Series A common stock, and each option to purchase shares of our Series B common stock will be adjusted to become an option to purchase the same number of shares of our Series A common stock. These transactions will be effected without registration under the Securities Act At our request, the underwriters have reserved up to 5% of the shares of common stock offered in this offering for sale at the initial public offering price to persons who are our directors, officers, certain employees, friends and family members of these persons and certain clients and prospective clients, through a directed share program because such issuance did not represent a sale of securities.</w:t>
      </w:r>
    </w:p>
    <w:p>
      <w:pPr>
        <w:spacing w:after="0" w:line="106" w:lineRule="exact"/>
        <w:rPr>
          <w:rFonts w:ascii="Arial" w:cs="Arial" w:eastAsia="Arial" w:hAnsi="Arial"/>
          <w:sz w:val="16"/>
          <w:szCs w:val="16"/>
          <w:color w:val="auto"/>
        </w:rPr>
      </w:pPr>
    </w:p>
    <w:p>
      <w:pPr>
        <w:jc w:val="both"/>
        <w:ind w:right="120" w:firstLine="464"/>
        <w:spacing w:after="0" w:line="256"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issued options to purchase a total of 404,600 shares of Series B common stock in 2003 and 257,100 shares of Series B common stock in 2004 to employees, executive officers, members of our advisory board and directors of EXL India under our 2003 Stock Option Plan and 2003 India Employee Stock Option Plan, as described below. All of these issuances were effected without registration under the Securities Act in reliance on the exemption from registration provided pursuant to Rule 701 of the Securities Act.</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020" w:type="dxa"/>
            <w:vAlign w:val="bottom"/>
            <w:gridSpan w:val="4"/>
          </w:tcPr>
          <w:p>
            <w:pPr>
              <w:spacing w:after="0"/>
              <w:rPr>
                <w:sz w:val="20"/>
                <w:szCs w:val="20"/>
                <w:color w:val="auto"/>
              </w:rPr>
            </w:pPr>
            <w:r>
              <w:rPr>
                <w:rFonts w:ascii="Arial" w:cs="Arial" w:eastAsia="Arial" w:hAnsi="Arial"/>
                <w:sz w:val="14"/>
                <w:szCs w:val="14"/>
                <w:b w:val="1"/>
                <w:bCs w:val="1"/>
                <w:color w:val="auto"/>
              </w:rPr>
              <w:t>Date of Grant</w:t>
            </w:r>
          </w:p>
        </w:tc>
        <w:tc>
          <w:tcPr>
            <w:tcW w:w="4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Number of options</w:t>
            </w:r>
          </w:p>
        </w:tc>
        <w:tc>
          <w:tcPr>
            <w:tcW w:w="2020" w:type="dxa"/>
            <w:vAlign w:val="bottom"/>
            <w:gridSpan w:val="3"/>
          </w:tcPr>
          <w:p>
            <w:pPr>
              <w:ind w:left="1000"/>
              <w:spacing w:after="0"/>
              <w:rPr>
                <w:sz w:val="20"/>
                <w:szCs w:val="20"/>
                <w:color w:val="auto"/>
              </w:rPr>
            </w:pPr>
            <w:r>
              <w:rPr>
                <w:rFonts w:ascii="Arial" w:cs="Arial" w:eastAsia="Arial" w:hAnsi="Arial"/>
                <w:sz w:val="14"/>
                <w:szCs w:val="14"/>
                <w:b w:val="1"/>
                <w:bCs w:val="1"/>
                <w:color w:val="auto"/>
                <w:w w:val="89"/>
              </w:rPr>
              <w:t>Exercise price(1)</w:t>
            </w:r>
          </w:p>
        </w:tc>
        <w:tc>
          <w:tcPr>
            <w:tcW w:w="0" w:type="dxa"/>
            <w:vAlign w:val="bottom"/>
          </w:tcPr>
          <w:p>
            <w:pPr>
              <w:spacing w:after="0"/>
              <w:rPr>
                <w:sz w:val="1"/>
                <w:szCs w:val="1"/>
                <w:color w:val="auto"/>
              </w:rPr>
            </w:pPr>
          </w:p>
        </w:tc>
      </w:tr>
      <w:tr>
        <w:trPr>
          <w:trHeight w:val="95"/>
        </w:trPr>
        <w:tc>
          <w:tcPr>
            <w:tcW w:w="38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2003</w:t>
            </w: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30</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48,725</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April 30</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274,875</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8</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September 11</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9</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December 9</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26,000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2004</w:t>
            </w: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5</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April 13</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34,100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20</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June 18</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51,500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December 18</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31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2005</w:t>
            </w: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12</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March 4</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22,250</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2003, the options to purchase shares under the 2003 India Plan were granted at an exercise price of $0.23 per share, while the options to purchase shares under the 2003 Plan were granted at $0.24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exercised in 2003, and options to purchase 64,831 shares were exercised in 2004.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20" w:type="dxa"/>
            <w:vAlign w:val="bottom"/>
          </w:tcPr>
          <w:p>
            <w:pPr>
              <w:spacing w:after="0"/>
              <w:rPr>
                <w:sz w:val="14"/>
                <w:szCs w:val="14"/>
                <w:color w:val="auto"/>
              </w:rPr>
            </w:pPr>
          </w:p>
        </w:tc>
      </w:tr>
      <w:tr>
        <w:trPr>
          <w:trHeight w:val="174"/>
        </w:trPr>
        <w:tc>
          <w:tcPr>
            <w:tcW w:w="18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5"/>
                <w:szCs w:val="15"/>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120" w:type="dxa"/>
            <w:vAlign w:val="bottom"/>
          </w:tcPr>
          <w:p>
            <w:pPr>
              <w:spacing w:after="0"/>
              <w:rPr>
                <w:sz w:val="8"/>
                <w:szCs w:val="8"/>
                <w:color w:val="auto"/>
              </w:rPr>
            </w:pPr>
          </w:p>
        </w:tc>
      </w:tr>
      <w:tr>
        <w:trPr>
          <w:trHeight w:val="309"/>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Form of Registration Rights Agreement to be entered into by and among ExlService Holdings, Inc. and the stockholders named therein.</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10.1*</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Umbrella Agreement, dated as of August 26, 2004, by and among Norwich Union Customer Services (Singapore) Private Limited, ExlService</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10.2*</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dated as of July 29, 2004, by and between Norwich Union Customer Services (Singapore) Private</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10.3*</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Insurance Services Framework Agreement (ISFA), dated as of August 26, 2004, by and between Norwich Union Customer Services</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(Singapore) Private Limited and ExlService Holdings, Inc.</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10.4*</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Data Protection Agreement, dated as of July 29, 2004 by and among Norwich Union Customer Services (Singapore) Private Limited, Norwich</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10.5*</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Data Protection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and Noida Customer Operations Private Limited.</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10.6*</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Virtual Shareholders’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10.7*</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and Noida Customer Operations Private Limited.</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10.8*</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10.9*</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16"/>
        </w:trPr>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94"/>
              </w:rPr>
              <w:t>10.10**</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16"/>
        </w:trPr>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10.11**‡</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of Work, effective as of August 2, 2003, by and between ExlService.com Inc. and Dell Products L.P.</w:t>
            </w:r>
          </w:p>
        </w:tc>
      </w:tr>
      <w:tr>
        <w:trPr>
          <w:trHeight w:val="216"/>
        </w:trPr>
        <w:tc>
          <w:tcPr>
            <w:tcW w:w="800" w:type="dxa"/>
            <w:vAlign w:val="bottom"/>
            <w:gridSpan w:val="2"/>
          </w:tcPr>
          <w:p>
            <w:pPr>
              <w:jc w:val="right"/>
              <w:ind w:right="232"/>
              <w:spacing w:after="0"/>
              <w:rPr>
                <w:sz w:val="20"/>
                <w:szCs w:val="20"/>
                <w:color w:val="auto"/>
              </w:rPr>
            </w:pPr>
            <w:r>
              <w:rPr>
                <w:rFonts w:ascii="Arial" w:cs="Arial" w:eastAsia="Arial" w:hAnsi="Arial"/>
                <w:sz w:val="18"/>
                <w:szCs w:val="18"/>
                <w:color w:val="auto"/>
                <w:w w:val="92"/>
              </w:rPr>
              <w:t>10.12*</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16"/>
        </w:trPr>
        <w:tc>
          <w:tcPr>
            <w:tcW w:w="800" w:type="dxa"/>
            <w:vAlign w:val="bottom"/>
            <w:gridSpan w:val="2"/>
          </w:tcPr>
          <w:p>
            <w:pPr>
              <w:jc w:val="right"/>
              <w:ind w:right="232"/>
              <w:spacing w:after="0"/>
              <w:rPr>
                <w:sz w:val="20"/>
                <w:szCs w:val="20"/>
                <w:color w:val="auto"/>
              </w:rPr>
            </w:pPr>
            <w:r>
              <w:rPr>
                <w:rFonts w:ascii="Arial" w:cs="Arial" w:eastAsia="Arial" w:hAnsi="Arial"/>
                <w:sz w:val="18"/>
                <w:szCs w:val="18"/>
                <w:color w:val="auto"/>
                <w:w w:val="92"/>
              </w:rPr>
              <w:t>10.13*</w:t>
            </w: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Employment Contract, dated October 25, 2000, by and between ExlService India Private Limited and Lalit Vij.</w:t>
            </w:r>
          </w:p>
        </w:tc>
      </w:tr>
      <w:tr>
        <w:trPr>
          <w:trHeight w:val="222"/>
        </w:trPr>
        <w:tc>
          <w:tcPr>
            <w:tcW w:w="800" w:type="dxa"/>
            <w:vAlign w:val="bottom"/>
            <w:gridSpan w:val="2"/>
          </w:tcPr>
          <w:p>
            <w:pPr>
              <w:jc w:val="right"/>
              <w:ind w:right="232"/>
              <w:spacing w:after="0"/>
              <w:rPr>
                <w:sz w:val="20"/>
                <w:szCs w:val="20"/>
                <w:color w:val="auto"/>
              </w:rPr>
            </w:pPr>
            <w:r>
              <w:rPr>
                <w:rFonts w:ascii="Arial" w:cs="Arial" w:eastAsia="Arial" w:hAnsi="Arial"/>
                <w:sz w:val="18"/>
                <w:szCs w:val="18"/>
                <w:color w:val="auto"/>
                <w:w w:val="92"/>
              </w:rPr>
              <w:t>10.14*</w:t>
            </w: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Employment Contract, dated May 29, 2002, by and between ExlService.com (I) Pvt. Ltd and Deepak Dhawan.</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100" w:type="dxa"/>
            <w:vAlign w:val="bottom"/>
          </w:tcPr>
          <w:p>
            <w:pPr>
              <w:spacing w:after="0"/>
              <w:rPr>
                <w:sz w:val="14"/>
                <w:szCs w:val="14"/>
                <w:color w:val="auto"/>
              </w:rPr>
            </w:pPr>
          </w:p>
        </w:tc>
      </w:tr>
      <w:tr>
        <w:trPr>
          <w:trHeight w:val="174"/>
        </w:trPr>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4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100" w:type="dxa"/>
            <w:vAlign w:val="bottom"/>
          </w:tcPr>
          <w:p>
            <w:pPr>
              <w:spacing w:after="0"/>
              <w:rPr>
                <w:sz w:val="8"/>
                <w:szCs w:val="8"/>
                <w:color w:val="auto"/>
              </w:rPr>
            </w:pPr>
          </w:p>
        </w:tc>
      </w:tr>
      <w:tr>
        <w:trPr>
          <w:trHeight w:val="309"/>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July 31, 2002, by and between ExlService.com (I) Pvt. Ltd and Pavan Bagai.</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Rohit Kapoor.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ExlService Holdings, Inc. 2005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Award Agreement under 2005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India Employee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India Employee Stock Option Plan.</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16"/>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Member Fund, 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Consent of Luthra &amp; Luthra.</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540" w:type="dxa"/>
            <w:vAlign w:val="bottom"/>
            <w:gridSpan w:val="3"/>
          </w:tcPr>
          <w:p>
            <w:pPr>
              <w:ind w:left="540"/>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9020" w:firstLine="8"/>
        <w:spacing w:after="0" w:line="281" w:lineRule="auto"/>
        <w:tabs>
          <w:tab w:leader="none" w:pos="44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ind w:left="460" w:right="14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with respect to portions of this exhibit, and such confidential portions have been deleted and replaced with “*” and filed separately with the Commission pursuant to Rule 406 under the Securities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00" w:hanging="23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59"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6" w:lineRule="exact"/>
        <w:rPr>
          <w:rFonts w:ascii="Arial" w:cs="Arial" w:eastAsia="Arial" w:hAnsi="Arial"/>
          <w:sz w:val="18"/>
          <w:szCs w:val="18"/>
          <w:color w:val="auto"/>
        </w:rPr>
      </w:pPr>
    </w:p>
    <w:p>
      <w:pPr>
        <w:ind w:firstLine="464"/>
        <w:spacing w:after="0" w:line="290"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right="80" w:firstLine="464"/>
        <w:spacing w:after="0" w:line="268" w:lineRule="auto"/>
        <w:tabs>
          <w:tab w:leader="none" w:pos="69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00"/>
          </w:cols>
          <w:pgMar w:left="240" w:top="459" w:right="3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duly caused this Amendment No. 2 to registration statement on Form S-1 to be signed on its behalf by the undersigned, thereunto duly authorized, in the City of New York, State of New York, on April 15, 2005.</w:t>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2 to registration statement on Form S-1 has been signed on April 15, 2005, by the following persons in the capacities indicated.</w:t>
      </w:r>
    </w:p>
    <w:p>
      <w:pPr>
        <w:spacing w:after="0" w:line="114" w:lineRule="exact"/>
        <w:rPr>
          <w:sz w:val="20"/>
          <w:szCs w:val="20"/>
          <w:color w:val="auto"/>
        </w:rPr>
      </w:pPr>
    </w:p>
    <w:p>
      <w:pPr>
        <w:ind w:left="264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68580</wp:posOffset>
            </wp:positionV>
            <wp:extent cx="4800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68580</wp:posOffset>
            </wp:positionV>
            <wp:extent cx="231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4160" w:type="dxa"/>
            <w:vAlign w:val="bottom"/>
          </w:tcPr>
          <w:p>
            <w:pPr>
              <w:jc w:val="center"/>
              <w:ind w:left="763"/>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240" w:type="dxa"/>
            <w:vAlign w:val="bottom"/>
          </w:tcPr>
          <w:p>
            <w:pPr>
              <w:spacing w:after="0"/>
              <w:rPr>
                <w:sz w:val="19"/>
                <w:szCs w:val="19"/>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1"/>
              </w:rPr>
              <w:t>Chief Executive Officer and Director (Principal Executive Officer)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Arial" w:cs="Arial" w:eastAsia="Arial" w:hAnsi="Arial"/>
                <w:sz w:val="14"/>
                <w:szCs w:val="14"/>
                <w:b w:val="1"/>
                <w:bCs w:val="1"/>
                <w:color w:val="auto"/>
                <w:w w:val="92"/>
              </w:rPr>
              <w:t>Vikram Talwar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0"/>
              </w:rPr>
              <w:t>President, Chief Financial Officer and Director (Principal Financial</w:t>
            </w:r>
          </w:p>
        </w:tc>
        <w:tc>
          <w:tcPr>
            <w:tcW w:w="0" w:type="dxa"/>
            <w:vAlign w:val="bottom"/>
          </w:tcPr>
          <w:p>
            <w:pPr>
              <w:spacing w:after="0"/>
              <w:rPr>
                <w:sz w:val="1"/>
                <w:szCs w:val="1"/>
                <w:color w:val="auto"/>
              </w:rPr>
            </w:pPr>
          </w:p>
        </w:tc>
      </w:tr>
      <w:tr>
        <w:trPr>
          <w:trHeight w:val="116"/>
        </w:trPr>
        <w:tc>
          <w:tcPr>
            <w:tcW w:w="4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320" w:type="dxa"/>
            <w:vAlign w:val="bottom"/>
            <w:vMerge w:val="restart"/>
          </w:tcPr>
          <w:p>
            <w:pPr>
              <w:ind w:left="800"/>
              <w:spacing w:after="0"/>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86"/>
        </w:trPr>
        <w:tc>
          <w:tcPr>
            <w:tcW w:w="420" w:type="dxa"/>
            <w:vAlign w:val="bottom"/>
          </w:tcPr>
          <w:p>
            <w:pPr>
              <w:spacing w:after="0"/>
              <w:rPr>
                <w:sz w:val="7"/>
                <w:szCs w:val="7"/>
                <w:color w:val="auto"/>
              </w:rPr>
            </w:pPr>
          </w:p>
        </w:tc>
        <w:tc>
          <w:tcPr>
            <w:tcW w:w="4160" w:type="dxa"/>
            <w:vAlign w:val="bottom"/>
            <w:vMerge w:val="restart"/>
          </w:tcPr>
          <w:p>
            <w:pPr>
              <w:jc w:val="center"/>
              <w:ind w:left="763"/>
              <w:spacing w:after="0"/>
              <w:rPr>
                <w:sz w:val="20"/>
                <w:szCs w:val="20"/>
                <w:color w:val="auto"/>
              </w:rPr>
            </w:pPr>
            <w:r>
              <w:rPr>
                <w:rFonts w:ascii="Arial" w:cs="Arial" w:eastAsia="Arial" w:hAnsi="Arial"/>
                <w:sz w:val="14"/>
                <w:szCs w:val="14"/>
                <w:b w:val="1"/>
                <w:bCs w:val="1"/>
                <w:color w:val="auto"/>
                <w:w w:val="90"/>
              </w:rPr>
              <w:t>Rohit Kapoor</w:t>
            </w:r>
          </w:p>
        </w:tc>
        <w:tc>
          <w:tcPr>
            <w:tcW w:w="124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Arial" w:cs="Arial" w:eastAsia="Arial" w:hAnsi="Arial"/>
                <w:sz w:val="14"/>
                <w:szCs w:val="14"/>
                <w:b w:val="1"/>
                <w:bCs w:val="1"/>
                <w:color w:val="auto"/>
                <w:w w:val="87"/>
              </w:rPr>
              <w:t>Steven Gruber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Arial" w:cs="Arial" w:eastAsia="Arial" w:hAnsi="Arial"/>
                <w:sz w:val="14"/>
                <w:szCs w:val="14"/>
                <w:b w:val="1"/>
                <w:bCs w:val="1"/>
                <w:color w:val="auto"/>
                <w:w w:val="88"/>
              </w:rPr>
              <w:t>Bradford E. Bernstein</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4160" w:type="dxa"/>
            <w:vAlign w:val="bottom"/>
          </w:tcPr>
          <w:p>
            <w:pPr>
              <w:jc w:val="center"/>
              <w:ind w:left="763"/>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2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tcPr>
          <w:p>
            <w:pPr>
              <w:jc w:val="center"/>
              <w:ind w:left="763"/>
              <w:spacing w:after="0"/>
              <w:rPr>
                <w:sz w:val="20"/>
                <w:szCs w:val="20"/>
                <w:color w:val="auto"/>
              </w:rPr>
            </w:pPr>
            <w:r>
              <w:rPr>
                <w:rFonts w:ascii="Arial" w:cs="Arial" w:eastAsia="Arial" w:hAnsi="Arial"/>
                <w:sz w:val="14"/>
                <w:szCs w:val="14"/>
                <w:b w:val="1"/>
                <w:bCs w:val="1"/>
                <w:color w:val="auto"/>
                <w:w w:val="90"/>
              </w:rPr>
              <w:t>James C. Hale, III</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Pr>
          <w:p>
            <w:pPr>
              <w:jc w:val="center"/>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12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2"/>
              </w:rPr>
              <w:t>Vikram Talwar</w:t>
            </w:r>
          </w:p>
        </w:tc>
        <w:tc>
          <w:tcPr>
            <w:tcW w:w="1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88"/>
              </w:rPr>
              <w:t>Attorney-in-fact</w:t>
            </w:r>
          </w:p>
        </w:tc>
        <w:tc>
          <w:tcPr>
            <w:tcW w:w="12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560" w:type="dxa"/>
            <w:vAlign w:val="bottom"/>
            <w:gridSpan w:val="2"/>
          </w:tcPr>
          <w:p>
            <w:pPr>
              <w:ind w:left="100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120" w:type="dxa"/>
            <w:vAlign w:val="bottom"/>
          </w:tcPr>
          <w:p>
            <w:pPr>
              <w:jc w:val="center"/>
              <w:ind w:right="219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8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174"/>
        </w:trPr>
        <w:tc>
          <w:tcPr>
            <w:tcW w:w="18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spacing w:after="0"/>
              <w:rPr>
                <w:sz w:val="15"/>
                <w:szCs w:val="15"/>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120" w:type="dxa"/>
            <w:vAlign w:val="bottom"/>
          </w:tcPr>
          <w:p>
            <w:pPr>
              <w:spacing w:after="0"/>
              <w:rPr>
                <w:sz w:val="8"/>
                <w:szCs w:val="8"/>
                <w:color w:val="auto"/>
              </w:rPr>
            </w:pPr>
          </w:p>
        </w:tc>
      </w:tr>
      <w:tr>
        <w:trPr>
          <w:trHeight w:val="316"/>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Form of Registration Rights Agreement to be entered into by and among ExlService Holdings, Inc. and the stockholders named therein.</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Umbrella Agreement, dated as of August 26, 2004, by and among Norwich Union Customer Services (Singapore) Private Limited, ExlService</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10.2*</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Insurance Services Framework Agreement, dated as of July 29, 2004 by and between Norwich Union Customer Services (Singapore) Private</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10.3*</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Insurance Services Framework Agreement (ISFA), dated as of August 26, 2004, by and between Norwich Union Customer Services</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(Singapore) Private Limited and ExlService Holdings, Inc.</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10.4*</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Data Protection Agreement, dated as of July 29, 2004, by and among Norwich Union Customer Services (Singapore) Private Limited,</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Norwich Union Insurance Limited, ExlService Holdings, Inc. and ExlService.com (India) Private Limited.</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10.5*</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Data Protection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and Noida Customer Operations Private Limited.</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10.6*</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Virtual Shareholders’ Agreement, dated as of August 26, 2004, by and among Norwich Union Customer Services (Singapore) Private Limited,</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77"/>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10.7*</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and Noida Customer Operations Private Limited.</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10.8*</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84"/>
        </w:trPr>
        <w:tc>
          <w:tcPr>
            <w:tcW w:w="800" w:type="dxa"/>
            <w:vAlign w:val="bottom"/>
            <w:gridSpan w:val="2"/>
          </w:tcPr>
          <w:p>
            <w:pPr>
              <w:jc w:val="right"/>
              <w:ind w:right="332"/>
              <w:spacing w:after="0"/>
              <w:rPr>
                <w:sz w:val="20"/>
                <w:szCs w:val="20"/>
                <w:color w:val="auto"/>
              </w:rPr>
            </w:pPr>
            <w:r>
              <w:rPr>
                <w:rFonts w:ascii="Arial" w:cs="Arial" w:eastAsia="Arial" w:hAnsi="Arial"/>
                <w:sz w:val="18"/>
                <w:szCs w:val="18"/>
                <w:color w:val="auto"/>
                <w:w w:val="90"/>
              </w:rPr>
              <w:t>10.9*</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84"/>
        </w:trPr>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94"/>
              </w:rPr>
              <w:t>10.10**</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84"/>
        </w:trPr>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w w:val="92"/>
              </w:rPr>
              <w:t>10.11**‡</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of Work, effective as of August 2, 2003, by and between ExlService.com Inc. and Dell Products L.P.</w:t>
            </w:r>
          </w:p>
        </w:tc>
      </w:tr>
      <w:tr>
        <w:trPr>
          <w:trHeight w:val="277"/>
        </w:trPr>
        <w:tc>
          <w:tcPr>
            <w:tcW w:w="800" w:type="dxa"/>
            <w:vAlign w:val="bottom"/>
            <w:gridSpan w:val="2"/>
          </w:tcPr>
          <w:p>
            <w:pPr>
              <w:jc w:val="right"/>
              <w:ind w:right="232"/>
              <w:spacing w:after="0"/>
              <w:rPr>
                <w:sz w:val="20"/>
                <w:szCs w:val="20"/>
                <w:color w:val="auto"/>
              </w:rPr>
            </w:pPr>
            <w:r>
              <w:rPr>
                <w:rFonts w:ascii="Arial" w:cs="Arial" w:eastAsia="Arial" w:hAnsi="Arial"/>
                <w:sz w:val="18"/>
                <w:szCs w:val="18"/>
                <w:color w:val="auto"/>
                <w:w w:val="92"/>
              </w:rPr>
              <w:t>10.12*</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22"/>
        </w:trPr>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84"/>
        </w:trPr>
        <w:tc>
          <w:tcPr>
            <w:tcW w:w="800" w:type="dxa"/>
            <w:vAlign w:val="bottom"/>
            <w:gridSpan w:val="2"/>
          </w:tcPr>
          <w:p>
            <w:pPr>
              <w:jc w:val="right"/>
              <w:ind w:right="232"/>
              <w:spacing w:after="0"/>
              <w:rPr>
                <w:sz w:val="20"/>
                <w:szCs w:val="20"/>
                <w:color w:val="auto"/>
              </w:rPr>
            </w:pPr>
            <w:r>
              <w:rPr>
                <w:rFonts w:ascii="Arial" w:cs="Arial" w:eastAsia="Arial" w:hAnsi="Arial"/>
                <w:sz w:val="18"/>
                <w:szCs w:val="18"/>
                <w:color w:val="auto"/>
                <w:w w:val="92"/>
              </w:rPr>
              <w:t>10.13*</w:t>
            </w:r>
          </w:p>
        </w:tc>
        <w:tc>
          <w:tcPr>
            <w:tcW w:w="5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Employment Contract, dated October 25, 2000, by and between ExlService India Private Limited and Lalit Vij.</w:t>
            </w:r>
          </w:p>
        </w:tc>
      </w:tr>
      <w:tr>
        <w:trPr>
          <w:trHeight w:val="365"/>
        </w:trPr>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20" w:type="dxa"/>
            <w:vAlign w:val="bottom"/>
          </w:tcPr>
          <w:p>
            <w:pPr>
              <w:jc w:val="center"/>
              <w:ind w:right="2212"/>
              <w:spacing w:after="0"/>
              <w:rPr>
                <w:sz w:val="20"/>
                <w:szCs w:val="20"/>
                <w:color w:val="auto"/>
              </w:rPr>
            </w:pPr>
            <w:r>
              <w:rPr>
                <w:rFonts w:ascii="Arial" w:cs="Arial" w:eastAsia="Arial" w:hAnsi="Arial"/>
                <w:sz w:val="18"/>
                <w:szCs w:val="18"/>
                <w:color w:val="auto"/>
                <w:w w:val="99"/>
              </w:rPr>
              <w:t>II-8</w:t>
            </w: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80" w:type="dxa"/>
            <w:vAlign w:val="bottom"/>
          </w:tcPr>
          <w:p>
            <w:pPr>
              <w:spacing w:after="0"/>
              <w:rPr>
                <w:sz w:val="14"/>
                <w:szCs w:val="14"/>
                <w:color w:val="auto"/>
              </w:rPr>
            </w:pPr>
          </w:p>
        </w:tc>
      </w:tr>
      <w:tr>
        <w:trPr>
          <w:trHeight w:val="174"/>
        </w:trPr>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r>
      <w:tr>
        <w:trPr>
          <w:trHeight w:val="316"/>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May 29, 2002, by and between ExlService.com (I) Pvt. Ltd and Deepak Dhawan.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July 31, 2002, by and between ExlService.com (I) Pvt. Ltd and Pavan Bagai.</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ExlService.com (India) Private Limited and Rohit Kapoor.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ExlService Holdings, Inc. 2005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Award Agreement under 2005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ExlService Holdings, Inc. 2003 India Employee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Form of Stock Option Agreement under 2003 India Employee Stock Option Plan.</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87"/>
              </w:rPr>
              <w:t>Stock Purchase Agreement, dated as of November 14, 2002, by and among Oak Hill Capital Partners, L.P., Financial Technology Vetures (Q),</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22"/>
        </w:trPr>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Member Fund, 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Consent of Ernst &amp; Young LLP.</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Consent of Luthra &amp; Luthra.</w:t>
            </w:r>
          </w:p>
        </w:tc>
      </w:tr>
      <w:tr>
        <w:trPr>
          <w:trHeight w:val="28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52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8900" w:firstLine="8"/>
        <w:spacing w:after="0" w:line="281" w:lineRule="auto"/>
        <w:tabs>
          <w:tab w:leader="none" w:pos="44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ind w:left="460" w:right="2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with respect to portions of this exhibit, and such confidential portions have been deleted and replaced with “*” and filed separately with the Commission pursuant to Rule 406 under the Securities Act.</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240"/>
          </w:cols>
          <w:pgMar w:left="240" w:top="459" w:right="4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158" w:lineRule="exact"/>
        <w:rPr>
          <w:sz w:val="20"/>
          <w:szCs w:val="20"/>
          <w:color w:val="auto"/>
        </w:rPr>
      </w:pPr>
    </w:p>
    <w:p>
      <w:pPr>
        <w:jc w:val="both"/>
        <w:ind w:right="160"/>
        <w:spacing w:after="0"/>
        <w:rPr>
          <w:sz w:val="20"/>
          <w:szCs w:val="20"/>
          <w:color w:val="auto"/>
        </w:rPr>
      </w:pPr>
      <w:r>
        <w:rPr>
          <w:rFonts w:ascii="Arial" w:cs="Arial" w:eastAsia="Arial" w:hAnsi="Arial"/>
          <w:sz w:val="18"/>
          <w:szCs w:val="18"/>
          <w:b w:val="1"/>
          <w:bCs w:val="1"/>
          <w:color w:val="auto"/>
        </w:rPr>
        <w:t>This Master Agreement by and between ExlService Holdings, Inc. (“Provider”), a corporation registered in Delaware and located at 350 Park Avenue, 10</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 New York, NY 10022, and Dell Products L.P., a Texas limited partnership, located at One Dell Way, Round Rock, Texas 78682 is effective as of November 1, 2002, (“Effective Date”). This Master Agreement and any Schedules, Addenda, Exhibits, and Attachments, as so identified and agreed, shall be hereinafter collectively referred to as the “Agreement.”</w:t>
      </w:r>
    </w:p>
    <w:p>
      <w:pPr>
        <w:spacing w:after="0" w:line="5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jc w:val="both"/>
        <w:ind w:right="640"/>
        <w:spacing w:after="0" w:line="298" w:lineRule="auto"/>
        <w:rPr>
          <w:sz w:val="20"/>
          <w:szCs w:val="20"/>
          <w:color w:val="auto"/>
        </w:rPr>
      </w:pPr>
      <w:r>
        <w:rPr>
          <w:rFonts w:ascii="Arial" w:cs="Arial" w:eastAsia="Arial" w:hAnsi="Arial"/>
          <w:sz w:val="16"/>
          <w:szCs w:val="16"/>
          <w:color w:val="auto"/>
        </w:rPr>
        <w:t>This Agreement sets forth the terms and conditions under which Dell Products L.P. and Dell Computer Corporation’s (“DCC”) subsidiaries and affiliates (hereinafter collectively referred to as “Dell”) shall purchase products and/or services from Provider (the “Products”). For the purpose of this Agreement, Products include any software and/or documentation accompanying the sale of the Product, or any necessary deliverables provided in performance of the services. The terms and conditions of this Agreement shall apply to all purchase orders (Dell PO(s)”) issued by Dell for the purchase of Products.</w:t>
      </w:r>
    </w:p>
    <w:p>
      <w:pPr>
        <w:spacing w:after="0" w:line="9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initial term of this Agreement shall be three (3) years beginning on the Effective Date. This Agreement will automatically renew for additional successive one-year terms unless one party informs the other of its intent to let the Agreement expire one hundred and eighty (180) days before the end of the then-current term.</w:t>
      </w:r>
    </w:p>
    <w:p>
      <w:pPr>
        <w:spacing w:after="0" w:line="121"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3.1 Unless otherwise agreed in writing, all payments shall be stated (and payments made) in United States dollars and are exclusive of applicable sales, use or similar taxes for which Dell shall be obligated to pay Provider. Dell will have no liability for any taxes based on Provider’s net assets or income or for which Dell has an appropriate resale or other exemption. All invoices for Products provided to Dell will be accumulated, upon receipt, for a period from the 16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 month to the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following month (the “Accumulation Period”). Dell will pay invoices received during the Accumulation Period net 50 days from the end of such Accumulation Period (EOAP 50). No invoice can be dated prior to the date of Products reflected in such invoice is shipped to Dell. Provider agrees to invoice Dell within thirty (30) days after it has the right to invoice under the terms of this Agreement.</w:t>
      </w:r>
    </w:p>
    <w:p>
      <w:pPr>
        <w:spacing w:after="0" w:line="1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3.2 Provider acknowledges and agrees that Dell has the right to withhold any applicable taxes from any royalties or other payments due under this Agreement if required by any government authority.</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3.3 Provider represents and warrants that the prices for Products shall be not be less favorable than prices applicable to sales by Provider to any other customer purchasing like quantities of materially comparable products. If at any time during the term of this Agreement, Provider accords to any other such customer more favorable prices, Provider shall immediately offer to sell the Products to Dell at equivalent prices accorded to such other customer.</w:t>
      </w:r>
    </w:p>
    <w:p>
      <w:pPr>
        <w:spacing w:after="0" w:line="87"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Provider represents and warrants on an ongoing basis that:</w:t>
      </w:r>
    </w:p>
    <w:p>
      <w:pPr>
        <w:spacing w:after="0" w:line="158" w:lineRule="exact"/>
        <w:rPr>
          <w:sz w:val="20"/>
          <w:szCs w:val="20"/>
          <w:color w:val="auto"/>
        </w:rPr>
      </w:pPr>
    </w:p>
    <w:p>
      <w:pPr>
        <w:ind w:left="240" w:hanging="232"/>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Dell will acquire good and marketable title to the Products, and that all Products will be free and clear of all liens, claims, encumbrances and other restrictions;</w:t>
      </w:r>
    </w:p>
    <w:p>
      <w:pPr>
        <w:spacing w:after="0" w:line="180" w:lineRule="exact"/>
        <w:rPr>
          <w:rFonts w:ascii="Arial" w:cs="Arial" w:eastAsia="Arial" w:hAnsi="Arial"/>
          <w:sz w:val="16"/>
          <w:szCs w:val="16"/>
          <w:color w:val="auto"/>
        </w:rPr>
      </w:pPr>
    </w:p>
    <w:p>
      <w:pPr>
        <w:ind w:right="640" w:firstLine="8"/>
        <w:spacing w:after="0" w:line="268" w:lineRule="auto"/>
        <w:tabs>
          <w:tab w:leader="none" w:pos="24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all Products will be new and unused and shall not contain used or repaired parts unless requested by Dell in writing, in which case, such Products shall be clearly labeled as refurbished;</w:t>
      </w:r>
    </w:p>
    <w:p>
      <w:pPr>
        <w:spacing w:after="0" w:line="118" w:lineRule="exact"/>
        <w:rPr>
          <w:rFonts w:ascii="Arial" w:cs="Arial" w:eastAsia="Arial" w:hAnsi="Arial"/>
          <w:sz w:val="18"/>
          <w:szCs w:val="18"/>
          <w:color w:val="auto"/>
        </w:rPr>
      </w:pPr>
    </w:p>
    <w:p>
      <w:pPr>
        <w:jc w:val="both"/>
        <w:ind w:right="360" w:firstLine="8"/>
        <w:spacing w:after="0" w:line="259" w:lineRule="auto"/>
        <w:tabs>
          <w:tab w:leader="none" w:pos="2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Products will: (i) if applicable, be free from defects in design, materials and workmanship, including but not limited to, cosmetic defects, and (ii) will conform to Provider’s Product specifications and specifications provided by Dell; for thirty six (36) months from the date of delivery to Dell or, if applicable, performance of service.</w:t>
      </w:r>
    </w:p>
    <w:p>
      <w:pPr>
        <w:spacing w:after="0" w:line="126"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Services provided will be performed in good and workmanlike manner by a skilled and qualified staff in accordance with highest industry standards;</w:t>
      </w:r>
    </w:p>
    <w:p>
      <w:pPr>
        <w:spacing w:after="0" w:line="180" w:lineRule="exact"/>
        <w:rPr>
          <w:rFonts w:ascii="Arial" w:cs="Arial" w:eastAsia="Arial" w:hAnsi="Arial"/>
          <w:sz w:val="16"/>
          <w:szCs w:val="16"/>
          <w:color w:val="auto"/>
        </w:rPr>
      </w:pPr>
    </w:p>
    <w:p>
      <w:pPr>
        <w:ind w:left="240" w:hanging="232"/>
        <w:spacing w:after="0"/>
        <w:tabs>
          <w:tab w:leader="none" w:pos="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all the rights and licenses in the Products necessary to allow Dell to use the Products without restriction or additional charge;</w:t>
      </w:r>
    </w:p>
    <w:p>
      <w:pPr>
        <w:spacing w:after="0" w:line="157" w:lineRule="exact"/>
        <w:rPr>
          <w:rFonts w:ascii="Arial" w:cs="Arial" w:eastAsia="Arial" w:hAnsi="Arial"/>
          <w:sz w:val="18"/>
          <w:szCs w:val="18"/>
          <w:color w:val="auto"/>
        </w:rPr>
      </w:pPr>
    </w:p>
    <w:p>
      <w:pPr>
        <w:ind w:right="120" w:firstLine="8"/>
        <w:spacing w:after="0" w:line="332" w:lineRule="auto"/>
        <w:tabs>
          <w:tab w:leader="none" w:pos="21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Agreement (including without limitation the delivery of Products) does not violate any applicable law (including without limitation all applicable import or export regulations and all licensing or permitting requirements) or breach any other Agreement to which Provider is a party or bound.</w:t>
      </w:r>
    </w:p>
    <w:p>
      <w:pPr>
        <w:spacing w:after="0" w:line="6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5.1 Provider agrees to defend, indemnify, and hold harmless Dell and any of its subsidiaries or affiliates, and their respective directors, officers, employees, representatives, and agents (the “Indemnitees”) from and against any and all claims, actions, demands, legal proceedings, liabilities, damages, losses, judgments, authorized settlements, costs or expenses, including without limitation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attorneys’ fees, (the “Damages”) arising out of or in connection with any alleged or actual:</w:t>
      </w:r>
    </w:p>
    <w:p>
      <w:pPr>
        <w:spacing w:after="0" w:line="158"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infringement by Provider and/or a Product(s) of a copyright, patent, trademark, trade secret or other proprietary or intellectual property right of any third party;</w:t>
      </w:r>
    </w:p>
    <w:p>
      <w:pPr>
        <w:spacing w:after="0" w:line="180" w:lineRule="exact"/>
        <w:rPr>
          <w:rFonts w:ascii="Arial" w:cs="Arial" w:eastAsia="Arial" w:hAnsi="Arial"/>
          <w:sz w:val="16"/>
          <w:szCs w:val="16"/>
          <w:color w:val="auto"/>
        </w:rPr>
      </w:pPr>
    </w:p>
    <w:p>
      <w:pPr>
        <w:ind w:right="600" w:firstLine="8"/>
        <w:spacing w:after="0" w:line="268" w:lineRule="auto"/>
        <w:tabs>
          <w:tab w:leader="none" w:pos="2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claim that Provider and/or Product provided under this Agreement has caused bodily injury (including death) or has damaged real or tangible personal property;</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violation by Provider of any governmental laws, rules, ordinances, or regulations; and/or,</w:t>
      </w:r>
    </w:p>
    <w:p>
      <w:pPr>
        <w:spacing w:after="0" w:line="157" w:lineRule="exact"/>
        <w:rPr>
          <w:rFonts w:ascii="Arial" w:cs="Arial" w:eastAsia="Arial" w:hAnsi="Arial"/>
          <w:sz w:val="18"/>
          <w:szCs w:val="18"/>
          <w:color w:val="auto"/>
        </w:rPr>
      </w:pPr>
    </w:p>
    <w:p>
      <w:pPr>
        <w:ind w:left="300" w:hanging="292"/>
        <w:spacing w:after="0"/>
        <w:tabs>
          <w:tab w:leader="none" w:pos="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claim by or on behalf of Provider’s subcontractors, suppliers, or employees for salary, wages, benefits or other compensation.</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5.2 Notwithstanding anything else to the contrary in this Agreement and subject to section 5.3 below, Provider shall assume full responsibility for any and all damages related to its indemnification obligation under this section 5 with respect to third parties.</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5.3 Provider will provide the above indemnity even if losses are due, or alleged to be due, in part to any Indemnitee’s concurrent negligence or other fault, breach of contract or warranty, or strict liability without regard to fault; provided, however, that Provider’s contractual obligation of indemnification shall not extend to the percentage of the third party claimant’s damages or injuries or the settlement amount attributable to the Indemnitee’s negligence or other fault, breach of contract or warranty, or to strict liability imposed upon Indemnitee as a matter of law.</w:t>
      </w:r>
    </w:p>
    <w:p>
      <w:pPr>
        <w:spacing w:after="0" w:line="13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5.4 In the event of any such claims. Dell shall: (1) promptly notify Provider, (2) at Provider’s expense, reasonably cooperate with Provider in the defense thereof, and (3) not settle any such claims without Provider’s consent which Provider agrees not to unreasonably withhold. Provider shall keep Dell informed at all times as to the status of Provider’s efforts and consult with Dell (or Dell’s counsel) concerning Provider’s efforts; and, Provider shall not settle the claim without Dell’s prior written consent, which shall not be unreasonably withheld.</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5.5 In addition to Provider’s obligations and liabilities above, if an infringement claim is made or appears likely to be made about a Product, Provider shall, at Dell’s option, either: procure for Dell the right to continue to use the Product; modify the Product so that it is no longer infringing; or replace it with a non-infringing Product. If none of these alternatives is commercially reasonable, Dell shall return or destroy, at Provider’s option, any Products possessed by Dell for a full refund of the purchase price for the Product.</w:t>
      </w:r>
    </w:p>
    <w:p>
      <w:pPr>
        <w:spacing w:after="0" w:line="12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FOR BREACH OF THE TERMS SET FORTH IN SECTION 8.3 (“CONFIDENTIALITY”), NEITHER DELL NOR PROVIDER WILL BE LIABLE FOR ANY INDIRECT, INCIDENTAL, OR CONSEQUENTIAL DAMAGES OF ANY TYPE, INCLUDING LOST PROFITS, OR LOST DATA, ARISING OUT OF OR IN CONNECTION WITH THIS AGREEMENT OR THE SERVICES, EVEN IF A PARTY HAS BEEN ADVISED BY THE OTHER PARTY OF THE POSSIBILITY OF THE DAMAGE AND EVEN IF A PARTY ASSERTS OR ESTABLISHES A FAILURE OF ESSENTIAL PURPOSE OF ANY LIMITED REMEDY PROVIDED IN THIS AGREEMENT.</w:t>
      </w:r>
    </w:p>
    <w:p>
      <w:pPr>
        <w:spacing w:after="0" w:line="123"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7.1 Unless expressly set forth in an applicable Addendum or Schedule, Dell may terminate for convenience this Agreement, any Addendum or portion of Addendum, any Schedule or portion of Schedule, Order or Services performed under an Order at any time for any reason upon thirty (30) days advance written notice to Provider</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7.2 Provider may terminate this Agreement in the event Dell defaults in the performance of any of its duties and obligations and the default is not cured within thirty (30) days after written notice is given to the Dell.</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7.3 Either party may immediately terminate this Agreement by giving written notice to the other party if the other party is insolvent or has a petition brought by or against it under the insolvency laws of any jurisdiction; if the other party makes an assignment for the benefit of creditors; if a receiver, trustee or similar agent is appointed with respect to any property or business of either party.</w:t>
      </w:r>
    </w:p>
    <w:p>
      <w:pPr>
        <w:spacing w:after="0" w:line="121"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Disputes</w:t>
      </w:r>
      <w:r>
        <w:rPr>
          <w:rFonts w:ascii="Arial" w:cs="Arial" w:eastAsia="Arial" w:hAnsi="Arial"/>
          <w:sz w:val="16"/>
          <w:szCs w:val="16"/>
          <w:color w:val="auto"/>
        </w:rPr>
        <w:t>: Before initiating a lawsuit against the other relating to a dispute or claim herein, Dell and Provider agree to first work in good faith to resolve between themselves such dispute or claim arising out of or relating to this Agreement. To this end, either party may request that each party designate an officer or other management employee with authority to bind the party to meet to resolve the dispute or claim. If, after meeting, the parties are still unable to resolve the dispute or claim, then the parties agree to submit the matter to mandatory mediation. During this resolution process, each party will honor the other’s reasonable requests for non-privileged and relevant information. This paragraph will not apply if: (i) the expiration of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ectPr>
          <w:pgSz w:w="11900" w:h="16838" w:orient="portrait"/>
          <w:cols w:equalWidth="0" w:num="1">
            <w:col w:w="11420"/>
          </w:cols>
          <w:pgMar w:left="240" w:top="280"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statute of limitations for a cause of action is imminent; or (ii) injunctive or other equitable relief is necessary to mitigate damages.</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Survival of Terms</w:t>
      </w:r>
      <w:r>
        <w:rPr>
          <w:rFonts w:ascii="Arial" w:cs="Arial" w:eastAsia="Arial" w:hAnsi="Arial"/>
          <w:sz w:val="18"/>
          <w:szCs w:val="18"/>
          <w:color w:val="auto"/>
        </w:rPr>
        <w:t>: Regardless of the circumstances of termination or expiration of this Agreement or any Addendum or Schedule or portion thereof, the provisions of Sections 4 (“Warranty”), 5 (“Indemnity”), 6 (“Limitation of Liability”), and 8 (“General”) will survive the termination or expiration and continue according to their terms.</w:t>
      </w:r>
    </w:p>
    <w:p>
      <w:pPr>
        <w:spacing w:after="0" w:line="127"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Confidentiality</w:t>
      </w:r>
      <w:r>
        <w:rPr>
          <w:rFonts w:ascii="Arial" w:cs="Arial" w:eastAsia="Arial" w:hAnsi="Arial"/>
          <w:sz w:val="16"/>
          <w:szCs w:val="16"/>
          <w:color w:val="auto"/>
        </w:rPr>
        <w:t>: Any confidential information that will be disclosed by either party related to this Agreement shall be disclosed pursuant to the terms and conditions of the Standard, Evergreen Non-disclosure Agreement (#02101605) between Dell and EXL Service, Inc. Notwithstanding anything contrary in the terms of the applicable Non-disclosure Agreement, any trade secrets or other proprietary information of Dell, whether oral, visual or written, shall constitute confidential information of Dell even if not marked as such. Further, Provider’s obligation to preserve the confidentiality of such trade secrets or proprietary information shall continue in perpetuity. The terms and conditions of this Agreement shall be deemed to be confidential information. Provider will not use the name of Dell nor any Dell trademarks, trade names, service marks, or quote the opinion of any Dell employee in any advertising, presentations or otherwise without first obtaining the prior written consent of an officer of Dell.</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Provider will obtain and at all times during the term of this Agreement maintain at its own expense, with insurance companies acceptable to Dell, the minimum insurance coverages stated in Exhibit A to this Agreement. Furthermore, Provider shall, within ten (10) days of the Effective Date of this Agreement, provide Dell with Certificates of Insurance evidencing compliance with this paragraph.</w:t>
      </w:r>
    </w:p>
    <w:p>
      <w:pPr>
        <w:spacing w:after="0" w:line="127"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Compliance</w:t>
      </w:r>
      <w:r>
        <w:rPr>
          <w:rFonts w:ascii="Arial" w:cs="Arial" w:eastAsia="Arial" w:hAnsi="Arial"/>
          <w:sz w:val="16"/>
          <w:szCs w:val="16"/>
          <w:color w:val="auto"/>
        </w:rPr>
        <w:t>: (A) Dell is an Affirmative Action/Equal Opportunity Employer. Since Dell transacts business with the United States Government, the Equal Opportunity Clauses at 41 CFR sections 60-1.4(a), 60-250.5(a) and 60-741.5(a) are hereby incorporated and, if applicable, Provider shall comply with FAR</w:t>
      </w:r>
    </w:p>
    <w:p>
      <w:pPr>
        <w:spacing w:after="0" w:line="253" w:lineRule="auto"/>
        <w:rPr>
          <w:sz w:val="20"/>
          <w:szCs w:val="20"/>
          <w:color w:val="auto"/>
        </w:rPr>
      </w:pPr>
      <w:r>
        <w:rPr>
          <w:rFonts w:ascii="Arial" w:cs="Arial" w:eastAsia="Arial" w:hAnsi="Arial"/>
          <w:sz w:val="18"/>
          <w:szCs w:val="18"/>
          <w:color w:val="auto"/>
        </w:rPr>
        <w:t>52.212-3, Offer or Representations and Certifications-Commercial Items, and FAR 52-219-8, Utilization of Small Business Concerns; and (B) if subcontractors are engaged to provide any Products pursuant to this Agreement, Provider will use commercially reasonable efforts to engage businesses that are, (i) certified as minority or women owned by a third party certification agency acceptable by Dell, or (ii) small business concerns that are fifty-one (51%) percent owned, controlled, operated and managed by women or members of a minority group including African Americans, Hispanic Americans, Native Americans, Asian Indian Americans, Asian-Pacific Americans.</w:t>
      </w:r>
    </w:p>
    <w:p>
      <w:pPr>
        <w:spacing w:after="0" w:line="132"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Records</w:t>
      </w:r>
      <w:r>
        <w:rPr>
          <w:rFonts w:ascii="Arial" w:cs="Arial" w:eastAsia="Arial" w:hAnsi="Arial"/>
          <w:sz w:val="18"/>
          <w:szCs w:val="18"/>
          <w:color w:val="auto"/>
        </w:rPr>
        <w:t>: Provider will maintain accurate and legible records for a period of three (3) years and will grant to Dell reasonable access to and copies of, any information reasonably requested by Dell with respect to Provider’s performance under this Agreement, including without limitation information regarding Provider’s efforts to comply with Section 8.5(b).</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Remedies</w:t>
      </w:r>
      <w:r>
        <w:rPr>
          <w:rFonts w:ascii="Arial" w:cs="Arial" w:eastAsia="Arial" w:hAnsi="Arial"/>
          <w:sz w:val="18"/>
          <w:szCs w:val="18"/>
          <w:color w:val="auto"/>
        </w:rPr>
        <w:t>: Except as may be otherwise provided in this Agreement, the rights or remedies of the parties hereunder are not exclusive, and either party shall be entitled alternatively or cumulatively, subject to the other provisions of this Agreement, to damages for breach, to an order requiring specific performance, or to any other remedy available at law or in equity.</w:t>
      </w:r>
    </w:p>
    <w:p>
      <w:pPr>
        <w:spacing w:after="0" w:line="12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The parties are independent contractors and neither party is an employee, agent, servant, representative, partner, or joint venturer of the other or has any authority to assume or create any obligation or liability of any kind on behalf of the other.</w:t>
      </w:r>
    </w:p>
    <w:p>
      <w:pPr>
        <w:spacing w:after="0" w:line="11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waiver of any term or condition is valid unless in writing and signed by authorized representatives of both parties, and will be limited to the specific situation for which it is given. No amendment or modification to this Agreement shall be valid unless set forth in writing and signed by authorized representatives of both parties.</w:t>
      </w:r>
    </w:p>
    <w:p>
      <w:pPr>
        <w:spacing w:after="0" w:line="12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WILL BE GOVERNED BY AND CONSTRUED IN ACCORDANCE WITH THE LAWS OF THE STATE OF TEXAS, EXCLUSIVE OF ANY PROVISIONS OF THE UNITED NATIONS CONVENTION ON THE INTERNATIONAL SALE OF GOODS AND WITHOUT REGARD TO PRINCIPLES OF CONFLICTS OF LAW. PROVIDER HEREBY IRREVOCABLY SUBMITS TO THE EXCLUSIVE JURISDICTION OF THE FEDERAL AND STATE COURTS OF THE STATE OF TEXAS, U.S.A. AND HEREBY AGREES THAT ANY SUCH COURT SHALL BE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ectPr>
          <w:pgSz w:w="11900" w:h="16838" w:orient="portrait"/>
          <w:cols w:equalWidth="0" w:num="1">
            <w:col w:w="11420"/>
          </w:cols>
          <w:pgMar w:left="240" w:top="2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PROPER FORUM FOR THE DETERMINATION OF ANY DISPUTE ARISING HEREUNDER.</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in English and delivered by certified or registered mail, return receipt requested, postage prepaid and addressed as follows or to such other addresses as may be designated by notice from one party to the other, all such notices being effective on the date received or, if mailed as set forth above, three (3) days after the date of mailing: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Dell: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Dell Products, 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Dell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Round Rock, Texas 78682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VP, General Procurement</w:t>
      </w:r>
    </w:p>
    <w:p>
      <w:pPr>
        <w:spacing w:after="0" w:line="9" w:lineRule="exact"/>
        <w:rPr>
          <w:sz w:val="20"/>
          <w:szCs w:val="20"/>
          <w:color w:val="auto"/>
        </w:rPr>
      </w:pPr>
    </w:p>
    <w:p>
      <w:pPr>
        <w:ind w:left="460" w:right="9540" w:firstLine="4"/>
        <w:spacing w:after="0" w:line="446" w:lineRule="auto"/>
        <w:tabs>
          <w:tab w:leader="none" w:pos="709" w:val="left"/>
        </w:tabs>
        <w:numPr>
          <w:ilvl w:val="0"/>
          <w:numId w:val="92"/>
        </w:numPr>
        <w:rPr>
          <w:rFonts w:ascii="Arial" w:cs="Arial" w:eastAsia="Arial" w:hAnsi="Arial"/>
          <w:sz w:val="15"/>
          <w:szCs w:val="15"/>
          <w:color w:val="auto"/>
        </w:rPr>
      </w:pPr>
      <w:r>
        <w:rPr>
          <w:rFonts w:ascii="Arial" w:cs="Arial" w:eastAsia="Arial" w:hAnsi="Arial"/>
          <w:sz w:val="15"/>
          <w:szCs w:val="15"/>
          <w:color w:val="auto"/>
        </w:rPr>
        <w:t>General Counsel If to Provider:</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Severance</w:t>
      </w:r>
      <w:r>
        <w:rPr>
          <w:rFonts w:ascii="Arial" w:cs="Arial" w:eastAsia="Arial" w:hAnsi="Arial"/>
          <w:sz w:val="18"/>
          <w:szCs w:val="18"/>
          <w:color w:val="auto"/>
        </w:rPr>
        <w:t>: Whenever possible, each provision of this Agreement will be interpreted in such a manner as to be effective and valid under applicable law, but if any provision of this Agreement is found to violate a law, it will be severed from the rest of the Agreement and ignored and a new provision deemed added to this Agreement to accomplish to the extent possible, the intent of the parties as evidenced by the provision so severed. The headings used in this Agreement have no legal effect.</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Non-Exclusive</w:t>
      </w:r>
      <w:r>
        <w:rPr>
          <w:rFonts w:ascii="Arial" w:cs="Arial" w:eastAsia="Arial" w:hAnsi="Arial"/>
          <w:sz w:val="18"/>
          <w:szCs w:val="18"/>
          <w:color w:val="auto"/>
        </w:rPr>
        <w:t>: Nothing in this Agreement shall require Dell to purchase from Provider any or all of its requirements for products or services that are the same or similar to the Products provided hereunder. Furthermore, Provider agrees to cooperate and work with Dell and any other providers that Dell may engage in connection with the provision of the Products.</w:t>
      </w:r>
    </w:p>
    <w:p>
      <w:pPr>
        <w:spacing w:after="0" w:line="12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 xml:space="preserve">8.15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not be assigned by Provider in whole or in part, even by operation of law, in a merger or stock or asset sale, without the express written permission of Dell. Such consent shall not be unreasonably withheld. Any attempt to do so will be null and void.</w:t>
      </w:r>
    </w:p>
    <w:p>
      <w:pPr>
        <w:spacing w:after="0" w:line="7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 xml:space="preserve">8.16 </w:t>
      </w:r>
      <w:r>
        <w:rPr>
          <w:rFonts w:ascii="Arial" w:cs="Arial" w:eastAsia="Arial" w:hAnsi="Arial"/>
          <w:sz w:val="16"/>
          <w:szCs w:val="16"/>
          <w:u w:val="single" w:color="auto"/>
          <w:color w:val="auto"/>
        </w:rPr>
        <w:t>Offset Obligations</w:t>
      </w:r>
      <w:r>
        <w:rPr>
          <w:rFonts w:ascii="Arial" w:cs="Arial" w:eastAsia="Arial" w:hAnsi="Arial"/>
          <w:sz w:val="16"/>
          <w:szCs w:val="16"/>
          <w:color w:val="auto"/>
        </w:rPr>
        <w:t>: Orders issued by Dell pursuant to this Agreement are placed with the expectation of potential acquisition of credit for current and/or anticipated future offset obligations of Dell or Dell Computer Corporation, or their designated assignees to various governments around the world. Supplier agrees to reasonably assist Dell or Dell Computer Corporation, or their designated assignees in their efforts to secure offset credit from these governments in an amount equal to the value of the applicable in-country content of the orders placed under this Agreement.</w:t>
      </w:r>
    </w:p>
    <w:p>
      <w:pPr>
        <w:spacing w:after="0" w:line="9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8.17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any related Addenda, Exhibits, Attachments, and Schedules, as so designated, set forth the entire agreement and understanding of the parties relating to the subject matter contained herein, and merges all prior discussions and agreements, both oral and written, between the parties. Each party agrees that use of pre-printed forms, including, but not limited to email, purchase orders, acknowledgements or invoices, is for convenience only and all pre-printed terms and conditions stated thereon, except as specifically set forth in this Agreement, are void and of no effect. Unless expressly amended in an Addendum, Exhibit, Attachment or Schedule, as so designated, in the event of conflict between this Master Agreement and any Addendum, Exhibit, Attachment or Schedule, the terms of this Master Agreement shall prevail.</w:t>
      </w:r>
    </w:p>
    <w:p>
      <w:pPr>
        <w:spacing w:after="0" w:line="10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IN WITNESS WHEREOF, the parties hereto have caused this Agreement to be executed by their duly authorized representatives as of the day and year first written herein.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DELL PRODUCTS L.P.</w:t>
            </w:r>
          </w:p>
        </w:tc>
        <w:tc>
          <w:tcPr>
            <w:tcW w:w="6020" w:type="dxa"/>
            <w:vAlign w:val="bottom"/>
            <w:gridSpan w:val="2"/>
          </w:tcPr>
          <w:p>
            <w:pPr>
              <w:ind w:left="620"/>
              <w:spacing w:after="0"/>
              <w:rPr>
                <w:sz w:val="20"/>
                <w:szCs w:val="20"/>
                <w:color w:val="auto"/>
              </w:rPr>
            </w:pPr>
            <w:r>
              <w:rPr>
                <w:rFonts w:ascii="Arial" w:cs="Arial" w:eastAsia="Arial" w:hAnsi="Arial"/>
                <w:sz w:val="18"/>
                <w:szCs w:val="18"/>
                <w:b w:val="1"/>
                <w:bCs w:val="1"/>
                <w:color w:val="auto"/>
              </w:rPr>
              <w:t>ExlService Holdings, Inc.:</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spacing w:after="0"/>
              <w:rPr>
                <w:sz w:val="20"/>
                <w:szCs w:val="20"/>
                <w:color w:val="auto"/>
              </w:rPr>
            </w:pPr>
            <w:r>
              <w:rPr>
                <w:rFonts w:ascii="Arial" w:cs="Arial" w:eastAsia="Arial" w:hAnsi="Arial"/>
                <w:sz w:val="18"/>
                <w:szCs w:val="18"/>
                <w:color w:val="auto"/>
              </w:rPr>
              <w:t>/s/ Dagoberto Quintana</w:t>
            </w:r>
          </w:p>
        </w:tc>
        <w:tc>
          <w:tcPr>
            <w:tcW w:w="1760" w:type="dxa"/>
            <w:vAlign w:val="bottom"/>
          </w:tcPr>
          <w:p>
            <w:pPr>
              <w:ind w:left="620"/>
              <w:spacing w:after="0"/>
              <w:rPr>
                <w:sz w:val="20"/>
                <w:szCs w:val="20"/>
                <w:color w:val="auto"/>
              </w:rPr>
            </w:pPr>
            <w:r>
              <w:rPr>
                <w:rFonts w:ascii="Arial" w:cs="Arial" w:eastAsia="Arial" w:hAnsi="Arial"/>
                <w:sz w:val="18"/>
                <w:szCs w:val="18"/>
                <w:color w:val="auto"/>
              </w:rPr>
              <w:t>By:</w:t>
            </w:r>
          </w:p>
        </w:tc>
        <w:tc>
          <w:tcPr>
            <w:tcW w:w="4260" w:type="dxa"/>
            <w:vAlign w:val="bottom"/>
          </w:tcPr>
          <w:p>
            <w:pPr>
              <w:spacing w:after="0"/>
              <w:rPr>
                <w:sz w:val="20"/>
                <w:szCs w:val="20"/>
                <w:color w:val="auto"/>
              </w:rPr>
            </w:pPr>
            <w:r>
              <w:rPr>
                <w:rFonts w:ascii="Arial" w:cs="Arial" w:eastAsia="Arial" w:hAnsi="Arial"/>
                <w:sz w:val="18"/>
                <w:szCs w:val="18"/>
                <w:color w:val="auto"/>
              </w:rPr>
              <w:t>/s/ Rohit Kapoor</w:t>
            </w:r>
          </w:p>
        </w:tc>
      </w:tr>
      <w:tr>
        <w:trPr>
          <w:trHeight w:val="110"/>
        </w:trPr>
        <w:tc>
          <w:tcPr>
            <w:tcW w:w="112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w w:val="95"/>
              </w:rPr>
              <w:t>Printed Name:</w:t>
            </w:r>
          </w:p>
        </w:tc>
        <w:tc>
          <w:tcPr>
            <w:tcW w:w="4280" w:type="dxa"/>
            <w:vAlign w:val="bottom"/>
          </w:tcPr>
          <w:p>
            <w:pPr>
              <w:spacing w:after="0"/>
              <w:rPr>
                <w:sz w:val="20"/>
                <w:szCs w:val="20"/>
                <w:color w:val="auto"/>
              </w:rPr>
            </w:pPr>
            <w:r>
              <w:rPr>
                <w:rFonts w:ascii="Arial" w:cs="Arial" w:eastAsia="Arial" w:hAnsi="Arial"/>
                <w:sz w:val="18"/>
                <w:szCs w:val="18"/>
                <w:color w:val="auto"/>
              </w:rPr>
              <w:t>Dagoberto Quintana</w:t>
            </w:r>
          </w:p>
        </w:tc>
        <w:tc>
          <w:tcPr>
            <w:tcW w:w="1760" w:type="dxa"/>
            <w:vAlign w:val="bottom"/>
          </w:tcPr>
          <w:p>
            <w:pPr>
              <w:ind w:left="620"/>
              <w:spacing w:after="0"/>
              <w:rPr>
                <w:sz w:val="20"/>
                <w:szCs w:val="20"/>
                <w:color w:val="auto"/>
              </w:rPr>
            </w:pPr>
            <w:r>
              <w:rPr>
                <w:rFonts w:ascii="Arial" w:cs="Arial" w:eastAsia="Arial" w:hAnsi="Arial"/>
                <w:sz w:val="18"/>
                <w:szCs w:val="18"/>
                <w:color w:val="auto"/>
                <w:w w:val="97"/>
              </w:rPr>
              <w:t>Printed Name:</w:t>
            </w:r>
          </w:p>
        </w:tc>
        <w:tc>
          <w:tcPr>
            <w:tcW w:w="4260" w:type="dxa"/>
            <w:vAlign w:val="bottom"/>
          </w:tcPr>
          <w:p>
            <w:pPr>
              <w:spacing w:after="0"/>
              <w:rPr>
                <w:sz w:val="20"/>
                <w:szCs w:val="20"/>
                <w:color w:val="auto"/>
              </w:rPr>
            </w:pPr>
            <w:r>
              <w:rPr>
                <w:rFonts w:ascii="Arial" w:cs="Arial" w:eastAsia="Arial" w:hAnsi="Arial"/>
                <w:sz w:val="18"/>
                <w:szCs w:val="18"/>
                <w:color w:val="auto"/>
              </w:rPr>
              <w:t>Rohit Kapoor</w:t>
            </w:r>
          </w:p>
        </w:tc>
      </w:tr>
      <w:tr>
        <w:trPr>
          <w:trHeight w:val="110"/>
        </w:trPr>
        <w:tc>
          <w:tcPr>
            <w:tcW w:w="112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VP Consumer Solutions Center</w:t>
            </w:r>
          </w:p>
        </w:tc>
        <w:tc>
          <w:tcPr>
            <w:tcW w:w="1760" w:type="dxa"/>
            <w:vAlign w:val="bottom"/>
          </w:tcPr>
          <w:p>
            <w:pPr>
              <w:ind w:left="620"/>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CFO &amp; President</w:t>
            </w:r>
          </w:p>
        </w:tc>
      </w:tr>
      <w:tr>
        <w:trPr>
          <w:trHeight w:val="110"/>
        </w:trPr>
        <w:tc>
          <w:tcPr>
            <w:tcW w:w="112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r>
        <w:trPr>
          <w:trHeight w:val="316"/>
        </w:trPr>
        <w:tc>
          <w:tcPr>
            <w:tcW w:w="112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spacing w:after="0"/>
              <w:rPr>
                <w:sz w:val="20"/>
                <w:szCs w:val="20"/>
                <w:color w:val="auto"/>
              </w:rPr>
            </w:pPr>
            <w:r>
              <w:rPr>
                <w:rFonts w:ascii="Arial" w:cs="Arial" w:eastAsia="Arial" w:hAnsi="Arial"/>
                <w:sz w:val="18"/>
                <w:szCs w:val="18"/>
                <w:color w:val="auto"/>
              </w:rPr>
              <w:t>November 1, 2002</w:t>
            </w:r>
          </w:p>
        </w:tc>
        <w:tc>
          <w:tcPr>
            <w:tcW w:w="1760" w:type="dxa"/>
            <w:vAlign w:val="bottom"/>
          </w:tcPr>
          <w:p>
            <w:pPr>
              <w:ind w:left="620"/>
              <w:spacing w:after="0"/>
              <w:rPr>
                <w:sz w:val="20"/>
                <w:szCs w:val="20"/>
                <w:color w:val="auto"/>
              </w:rPr>
            </w:pPr>
            <w:r>
              <w:rPr>
                <w:rFonts w:ascii="Arial" w:cs="Arial" w:eastAsia="Arial" w:hAnsi="Arial"/>
                <w:sz w:val="18"/>
                <w:szCs w:val="18"/>
                <w:color w:val="auto"/>
              </w:rPr>
              <w:t>Date:</w:t>
            </w:r>
          </w:p>
        </w:tc>
        <w:tc>
          <w:tcPr>
            <w:tcW w:w="4260" w:type="dxa"/>
            <w:vAlign w:val="bottom"/>
          </w:tcPr>
          <w:p>
            <w:pPr>
              <w:spacing w:after="0"/>
              <w:rPr>
                <w:sz w:val="24"/>
                <w:szCs w:val="24"/>
                <w:color w:val="auto"/>
              </w:rPr>
            </w:pPr>
          </w:p>
        </w:tc>
      </w:tr>
      <w:tr>
        <w:trPr>
          <w:trHeight w:val="110"/>
        </w:trPr>
        <w:tc>
          <w:tcPr>
            <w:tcW w:w="1120" w:type="dxa"/>
            <w:vAlign w:val="bottom"/>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ectPr>
          <w:pgSz w:w="11900" w:h="16838" w:orient="portrait"/>
          <w:cols w:equalWidth="0" w:num="1">
            <w:col w:w="11420"/>
          </w:cols>
          <w:pgMar w:left="240" w:top="27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14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This Schedule is subject to the terms and conditions of the Master Services Agreement (the “Agreement”) between EXL Services Inc. (“Provider”), and Dell Products L.P. (“Dell”). The SOW is effective as of 8/2/2003 and is specific to E-mail Technical Support.</w:t>
      </w:r>
    </w:p>
    <w:p>
      <w:pPr>
        <w:spacing w:after="0" w:line="25"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A customer communication in the form of written text, available via Dell’s Web-based Email management system.</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Post</w:t>
      </w:r>
      <w:r>
        <w:rPr>
          <w:rFonts w:ascii="Arial" w:cs="Arial" w:eastAsia="Arial" w:hAnsi="Arial"/>
          <w:sz w:val="18"/>
          <w:szCs w:val="18"/>
          <w:color w:val="auto"/>
        </w:rPr>
        <w:t>: A single incident of an email response sent to a customer for technical support or customer service for any Supported Product.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Customer</w:t>
      </w:r>
      <w:r>
        <w:rPr>
          <w:rFonts w:ascii="Arial" w:cs="Arial" w:eastAsia="Arial" w:hAnsi="Arial"/>
          <w:sz w:val="18"/>
          <w:szCs w:val="18"/>
          <w:color w:val="auto"/>
        </w:rPr>
        <w:t>: A customer contacting Dell via email for technical support or customer service.</w:t>
      </w:r>
    </w:p>
    <w:p>
      <w:pPr>
        <w:spacing w:after="0" w:line="76" w:lineRule="exact"/>
        <w:rPr>
          <w:rFonts w:ascii="Arial" w:cs="Arial" w:eastAsia="Arial" w:hAnsi="Arial"/>
          <w:sz w:val="18"/>
          <w:szCs w:val="18"/>
          <w:color w:val="auto"/>
        </w:rPr>
      </w:pPr>
    </w:p>
    <w:p>
      <w:pPr>
        <w:ind w:left="900" w:right="40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Customer Support Representative (CSR)</w:t>
      </w:r>
      <w:r>
        <w:rPr>
          <w:rFonts w:ascii="Arial" w:cs="Arial" w:eastAsia="Arial" w:hAnsi="Arial"/>
          <w:sz w:val="18"/>
          <w:szCs w:val="18"/>
          <w:color w:val="auto"/>
        </w:rPr>
        <w:t>: A Provider employee that performs the Services from the technical support queue or customer service queue.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FTE</w:t>
      </w:r>
      <w:r>
        <w:rPr>
          <w:rFonts w:ascii="Arial" w:cs="Arial" w:eastAsia="Arial" w:hAnsi="Arial"/>
          <w:sz w:val="18"/>
          <w:szCs w:val="18"/>
          <w:color w:val="auto"/>
        </w:rPr>
        <w:t xml:space="preserve"> (full time equivalent): person who works an 8-hour shift with 85% applied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Handle Time</w:t>
      </w:r>
      <w:r>
        <w:rPr>
          <w:rFonts w:ascii="Arial" w:cs="Arial" w:eastAsia="Arial" w:hAnsi="Arial"/>
          <w:sz w:val="16"/>
          <w:szCs w:val="16"/>
          <w:color w:val="auto"/>
        </w:rPr>
        <w:t>: The total time spent on an email including consultation, CSR hold time, and wrap up of email. Queue time is not included.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Average Cycle Time</w:t>
      </w:r>
      <w:r>
        <w:rPr>
          <w:rFonts w:ascii="Arial" w:cs="Arial" w:eastAsia="Arial" w:hAnsi="Arial"/>
          <w:sz w:val="18"/>
          <w:szCs w:val="18"/>
          <w:color w:val="auto"/>
        </w:rPr>
        <w:t>: The average time an email spends in queue before a reply is sent to the customer.</w:t>
      </w:r>
    </w:p>
    <w:p>
      <w:pPr>
        <w:spacing w:after="0" w:line="76" w:lineRule="exact"/>
        <w:rPr>
          <w:rFonts w:ascii="Arial" w:cs="Arial" w:eastAsia="Arial" w:hAnsi="Arial"/>
          <w:sz w:val="18"/>
          <w:szCs w:val="18"/>
          <w:color w:val="auto"/>
        </w:rPr>
      </w:pPr>
    </w:p>
    <w:p>
      <w:pPr>
        <w:ind w:left="900" w:right="16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Expected Number of emails</w:t>
      </w:r>
      <w:r>
        <w:rPr>
          <w:rFonts w:ascii="Arial" w:cs="Arial" w:eastAsia="Arial" w:hAnsi="Arial"/>
          <w:sz w:val="18"/>
          <w:szCs w:val="18"/>
          <w:color w:val="auto"/>
        </w:rPr>
        <w:t>: The expected number of emails Dell will have available for Provider during any period. This number will be provided by Dell on a monthly basis as outlined in Section 3 below.</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Supported Products</w:t>
      </w:r>
      <w:r>
        <w:rPr>
          <w:rFonts w:ascii="Arial" w:cs="Arial" w:eastAsia="Arial" w:hAnsi="Arial"/>
          <w:sz w:val="18"/>
          <w:szCs w:val="18"/>
          <w:color w:val="auto"/>
        </w:rPr>
        <w:t>: Dell products for which Provider has been trained to provide support on Dell’s behalf.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Months</w:t>
      </w:r>
      <w:r>
        <w:rPr>
          <w:rFonts w:ascii="Arial" w:cs="Arial" w:eastAsia="Arial" w:hAnsi="Arial"/>
          <w:sz w:val="18"/>
          <w:szCs w:val="18"/>
          <w:color w:val="auto"/>
        </w:rPr>
        <w:t>: Dell’s fiscal months will be used for all calculations and invoicing in this contract.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Minimum Commitment</w:t>
      </w:r>
      <w:r>
        <w:rPr>
          <w:rFonts w:ascii="Arial" w:cs="Arial" w:eastAsia="Arial" w:hAnsi="Arial"/>
          <w:sz w:val="18"/>
          <w:szCs w:val="18"/>
          <w:color w:val="auto"/>
        </w:rPr>
        <w:t>: The amount of emails for which Dell will guarantee payment.</w:t>
      </w:r>
    </w:p>
    <w:p>
      <w:pPr>
        <w:spacing w:after="0" w:line="76" w:lineRule="exact"/>
        <w:rPr>
          <w:rFonts w:ascii="Arial" w:cs="Arial" w:eastAsia="Arial" w:hAnsi="Arial"/>
          <w:sz w:val="18"/>
          <w:szCs w:val="18"/>
          <w:color w:val="auto"/>
        </w:rPr>
      </w:pPr>
    </w:p>
    <w:p>
      <w:pPr>
        <w:ind w:left="900" w:right="62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Minimum Email Commitment</w:t>
      </w:r>
      <w:r>
        <w:rPr>
          <w:rFonts w:ascii="Arial" w:cs="Arial" w:eastAsia="Arial" w:hAnsi="Arial"/>
          <w:sz w:val="18"/>
          <w:szCs w:val="18"/>
          <w:color w:val="auto"/>
        </w:rPr>
        <w:t>: The minimum amount of emails Dell agrees to have available for Provider in a Month. The Minimum E-mail Commitment will be of the looked Forecast.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Dispatch</w:t>
      </w:r>
      <w:r>
        <w:rPr>
          <w:rFonts w:ascii="Arial" w:cs="Arial" w:eastAsia="Arial" w:hAnsi="Arial"/>
          <w:sz w:val="18"/>
          <w:szCs w:val="18"/>
          <w:color w:val="auto"/>
        </w:rPr>
        <w:t>: Calls or emails handled by Provider resulting in part(s) and/ or Field Service Technician being sent to the Customer.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In Writing Written Form</w:t>
      </w:r>
      <w:r>
        <w:rPr>
          <w:rFonts w:ascii="Arial" w:cs="Arial" w:eastAsia="Arial" w:hAnsi="Arial"/>
          <w:sz w:val="18"/>
          <w:szCs w:val="18"/>
          <w:color w:val="auto"/>
        </w:rPr>
        <w:t>: all references in this document to material needed “in writing” or an “written form” can be delivered as either a hard copy or in electronic format.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DPS</w:t>
      </w:r>
      <w:r>
        <w:rPr>
          <w:rFonts w:ascii="Arial" w:cs="Arial" w:eastAsia="Arial" w:hAnsi="Arial"/>
          <w:sz w:val="18"/>
          <w:szCs w:val="18"/>
          <w:color w:val="auto"/>
        </w:rPr>
        <w:t>: Dell Product Support, the proprietary interface for Dell product service and support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KMR Report</w:t>
      </w:r>
      <w:r>
        <w:rPr>
          <w:rFonts w:ascii="Arial" w:cs="Arial" w:eastAsia="Arial" w:hAnsi="Arial"/>
          <w:sz w:val="16"/>
          <w:szCs w:val="16"/>
          <w:color w:val="auto"/>
        </w:rPr>
        <w:t>: Productivity and effectiveness report generated from Dell databases and shared with provider for management of process.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CeM and Kana</w:t>
      </w:r>
      <w:r>
        <w:rPr>
          <w:rFonts w:ascii="Arial" w:cs="Arial" w:eastAsia="Arial" w:hAnsi="Arial"/>
          <w:sz w:val="18"/>
          <w:szCs w:val="18"/>
          <w:color w:val="auto"/>
        </w:rPr>
        <w:t>: Dell’s e-mail Web-based infrastructure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Reassign Report</w:t>
      </w:r>
      <w:r>
        <w:rPr>
          <w:rFonts w:ascii="Arial" w:cs="Arial" w:eastAsia="Arial" w:hAnsi="Arial"/>
          <w:sz w:val="16"/>
          <w:szCs w:val="16"/>
          <w:color w:val="auto"/>
        </w:rPr>
        <w:t>: Productivity and effectiveness report generated from Dell databases and shared with provider for management of process.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DellServe</w:t>
      </w:r>
      <w:r>
        <w:rPr>
          <w:rFonts w:ascii="Arial" w:cs="Arial" w:eastAsia="Arial" w:hAnsi="Arial"/>
          <w:sz w:val="18"/>
          <w:szCs w:val="18"/>
          <w:color w:val="auto"/>
        </w:rPr>
        <w:t>: Dell’s customer support Web-based infrastructure; proprietary Web-based interface for service records to be logged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E-Survey</w:t>
      </w:r>
      <w:r>
        <w:rPr>
          <w:rFonts w:ascii="Arial" w:cs="Arial" w:eastAsia="Arial" w:hAnsi="Arial"/>
          <w:sz w:val="18"/>
          <w:szCs w:val="18"/>
          <w:color w:val="auto"/>
        </w:rPr>
        <w:t>: Customer experience report generated from Dell databases and shared with provider for management of process.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Tech Detail Report</w:t>
      </w:r>
      <w:r>
        <w:rPr>
          <w:rFonts w:ascii="Arial" w:cs="Arial" w:eastAsia="Arial" w:hAnsi="Arial"/>
          <w:sz w:val="16"/>
          <w:szCs w:val="16"/>
          <w:color w:val="auto"/>
        </w:rPr>
        <w:t>: Productivity and effectiveness report generated from Dell databases and shared with provider for management of process.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DSN</w:t>
      </w:r>
      <w:r>
        <w:rPr>
          <w:rFonts w:ascii="Arial" w:cs="Arial" w:eastAsia="Arial" w:hAnsi="Arial"/>
          <w:sz w:val="18"/>
          <w:szCs w:val="18"/>
          <w:color w:val="auto"/>
        </w:rPr>
        <w:t>: Proprietary Web-based interface for decision tree support to assist agents in managing technical support issues.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ACL Tool</w:t>
      </w:r>
      <w:r>
        <w:rPr>
          <w:rFonts w:ascii="Arial" w:cs="Arial" w:eastAsia="Arial" w:hAnsi="Arial"/>
          <w:sz w:val="18"/>
          <w:szCs w:val="18"/>
          <w:color w:val="auto"/>
        </w:rPr>
        <w:t>: Agent Closed Loop Tool.</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based upon request for confidential treatment. Non-public material has been filed separately with the Commission.</w:t>
      </w:r>
    </w:p>
    <w:p>
      <w:pPr>
        <w:spacing w:after="0" w:line="181"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12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70"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The location of Dell servers accessible to providers, as these do not resale behind Dell firewalls.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VPN</w:t>
      </w:r>
      <w:r>
        <w:rPr>
          <w:rFonts w:ascii="Arial" w:cs="Arial" w:eastAsia="Arial" w:hAnsi="Arial"/>
          <w:sz w:val="18"/>
          <w:szCs w:val="18"/>
          <w:color w:val="auto"/>
        </w:rPr>
        <w:t>: Virtual Private Network</w:t>
      </w:r>
    </w:p>
    <w:p>
      <w:pPr>
        <w:spacing w:after="0" w:line="77" w:lineRule="exact"/>
        <w:rPr>
          <w:sz w:val="20"/>
          <w:szCs w:val="20"/>
          <w:color w:val="auto"/>
        </w:rPr>
      </w:pPr>
    </w:p>
    <w:p>
      <w:pPr>
        <w:ind w:left="900" w:hanging="446"/>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SSL</w:t>
      </w:r>
      <w:r>
        <w:rPr>
          <w:rFonts w:ascii="Arial" w:cs="Arial" w:eastAsia="Arial" w:hAnsi="Arial"/>
          <w:sz w:val="18"/>
          <w:szCs w:val="18"/>
          <w:color w:val="auto"/>
        </w:rPr>
        <w:t>: Secure Socket Layer</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Scope of Services</w:t>
      </w:r>
    </w:p>
    <w:p>
      <w:pPr>
        <w:spacing w:after="0" w:line="82" w:lineRule="exact"/>
        <w:rPr>
          <w:rFonts w:ascii="Arial" w:cs="Arial" w:eastAsia="Arial" w:hAnsi="Arial"/>
          <w:sz w:val="18"/>
          <w:szCs w:val="18"/>
          <w:b w:val="1"/>
          <w:bCs w:val="1"/>
          <w:color w:val="auto"/>
        </w:rPr>
      </w:pPr>
    </w:p>
    <w:p>
      <w:pPr>
        <w:ind w:left="900" w:right="120" w:hanging="446"/>
        <w:spacing w:after="0" w:line="255"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Provider will be responsible for providing email technical support to Dell Customers. Dell emails will be available via Dell’s Web-based Email management system. The hours of service shall be twenty-four hours a day, seven days a week, unless otherwise mutually agreed upon. The Email Services will be provided in a manner as similar as is reasonably possible to the way in which Dell provides its own email technical support and customer service and in conjunction with the requirements of Exhibits A and C. Provider is responsible for ensuring its compliance with all security procedures as outlined in Exhibit D, Security Details.</w:t>
      </w:r>
    </w:p>
    <w:p>
      <w:pPr>
        <w:spacing w:after="0" w:line="123"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Email Volumes</w:t>
      </w:r>
    </w:p>
    <w:p>
      <w:pPr>
        <w:spacing w:after="0" w:line="82" w:lineRule="exact"/>
        <w:rPr>
          <w:rFonts w:ascii="Arial" w:cs="Arial" w:eastAsia="Arial" w:hAnsi="Arial"/>
          <w:sz w:val="18"/>
          <w:szCs w:val="18"/>
          <w:b w:val="1"/>
          <w:bCs w:val="1"/>
          <w:color w:val="auto"/>
        </w:rPr>
      </w:pPr>
    </w:p>
    <w:p>
      <w:pPr>
        <w:ind w:left="900" w:right="40" w:hanging="446"/>
        <w:spacing w:after="0" w:line="255"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Forecasting</w:t>
      </w:r>
      <w:r>
        <w:rPr>
          <w:rFonts w:ascii="Arial" w:cs="Arial" w:eastAsia="Arial" w:hAnsi="Arial"/>
          <w:sz w:val="18"/>
          <w:szCs w:val="18"/>
          <w:color w:val="auto"/>
        </w:rPr>
        <w:t>: Dell will give best efforts to provide a rolling ninety-day written forecast of the Expected Number of Emails (herein “Rolling Forecast”) for Provider with adjustments every thirty days. The first thirty days of the Rolling Forecast are the “Locked Forecast” which shall be the volume commitment (hereafter “Locked Forecast”) for Emails Dell will provide during that period. Dell will ensure that the figures in the Rolling Forecast for any period are not lower than [*] of the agreed upon ramp-up plan dependant upon successful maintaining and sustaining of performance metrics as outlined in Exhibits A, B and C.</w:t>
      </w:r>
    </w:p>
    <w:p>
      <w:pPr>
        <w:spacing w:after="0" w:line="48" w:lineRule="exact"/>
        <w:rPr>
          <w:sz w:val="20"/>
          <w:szCs w:val="20"/>
          <w:color w:val="auto"/>
        </w:rPr>
      </w:pPr>
    </w:p>
    <w:p>
      <w:pPr>
        <w:ind w:left="1500" w:right="20"/>
        <w:spacing w:after="0" w:line="303" w:lineRule="auto"/>
        <w:rPr>
          <w:sz w:val="20"/>
          <w:szCs w:val="20"/>
          <w:color w:val="auto"/>
        </w:rPr>
      </w:pPr>
      <w:r>
        <w:rPr>
          <w:rFonts w:ascii="Arial" w:cs="Arial" w:eastAsia="Arial" w:hAnsi="Arial"/>
          <w:sz w:val="15"/>
          <w:szCs w:val="15"/>
          <w:color w:val="auto"/>
        </w:rPr>
        <w:t>For example by July 1, 2003 Dell will give best efforts to provide a Rolling Forecast for August, September, and October, 2003. Email volume forecast for August represents the Locked Forecast. Provider is responsible for hiring and or training of sufficient staff and acquiring incremental infrastructure to support the Locked Forecast. The actual E-Mail volume may be greater than the Locked Forecast by as much as</w:t>
      </w:r>
    </w:p>
    <w:p>
      <w:pPr>
        <w:spacing w:after="0" w:line="1" w:lineRule="exact"/>
        <w:rPr>
          <w:sz w:val="20"/>
          <w:szCs w:val="20"/>
          <w:color w:val="auto"/>
        </w:rPr>
      </w:pPr>
    </w:p>
    <w:p>
      <w:pPr>
        <w:ind w:left="1500" w:hanging="8"/>
        <w:spacing w:after="0" w:line="254" w:lineRule="auto"/>
        <w:tabs>
          <w:tab w:leader="none" w:pos="17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without penalty to Dell. The actual E-Mail volume may be less than the Locked Forecast by as much as [*]. Dell may increase the Rolling Forecast at any time by giving Provider 30 days notice and Provider will make best efforts to comply with the new Rolling Forecast. If Dell cannot provide the mutually agreed upon ramp plan volume and both parties mutually agree that Provider was available. Dell will pay Provider [*] of the Locked Forecast amount.</w:t>
      </w:r>
    </w:p>
    <w:p>
      <w:pPr>
        <w:spacing w:after="0" w:line="49"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The calculation will be defined as [*] of the locked monthly volume minus the actual offered percentage of lock, multiplied by the cost per e-mail as per existing rate.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900" w:right="54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Forecast</w:t>
      </w:r>
      <w:r>
        <w:rPr>
          <w:rFonts w:ascii="Arial" w:cs="Arial" w:eastAsia="Arial" w:hAnsi="Arial"/>
          <w:sz w:val="18"/>
          <w:szCs w:val="18"/>
          <w:color w:val="auto"/>
        </w:rPr>
        <w:t>: Change requests must be provided to Provider in written form. If additional capacity is needed on shorter notice, Provider will make commercially reasonable efforts (at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Information has been omitted based upon request for confidential treatment. Non-public material has been filed separately with the Commission.</w:t>
      </w:r>
    </w:p>
    <w:p>
      <w:pPr>
        <w:spacing w:after="0" w:line="329"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74"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164" w:lineRule="exact"/>
        <w:rPr>
          <w:sz w:val="20"/>
          <w:szCs w:val="20"/>
          <w:color w:val="auto"/>
        </w:rPr>
      </w:pPr>
    </w:p>
    <w:p>
      <w:pPr>
        <w:ind w:left="1080" w:right="160" w:hanging="634"/>
        <w:spacing w:after="0" w:line="268" w:lineRule="auto"/>
        <w:rPr>
          <w:sz w:val="20"/>
          <w:szCs w:val="20"/>
          <w:color w:val="auto"/>
        </w:rPr>
      </w:pPr>
      <w:r>
        <w:rPr>
          <w:rFonts w:ascii="Arial" w:cs="Arial" w:eastAsia="Arial" w:hAnsi="Arial"/>
          <w:sz w:val="18"/>
          <w:szCs w:val="18"/>
          <w:color w:val="auto"/>
        </w:rPr>
        <w:t>mutuallyagreed additional cost and changes to the agreed service levels) to accommodate Dell’s request. Unless otherwise notified in writing, the forecast process described in paragraph (a) of this section will remain in effect.</w:t>
      </w:r>
    </w:p>
    <w:p>
      <w:pPr>
        <w:spacing w:after="0" w:line="112"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Support Requirements</w:t>
      </w:r>
    </w:p>
    <w:p>
      <w:pPr>
        <w:spacing w:after="0" w:line="82" w:lineRule="exact"/>
        <w:rPr>
          <w:rFonts w:ascii="Arial" w:cs="Arial" w:eastAsia="Arial" w:hAnsi="Arial"/>
          <w:sz w:val="18"/>
          <w:szCs w:val="18"/>
          <w:b w:val="1"/>
          <w:bCs w:val="1"/>
          <w:color w:val="auto"/>
        </w:rPr>
      </w:pPr>
    </w:p>
    <w:p>
      <w:pPr>
        <w:ind w:left="900" w:right="32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E-Mail Tracking System</w:t>
      </w:r>
      <w:r>
        <w:rPr>
          <w:rFonts w:ascii="Arial" w:cs="Arial" w:eastAsia="Arial" w:hAnsi="Arial"/>
          <w:sz w:val="18"/>
          <w:szCs w:val="18"/>
          <w:color w:val="auto"/>
        </w:rPr>
        <w:t>: Provider will log all answered E-mails into Dell’s customer tracking system (DellServ). Dell will provide the necessary network permissions and authority required to login and use the system for remote users.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Reporting</w:t>
      </w:r>
      <w:r>
        <w:rPr>
          <w:rFonts w:ascii="Arial" w:cs="Arial" w:eastAsia="Arial" w:hAnsi="Arial"/>
          <w:sz w:val="18"/>
          <w:szCs w:val="18"/>
          <w:color w:val="auto"/>
        </w:rPr>
        <w:t>: Provider will provide the reports listed in Exhibits A and B.</w:t>
      </w:r>
    </w:p>
    <w:p>
      <w:pPr>
        <w:spacing w:after="0" w:line="76" w:lineRule="exact"/>
        <w:rPr>
          <w:rFonts w:ascii="Arial" w:cs="Arial" w:eastAsia="Arial" w:hAnsi="Arial"/>
          <w:sz w:val="18"/>
          <w:szCs w:val="18"/>
          <w:color w:val="auto"/>
        </w:rPr>
      </w:pPr>
    </w:p>
    <w:p>
      <w:pPr>
        <w:ind w:left="900" w:right="60" w:hanging="446"/>
        <w:spacing w:after="0" w:line="289"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Equipment and Software</w:t>
      </w:r>
      <w:r>
        <w:rPr>
          <w:rFonts w:ascii="Arial" w:cs="Arial" w:eastAsia="Arial" w:hAnsi="Arial"/>
          <w:sz w:val="16"/>
          <w:szCs w:val="16"/>
          <w:color w:val="auto"/>
        </w:rPr>
        <w:t>: Dell will provide a limited number of computers with associated application software along with upgrade hardware, software and maintenance parts required in Provider’s lab for the sole purpose of training CSR’s supporting Dell customers. Provider will be responsible for all costs associated with the installation of upgrades. Provider is responsible for the maintenance and security of these systems. These systems will be returned to Dell at the termination of the agreement in like condition, excluding normal wear and tear from then daily use. Dell may at any time require that these systems undergo service including the replacement of all or part of a system. Dell will endeavor to give appropriate notice to Provider of any such service and schedule with Provider at a mutually agreeable time. Provider is responsible for providing all other equipment required by its employees to perform services and to meet Dell’s system requirements. These requirements may change as systems are enhanced.</w:t>
      </w:r>
    </w:p>
    <w:p>
      <w:pPr>
        <w:spacing w:after="0" w:line="23" w:lineRule="exact"/>
        <w:rPr>
          <w:rFonts w:ascii="Arial" w:cs="Arial" w:eastAsia="Arial" w:hAnsi="Arial"/>
          <w:sz w:val="16"/>
          <w:szCs w:val="16"/>
          <w:color w:val="auto"/>
        </w:rPr>
      </w:pPr>
    </w:p>
    <w:p>
      <w:pPr>
        <w:ind w:left="900" w:right="40" w:hanging="446"/>
        <w:spacing w:after="0" w:line="294"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Knowledge Base and Tech Support Tools</w:t>
      </w:r>
      <w:r>
        <w:rPr>
          <w:rFonts w:ascii="Arial" w:cs="Arial" w:eastAsia="Arial" w:hAnsi="Arial"/>
          <w:sz w:val="16"/>
          <w:szCs w:val="16"/>
          <w:color w:val="auto"/>
        </w:rPr>
        <w:t>: Provider will access Dell Support Tools and Support Documentation within, via an agreed upon method. Ownership and responsibility for content of these and all other requisite Dell tools will remain with Dell. Dell will provide login access to this data if needed. Whether marked as such or not, for purposes of the Agreement and this Schedule, all such Tools and Support Documentation within are proprietary and confidential to Dell and Provider may disclose this information only to Customers and only in the provision of the Services. Any other disclosure of such Support Documentation without authority of Dell is a breach of the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 Support tools (include but are not limited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900" w:right="660" w:hanging="446"/>
        <w:spacing w:after="0" w:line="33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Submission of new cases not current and accurate in the Dell Knowledge Base</w:t>
      </w:r>
      <w:r>
        <w:rPr>
          <w:rFonts w:ascii="Arial" w:cs="Arial" w:eastAsia="Arial" w:hAnsi="Arial"/>
          <w:sz w:val="16"/>
          <w:szCs w:val="16"/>
          <w:color w:val="auto"/>
        </w:rPr>
        <w:t>: Will be provided by Provider as identified. Dell will provide submission rights to Provider for all content. Submission of new cases will be measured as noted in Exhibit A section 14.</w:t>
      </w:r>
    </w:p>
    <w:p>
      <w:pPr>
        <w:spacing w:after="0" w:line="72"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Provider will provide workspace for up to four (4) Dell staff members at Provider’s contact center site. Dell shall provide reasonable notice of any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based upon request for confidential treatment. Non-public material has been filed separately with the Commission.</w:t>
      </w:r>
    </w:p>
    <w:p>
      <w:pPr>
        <w:spacing w:after="0" w:line="329"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164"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During the course of this Agreement, Provider will be required to use Dell systems in the performance of these Services. Dell will sell systems to Provider at a preferred rate.</w:t>
      </w:r>
    </w:p>
    <w:p>
      <w:pPr>
        <w:spacing w:after="0" w:line="37"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In order to analyze consistent performance deviations, Dell reserves the right to audit Provider employee records on performance metrics, administrative and human resources records or seek a certificate from Provider’s auditors for Dell internal use only. All mutually agreed upon costs for such audit certification will be borne by Dell.</w:t>
      </w:r>
    </w:p>
    <w:p>
      <w:pPr>
        <w:spacing w:after="0" w:line="121"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Rates; Fees</w:t>
      </w:r>
    </w:p>
    <w:p>
      <w:pPr>
        <w:spacing w:after="0" w:line="82" w:lineRule="exact"/>
        <w:rPr>
          <w:rFonts w:ascii="Arial" w:cs="Arial" w:eastAsia="Arial" w:hAnsi="Arial"/>
          <w:sz w:val="18"/>
          <w:szCs w:val="18"/>
          <w:b w:val="1"/>
          <w:bCs w:val="1"/>
          <w:color w:val="auto"/>
        </w:rPr>
      </w:pPr>
    </w:p>
    <w:p>
      <w:pPr>
        <w:ind w:left="900" w:right="40" w:hanging="446"/>
        <w:spacing w:after="0" w:line="286"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Except as set forth otherwise in this Schedule, the fees charged by Provider shall be as follows for e-mails actually handled. E-mails actually handled includes sends only, this does not include external reassigns, internal re-assigns, mandatory re-assigns and any archives</w:t>
      </w:r>
    </w:p>
    <w:p>
      <w:pPr>
        <w:jc w:val="center"/>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Assumptions:</w:t>
      </w:r>
    </w:p>
    <w:p>
      <w:pPr>
        <w:spacing w:after="0" w:line="77" w:lineRule="exact"/>
        <w:rPr>
          <w:sz w:val="20"/>
          <w:szCs w:val="20"/>
          <w:color w:val="auto"/>
        </w:rPr>
      </w:pPr>
    </w:p>
    <w:p>
      <w:pPr>
        <w:ind w:left="1360" w:hanging="555"/>
        <w:spacing w:after="0"/>
        <w:tabs>
          <w:tab w:leader="none" w:pos="13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Tech Support Service email goal of [*] sent e-mails per [*] hour shift per e-mail FTE.</w:t>
      </w:r>
    </w:p>
    <w:p>
      <w:pPr>
        <w:spacing w:after="0" w:line="103" w:lineRule="exact"/>
        <w:rPr>
          <w:rFonts w:ascii="Arial" w:cs="Arial" w:eastAsia="Arial" w:hAnsi="Arial"/>
          <w:sz w:val="18"/>
          <w:szCs w:val="18"/>
          <w:color w:val="auto"/>
        </w:rPr>
      </w:pPr>
    </w:p>
    <w:p>
      <w:pPr>
        <w:ind w:left="1360" w:right="120" w:hanging="555"/>
        <w:spacing w:after="0" w:line="325" w:lineRule="auto"/>
        <w:tabs>
          <w:tab w:leader="none" w:pos="136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These costs include international bandwidth minus U.S. long distance per minute rate. In case the total amount of E-mail time and post Email work exceeds the average handle time after the pilot period, Dell and Provider will agree to review the assumptions.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Training Expense: Provider will provide trainers for ongoing and new hire training. For new hire training, Provider will absorb up to the first three</w:t>
      </w:r>
    </w:p>
    <w:p>
      <w:pPr>
        <w:spacing w:after="0" w:line="38" w:lineRule="exact"/>
        <w:rPr>
          <w:rFonts w:ascii="Arial" w:cs="Arial" w:eastAsia="Arial" w:hAnsi="Arial"/>
          <w:sz w:val="16"/>
          <w:szCs w:val="16"/>
          <w:color w:val="auto"/>
        </w:rPr>
      </w:pPr>
    </w:p>
    <w:p>
      <w:pPr>
        <w:ind w:left="900" w:right="200"/>
        <w:spacing w:after="0" w:line="302" w:lineRule="auto"/>
        <w:rPr>
          <w:rFonts w:ascii="Arial" w:cs="Arial" w:eastAsia="Arial" w:hAnsi="Arial"/>
          <w:sz w:val="16"/>
          <w:szCs w:val="16"/>
          <w:color w:val="auto"/>
        </w:rPr>
      </w:pPr>
      <w:r>
        <w:rPr>
          <w:rFonts w:ascii="Arial" w:cs="Arial" w:eastAsia="Arial" w:hAnsi="Arial"/>
          <w:sz w:val="16"/>
          <w:szCs w:val="16"/>
          <w:color w:val="auto"/>
        </w:rPr>
        <w:t>(3) weeks of Dell specific hardware product and policy and procedure training. Dell will provide all training material other than replication of materials for the training at no additional cost to Provider and will train Provider trainers at no additional cost to Provider. All costs relating to Dell employees onsite training are to be to borne by Dell including airfares, meals and lodging. Provider will make all administrative arrangements.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Information has been omitted based upon request for confidential treatment. Non-public material has been filed separately with the Commission.</w:t>
      </w:r>
    </w:p>
    <w:p>
      <w:pPr>
        <w:spacing w:after="0" w:line="329"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164" w:lineRule="exact"/>
        <w:rPr>
          <w:sz w:val="20"/>
          <w:szCs w:val="20"/>
          <w:color w:val="auto"/>
        </w:rPr>
      </w:pPr>
    </w:p>
    <w:p>
      <w:pPr>
        <w:ind w:left="1480" w:right="240" w:hanging="567"/>
        <w:spacing w:after="0" w:line="256"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Provider will charge Dell a rate of [*] trainer/agent hour for New Product training New Hire training will not be reimbursed by Dell. Only front-line Representatives handling Emails are eligible for training reimbursement. The cost of New Hire training will be the sole responsibility of the Provider and should be reflected in the price listed in section 5(a) above. The provider will be responsible for all remedial training for agents not meeting Quality metric as listed on Exhibits A and C.</w:t>
      </w:r>
    </w:p>
    <w:p>
      <w:pPr>
        <w:spacing w:after="0" w:line="48" w:lineRule="exact"/>
        <w:rPr>
          <w:rFonts w:ascii="Arial" w:cs="Arial" w:eastAsia="Arial" w:hAnsi="Arial"/>
          <w:sz w:val="18"/>
          <w:szCs w:val="18"/>
          <w:color w:val="auto"/>
        </w:rPr>
      </w:pPr>
    </w:p>
    <w:p>
      <w:pPr>
        <w:ind w:left="1480" w:right="40" w:hanging="567"/>
        <w:spacing w:after="0" w:line="259" w:lineRule="auto"/>
        <w:tabs>
          <w:tab w:leader="none" w:pos="14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Additional new hire training required for Provider specific training, including but not limited to e-mail wording and composition, soft skills training, and any additional new hire training necessary to have new hires able to perform the required functions to Dell standards will be the responsibility of Provider at no extra charge to Dell.</w:t>
      </w:r>
    </w:p>
    <w:p>
      <w:pPr>
        <w:spacing w:after="0" w:line="120"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Required Performance Metrics, Required Elements and Success Criteria</w:t>
      </w:r>
    </w:p>
    <w:p>
      <w:pPr>
        <w:spacing w:after="0" w:line="82" w:lineRule="exact"/>
        <w:rPr>
          <w:rFonts w:ascii="Arial" w:cs="Arial" w:eastAsia="Arial" w:hAnsi="Arial"/>
          <w:sz w:val="18"/>
          <w:szCs w:val="18"/>
          <w:b w:val="1"/>
          <w:bCs w:val="1"/>
          <w:color w:val="auto"/>
        </w:rPr>
      </w:pPr>
    </w:p>
    <w:p>
      <w:pPr>
        <w:ind w:left="900" w:right="60" w:hanging="446"/>
        <w:spacing w:after="0" w:line="256"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Required Performance Metrics are listed in Exhibits A and C. Provider shall implement Exhibits A and C by measuring each Metric as listed in “How to Measure” and supply the list of reports to be provided under agreement. Dell and Provider will regularly review and compare Provider’s performance to the “Goals” and “Minimum Service Level” volume Service level is [*] of the e-mails handled within [*] hours or less, measured on a daily basis, based on assignment to the site’s queries.</w:t>
      </w:r>
    </w:p>
    <w:p>
      <w:pPr>
        <w:spacing w:after="0" w:line="48" w:lineRule="exact"/>
        <w:rPr>
          <w:rFonts w:ascii="Arial" w:cs="Arial" w:eastAsia="Arial" w:hAnsi="Arial"/>
          <w:sz w:val="18"/>
          <w:szCs w:val="18"/>
          <w:color w:val="auto"/>
        </w:rPr>
      </w:pPr>
    </w:p>
    <w:p>
      <w:pPr>
        <w:ind w:left="900" w:right="460" w:hanging="446"/>
        <w:spacing w:after="0" w:line="325"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e-mails total more than [*] of the Locked forecast on a daily basis. Provider shall not be required to achieve the Minimum Service Levels for Exhibit A items 3 and 5. Additionally, service level penalties will not be incurred for each day above [*] offered to forecast.</w:t>
      </w:r>
    </w:p>
    <w:p>
      <w:pPr>
        <w:spacing w:after="0" w:line="1" w:lineRule="exact"/>
        <w:rPr>
          <w:rFonts w:ascii="Arial" w:cs="Arial" w:eastAsia="Arial" w:hAnsi="Arial"/>
          <w:sz w:val="16"/>
          <w:szCs w:val="16"/>
          <w:color w:val="auto"/>
        </w:rPr>
      </w:pPr>
    </w:p>
    <w:p>
      <w:pPr>
        <w:jc w:val="both"/>
        <w:ind w:left="900" w:right="100" w:hanging="446"/>
        <w:spacing w:after="0" w:line="306"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Service Level Penalties will apply in the event that volume with within [*] of the daily offered forecast and Provider does not achieve the minimum required [*] service level requirement. Penalties will apply on a daily basis in the event that the volume is within [*] offered to forecast. If the actual volumes are less than forecast, Provider will be responsible for handling a minimum of [*] of the offered volume. Penalty amounts are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For performance less than [*] Provider will be assessed at [*] point penalty for each point below [*]. Service level penalties will be applied to each day service level is not met. The formula for calculating this penalty is [*] less the actual percentage achieved.</w:t>
      </w:r>
    </w:p>
    <w:p>
      <w:pPr>
        <w:spacing w:after="0" w:line="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Example, if Provider achieves a [*] service level, a penalty of [*] will apply.</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Service Level penalties will be applied on daily volumes and reported weekly.</w:t>
      </w:r>
    </w:p>
    <w:p>
      <w:pPr>
        <w:spacing w:after="0" w:line="77" w:lineRule="exact"/>
        <w:rPr>
          <w:sz w:val="20"/>
          <w:szCs w:val="20"/>
          <w:color w:val="auto"/>
        </w:rPr>
      </w:pPr>
    </w:p>
    <w:p>
      <w:pPr>
        <w:ind w:left="900" w:right="200" w:hanging="446"/>
        <w:spacing w:after="0" w:line="268"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Required Elements are listed in Exhibit B. Dell may, upon one (1) day notice to Provider, audit Provider’s compliance with the elements of Exhibit B. The audit may consist of Dell</w:t>
      </w:r>
    </w:p>
    <w:p>
      <w:pPr>
        <w:spacing w:after="0" w:line="1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Information has been omitted based upon request for confidential treatment. Non-public material has been filed separately with the Commission.</w:t>
      </w:r>
    </w:p>
    <w:p>
      <w:pPr>
        <w:spacing w:after="0" w:line="158"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Work – Dell Home Sales</w:t>
      </w:r>
    </w:p>
    <w:p>
      <w:pPr>
        <w:spacing w:after="0" w:line="164"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and/or its auditors scheduling time with Provider’s employees and executives to review the processes in place pertaining to Exhibit B. As such Provider will assist Dell in completing the audit in a timely fashion by making key employees and/or executives available. All mutually agreed upon costs associated with the Audit shall be borne by Dell.</w:t>
      </w:r>
    </w:p>
    <w:p>
      <w:pPr>
        <w:spacing w:after="0" w:line="46" w:lineRule="exact"/>
        <w:rPr>
          <w:sz w:val="20"/>
          <w:szCs w:val="20"/>
          <w:color w:val="auto"/>
        </w:rPr>
      </w:pPr>
    </w:p>
    <w:p>
      <w:pPr>
        <w:ind w:left="900" w:right="20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Success Criteria for email is listed in Exhibits A and C. Provider shall meet or exceed the Success Criteria during the pre-production pilot, not to exceed 90 days. If Provider is unable to meet or exceed the Success Criteria during the pre-production pilot. Dell will reserve the right to terminate this services contract.</w:t>
      </w:r>
    </w:p>
    <w:p>
      <w:pPr>
        <w:spacing w:after="0" w:line="45"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Email Logging Penalties — Provider will log all emails in DellServe. The logging goal is [*]. For every percent under [*], Provider will pay a penalty equal to [*] of the billing for that week in which the logging percent is below the goal.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System availability — Provider will be excused from penalty in the event Dell Systems are unavailable through no fault of provider.</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82"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Terms of payment are in full accordance set forth in the Master Services Agreement signed by Provider. Any disputed amounts shall not affect payment of non-disputed charges and expenses or the continuation of the provision of services under this agreement.</w:t>
      </w:r>
    </w:p>
    <w:p>
      <w:pPr>
        <w:spacing w:after="0" w:line="112" w:lineRule="exact"/>
        <w:rPr>
          <w:rFonts w:ascii="Arial" w:cs="Arial" w:eastAsia="Arial" w:hAnsi="Arial"/>
          <w:sz w:val="18"/>
          <w:szCs w:val="18"/>
          <w:b w:val="1"/>
          <w:bCs w:val="1"/>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Review</w:t>
      </w:r>
    </w:p>
    <w:p>
      <w:pPr>
        <w:spacing w:after="0" w:line="82" w:lineRule="exact"/>
        <w:rPr>
          <w:rFonts w:ascii="Arial" w:cs="Arial" w:eastAsia="Arial" w:hAnsi="Arial"/>
          <w:sz w:val="18"/>
          <w:szCs w:val="18"/>
          <w:b w:val="1"/>
          <w:bCs w:val="1"/>
          <w:color w:val="auto"/>
        </w:rPr>
      </w:pPr>
    </w:p>
    <w:p>
      <w:pPr>
        <w:ind w:left="900" w:right="600" w:hanging="446"/>
        <w:spacing w:after="0" w:line="268"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On a daily, weekly, monthly and quarterly basis, Provider and Dell will review Provider’s performance of the Services. Provider will conduct quarterly business reviews by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week of the month following the end of the quarter.</w:t>
      </w:r>
    </w:p>
    <w:p>
      <w:pPr>
        <w:ind w:left="900" w:hanging="446"/>
        <w:spacing w:after="0"/>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Dell and Provider may alternate the sites of the event to share travel costs.</w:t>
      </w:r>
    </w:p>
    <w:p>
      <w:pPr>
        <w:spacing w:after="0" w:line="137"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82" w:lineRule="exact"/>
        <w:rPr>
          <w:rFonts w:ascii="Arial" w:cs="Arial" w:eastAsia="Arial" w:hAnsi="Arial"/>
          <w:sz w:val="18"/>
          <w:szCs w:val="18"/>
          <w:b w:val="1"/>
          <w:bCs w:val="1"/>
          <w:color w:val="auto"/>
        </w:rPr>
      </w:pPr>
    </w:p>
    <w:p>
      <w:pPr>
        <w:ind w:left="900" w:hanging="446"/>
        <w:spacing w:after="0"/>
        <w:tabs>
          <w:tab w:leader="none" w:pos="9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effective date of this Schedule shall be as of the date of execution and shall continue for one year. This Schedule will renew for additional one</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 year period unless otherwise terminated by written notice 60 days prior to expiration.</w:t>
      </w:r>
    </w:p>
    <w:p>
      <w:pPr>
        <w:spacing w:after="0" w:line="70" w:lineRule="exact"/>
        <w:rPr>
          <w:rFonts w:ascii="Arial" w:cs="Arial" w:eastAsia="Arial" w:hAnsi="Arial"/>
          <w:sz w:val="16"/>
          <w:szCs w:val="16"/>
          <w:color w:val="auto"/>
        </w:rPr>
      </w:pPr>
    </w:p>
    <w:p>
      <w:pPr>
        <w:ind w:left="900" w:right="160" w:hanging="446"/>
        <w:spacing w:after="0" w:line="268" w:lineRule="auto"/>
        <w:tabs>
          <w:tab w:leader="none" w:pos="9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Dell may terminate this Schedule for convenience upon 60 days notice. Dell’s Locked Forecast and the associated Minimum Monthly Commitment will be applied during the sixty (60) days following written notice of termination.</w:t>
      </w:r>
    </w:p>
    <w:p>
      <w:pPr>
        <w:spacing w:after="0" w:line="118"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Information has been omitted based upon request for confidential treatment. Non-public material has been filed separately with the Commission.</w:t>
      </w:r>
    </w:p>
    <w:p>
      <w:pPr>
        <w:spacing w:after="0" w:line="181" w:lineRule="exact"/>
        <w:rPr>
          <w:sz w:val="20"/>
          <w:szCs w:val="20"/>
          <w:color w:val="auto"/>
        </w:rPr>
      </w:pPr>
    </w:p>
    <w:p>
      <w:pPr>
        <w:spacing w:after="0"/>
        <w:tabs>
          <w:tab w:leader="none" w:pos="5340" w:val="left"/>
          <w:tab w:leader="none" w:pos="10920" w:val="left"/>
        </w:tabs>
        <w:rPr>
          <w:sz w:val="20"/>
          <w:szCs w:val="20"/>
          <w:color w:val="auto"/>
        </w:rPr>
      </w:pPr>
      <w:r>
        <w:rPr>
          <w:rFonts w:ascii="Arial" w:cs="Arial" w:eastAsia="Arial" w:hAnsi="Arial"/>
          <w:sz w:val="18"/>
          <w:szCs w:val="18"/>
          <w:color w:val="auto"/>
        </w:rPr>
        <w:t>Dell Computer Corporation</w:t>
      </w:r>
      <w:r>
        <w:rPr>
          <w:sz w:val="20"/>
          <w:szCs w:val="20"/>
          <w:color w:val="auto"/>
        </w:rPr>
        <w:tab/>
      </w:r>
      <w:r>
        <w:rPr>
          <w:rFonts w:ascii="Arial" w:cs="Arial" w:eastAsia="Arial" w:hAnsi="Arial"/>
          <w:sz w:val="18"/>
          <w:szCs w:val="18"/>
          <w:color w:val="auto"/>
        </w:rPr>
        <w:t>13 May, 2004</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74"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9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7"/>
              </w:rPr>
              <w:t>SCHEDULE A</w:t>
            </w:r>
          </w:p>
        </w:tc>
        <w:tc>
          <w:tcPr>
            <w:tcW w:w="2100" w:type="dxa"/>
            <w:vAlign w:val="bottom"/>
          </w:tcPr>
          <w:p>
            <w:pPr>
              <w:spacing w:after="0"/>
              <w:rPr>
                <w:sz w:val="19"/>
                <w:szCs w:val="19"/>
                <w:color w:val="auto"/>
              </w:rPr>
            </w:pPr>
          </w:p>
        </w:tc>
      </w:tr>
      <w:tr>
        <w:trPr>
          <w:trHeight w:val="284"/>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9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Statement of Work – Dell Home Sales</w:t>
            </w:r>
          </w:p>
        </w:tc>
        <w:tc>
          <w:tcPr>
            <w:tcW w:w="2100" w:type="dxa"/>
            <w:vAlign w:val="bottom"/>
          </w:tcPr>
          <w:p>
            <w:pPr>
              <w:spacing w:after="0"/>
              <w:rPr>
                <w:sz w:val="24"/>
                <w:szCs w:val="24"/>
                <w:color w:val="auto"/>
              </w:rPr>
            </w:pPr>
          </w:p>
        </w:tc>
      </w:tr>
      <w:tr>
        <w:trPr>
          <w:trHeight w:val="352"/>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Schedule A</w:t>
            </w:r>
          </w:p>
        </w:tc>
        <w:tc>
          <w:tcPr>
            <w:tcW w:w="2020" w:type="dxa"/>
            <w:vAlign w:val="bottom"/>
          </w:tcPr>
          <w:p>
            <w:pPr>
              <w:spacing w:after="0"/>
              <w:rPr>
                <w:sz w:val="24"/>
                <w:szCs w:val="24"/>
                <w:color w:val="auto"/>
              </w:rPr>
            </w:pPr>
          </w:p>
        </w:tc>
        <w:tc>
          <w:tcPr>
            <w:tcW w:w="3940" w:type="dxa"/>
            <w:vAlign w:val="bottom"/>
            <w:gridSpan w:val="2"/>
          </w:tcPr>
          <w:p>
            <w:pPr>
              <w:ind w:left="660"/>
              <w:spacing w:after="0"/>
              <w:rPr>
                <w:sz w:val="20"/>
                <w:szCs w:val="20"/>
                <w:color w:val="auto"/>
              </w:rPr>
            </w:pPr>
            <w:r>
              <w:rPr>
                <w:rFonts w:ascii="Arial" w:cs="Arial" w:eastAsia="Arial" w:hAnsi="Arial"/>
                <w:sz w:val="18"/>
                <w:szCs w:val="18"/>
                <w:b w:val="1"/>
                <w:bCs w:val="1"/>
                <w:color w:val="auto"/>
              </w:rPr>
              <w:t>Schedule A</w:t>
            </w:r>
          </w:p>
        </w:tc>
        <w:tc>
          <w:tcPr>
            <w:tcW w:w="2100" w:type="dxa"/>
            <w:vAlign w:val="bottom"/>
          </w:tcPr>
          <w:p>
            <w:pPr>
              <w:spacing w:after="0"/>
              <w:rPr>
                <w:sz w:val="24"/>
                <w:szCs w:val="24"/>
                <w:color w:val="auto"/>
              </w:rPr>
            </w:pPr>
          </w:p>
        </w:tc>
      </w:tr>
      <w:tr>
        <w:trPr>
          <w:trHeight w:val="228"/>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Agreed and Accepted:</w:t>
            </w:r>
          </w:p>
        </w:tc>
        <w:tc>
          <w:tcPr>
            <w:tcW w:w="2020" w:type="dxa"/>
            <w:vAlign w:val="bottom"/>
          </w:tcPr>
          <w:p>
            <w:pPr>
              <w:spacing w:after="0"/>
              <w:rPr>
                <w:sz w:val="19"/>
                <w:szCs w:val="19"/>
                <w:color w:val="auto"/>
              </w:rPr>
            </w:pPr>
          </w:p>
        </w:tc>
        <w:tc>
          <w:tcPr>
            <w:tcW w:w="3940" w:type="dxa"/>
            <w:vAlign w:val="bottom"/>
            <w:gridSpan w:val="2"/>
          </w:tcPr>
          <w:p>
            <w:pPr>
              <w:ind w:left="660"/>
              <w:spacing w:after="0"/>
              <w:rPr>
                <w:sz w:val="20"/>
                <w:szCs w:val="20"/>
                <w:color w:val="auto"/>
              </w:rPr>
            </w:pPr>
            <w:r>
              <w:rPr>
                <w:rFonts w:ascii="Arial" w:cs="Arial" w:eastAsia="Arial" w:hAnsi="Arial"/>
                <w:sz w:val="18"/>
                <w:szCs w:val="18"/>
                <w:b w:val="1"/>
                <w:bCs w:val="1"/>
                <w:color w:val="auto"/>
              </w:rPr>
              <w:t>Agreed and Accepted:</w:t>
            </w:r>
          </w:p>
        </w:tc>
        <w:tc>
          <w:tcPr>
            <w:tcW w:w="2100" w:type="dxa"/>
            <w:vAlign w:val="bottom"/>
          </w:tcPr>
          <w:p>
            <w:pPr>
              <w:spacing w:after="0"/>
              <w:rPr>
                <w:sz w:val="19"/>
                <w:szCs w:val="19"/>
                <w:color w:val="auto"/>
              </w:rPr>
            </w:pPr>
          </w:p>
        </w:tc>
      </w:tr>
      <w:tr>
        <w:trPr>
          <w:trHeight w:val="446"/>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5"/>
              </w:rPr>
              <w:t>Provider</w:t>
            </w:r>
          </w:p>
        </w:tc>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40" w:type="dxa"/>
            <w:vAlign w:val="bottom"/>
            <w:gridSpan w:val="2"/>
          </w:tcPr>
          <w:p>
            <w:pPr>
              <w:ind w:left="660"/>
              <w:spacing w:after="0"/>
              <w:rPr>
                <w:sz w:val="20"/>
                <w:szCs w:val="20"/>
                <w:color w:val="auto"/>
              </w:rPr>
            </w:pPr>
            <w:r>
              <w:rPr>
                <w:rFonts w:ascii="Arial" w:cs="Arial" w:eastAsia="Arial" w:hAnsi="Arial"/>
                <w:sz w:val="18"/>
                <w:szCs w:val="18"/>
                <w:b w:val="1"/>
                <w:bCs w:val="1"/>
                <w:color w:val="auto"/>
              </w:rPr>
              <w:t>Dell Products L.P.</w:t>
            </w:r>
          </w:p>
        </w:tc>
        <w:tc>
          <w:tcPr>
            <w:tcW w:w="2100" w:type="dxa"/>
            <w:vAlign w:val="bottom"/>
          </w:tcPr>
          <w:p>
            <w:pPr>
              <w:spacing w:after="0"/>
              <w:rPr>
                <w:sz w:val="24"/>
                <w:szCs w:val="24"/>
                <w:color w:val="auto"/>
              </w:rPr>
            </w:pPr>
          </w:p>
        </w:tc>
      </w:tr>
      <w:tr>
        <w:trPr>
          <w:trHeight w:val="433"/>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Vikram Talwar</w:t>
            </w:r>
          </w:p>
        </w:tc>
        <w:tc>
          <w:tcPr>
            <w:tcW w:w="2020" w:type="dxa"/>
            <w:vAlign w:val="bottom"/>
            <w:tcBorders>
              <w:bottom w:val="single" w:sz="8" w:color="auto"/>
            </w:tcBorders>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Vikram Talwar</w:t>
            </w:r>
          </w:p>
        </w:tc>
        <w:tc>
          <w:tcPr>
            <w:tcW w:w="2020" w:type="dxa"/>
            <w:vAlign w:val="bottom"/>
            <w:tcBorders>
              <w:bottom w:val="single" w:sz="8" w:color="auto"/>
            </w:tcBorders>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w w:val="82"/>
              </w:rPr>
              <w:t>Name:</w:t>
            </w:r>
          </w:p>
        </w:tc>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Vice Chairman &amp; CEO</w:t>
            </w:r>
          </w:p>
        </w:tc>
        <w:tc>
          <w:tcPr>
            <w:tcW w:w="2020" w:type="dxa"/>
            <w:vAlign w:val="bottom"/>
            <w:tcBorders>
              <w:bottom w:val="single" w:sz="8" w:color="auto"/>
            </w:tcBorders>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Title:</w:t>
            </w:r>
          </w:p>
        </w:tc>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May 29, 2004</w:t>
            </w:r>
          </w:p>
        </w:tc>
        <w:tc>
          <w:tcPr>
            <w:tcW w:w="2020" w:type="dxa"/>
            <w:vAlign w:val="bottom"/>
            <w:tcBorders>
              <w:bottom w:val="single" w:sz="8" w:color="auto"/>
            </w:tcBorders>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Date:</w:t>
            </w:r>
          </w:p>
        </w:tc>
        <w:tc>
          <w:tcPr>
            <w:tcW w:w="2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r>
        <w:trPr>
          <w:trHeight w:val="357"/>
        </w:trPr>
        <w:tc>
          <w:tcPr>
            <w:tcW w:w="3360" w:type="dxa"/>
            <w:vAlign w:val="bottom"/>
            <w:gridSpan w:val="3"/>
          </w:tcPr>
          <w:p>
            <w:pPr>
              <w:spacing w:after="0"/>
              <w:rPr>
                <w:sz w:val="20"/>
                <w:szCs w:val="20"/>
                <w:color w:val="auto"/>
              </w:rPr>
            </w:pPr>
            <w:r>
              <w:rPr>
                <w:rFonts w:ascii="Arial" w:cs="Arial" w:eastAsia="Arial" w:hAnsi="Arial"/>
                <w:sz w:val="18"/>
                <w:szCs w:val="18"/>
                <w:color w:val="auto"/>
              </w:rPr>
              <w:t>Dell Computer Corporation</w:t>
            </w:r>
          </w:p>
        </w:tc>
        <w:tc>
          <w:tcPr>
            <w:tcW w:w="5960" w:type="dxa"/>
            <w:vAlign w:val="bottom"/>
            <w:gridSpan w:val="3"/>
          </w:tcPr>
          <w:p>
            <w:pPr>
              <w:ind w:left="2000"/>
              <w:spacing w:after="0"/>
              <w:rPr>
                <w:sz w:val="20"/>
                <w:szCs w:val="20"/>
                <w:color w:val="auto"/>
              </w:rPr>
            </w:pPr>
            <w:r>
              <w:rPr>
                <w:rFonts w:ascii="Arial" w:cs="Arial" w:eastAsia="Arial" w:hAnsi="Arial"/>
                <w:sz w:val="18"/>
                <w:szCs w:val="18"/>
                <w:color w:val="auto"/>
              </w:rPr>
              <w:t>13 May, 2004</w:t>
            </w:r>
          </w:p>
        </w:tc>
        <w:tc>
          <w:tcPr>
            <w:tcW w:w="2100" w:type="dxa"/>
            <w:vAlign w:val="bottom"/>
          </w:tcPr>
          <w:p>
            <w:pPr>
              <w:ind w:left="1620"/>
              <w:spacing w:after="0"/>
              <w:rPr>
                <w:sz w:val="20"/>
                <w:szCs w:val="20"/>
                <w:color w:val="auto"/>
              </w:rPr>
            </w:pPr>
            <w:r>
              <w:rPr>
                <w:rFonts w:ascii="Arial" w:cs="Arial" w:eastAsia="Arial" w:hAnsi="Arial"/>
                <w:sz w:val="18"/>
                <w:szCs w:val="18"/>
                <w:color w:val="auto"/>
                <w:w w:val="80"/>
              </w:rPr>
              <w:t>Page 7</w:t>
            </w:r>
          </w:p>
        </w:tc>
      </w:tr>
    </w:tbl>
    <w:p>
      <w:pPr>
        <w:ind w:left="162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109220</wp:posOffset>
            </wp:positionV>
            <wp:extent cx="1140460" cy="8058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January 22,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Mr. Shiv Kumar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 Strawberry Patch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 Letter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Mr. Kumar:</w:t>
      </w:r>
    </w:p>
    <w:p>
      <w:pPr>
        <w:spacing w:after="0" w:line="7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are pleased to offer you the position of Chief Sales and Marketing Officer with Exlservice.com, Inc.; (referred to hereafter “Exlservice”). You will be responsible for the Sales, Business Development and Client management functions on a global basis and also manage the company’s worldwide marketing activities for Exlservice. It is also expected that there would be close interaction between your team and the operations function. In this position, you will be based in New York and report to Rohit Kapoor, President and CFO.</w:t>
      </w:r>
    </w:p>
    <w:p>
      <w:pPr>
        <w:spacing w:after="0" w:line="130" w:lineRule="exact"/>
        <w:rPr>
          <w:sz w:val="20"/>
          <w:szCs w:val="20"/>
          <w:color w:val="auto"/>
        </w:rPr>
      </w:pPr>
    </w:p>
    <w:p>
      <w:pPr>
        <w:jc w:val="both"/>
        <w:ind w:right="320"/>
        <w:spacing w:after="0" w:line="231" w:lineRule="auto"/>
        <w:rPr>
          <w:sz w:val="20"/>
          <w:szCs w:val="20"/>
          <w:color w:val="auto"/>
        </w:rPr>
      </w:pPr>
      <w:r>
        <w:rPr>
          <w:rFonts w:ascii="Arial" w:cs="Arial" w:eastAsia="Arial" w:hAnsi="Arial"/>
          <w:sz w:val="17"/>
          <w:szCs w:val="17"/>
          <w:color w:val="auto"/>
        </w:rPr>
        <w:t>The annual salary for this position is $200,000.00 (Two hundred thousand dollars only), payable as per the company’s payroll period, the 15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and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each month. Your start date of work with Exlservice will be March 1, 2004. This offer is not to be considered a contract guaranteeing employment for any specific duration. As an at-will employee, both you and the company have the right to terminate employment at any time.</w:t>
      </w:r>
    </w:p>
    <w:p>
      <w:pPr>
        <w:spacing w:after="0" w:line="14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Simultaneously, you will be an employee of Epix and required to sign Epix’s new hire and benefits package. Epix handles the administrative responsibilities for employment related issues such as payroll and benefits, while Exlservice handles the day-to-day activities related to its core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Your incentive compensation is structured as follows:</w:t>
      </w:r>
    </w:p>
    <w:p>
      <w:pPr>
        <w:spacing w:after="0" w:line="83" w:lineRule="exact"/>
        <w:rPr>
          <w:sz w:val="20"/>
          <w:szCs w:val="20"/>
          <w:color w:val="auto"/>
        </w:rPr>
      </w:pPr>
    </w:p>
    <w:p>
      <w:pPr>
        <w:ind w:left="460" w:right="140" w:hanging="452"/>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upon the company’s meeting its goals and after completing one year of uninterrupted service by you, you will be paid a one-time “Committed Cash Bonus” of $35,000 in March 2005.</w:t>
      </w:r>
    </w:p>
    <w:p>
      <w:pPr>
        <w:spacing w:after="0" w:line="118"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You will also be entitled to a “Targeted Bonus” of $115,000 with no cap, subject to a management approved performance matrix. The terms and conditions of this performance matrix shall be implemented after the start of your employment.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Inc.</w:t>
      </w:r>
    </w:p>
    <w:p>
      <w:pPr>
        <w:jc w:val="center"/>
        <w:spacing w:after="0" w:line="226" w:lineRule="auto"/>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Tel: 212-872 1417</w:t>
      </w:r>
      <w:r>
        <w:rPr>
          <w:sz w:val="20"/>
          <w:szCs w:val="20"/>
          <w:color w:val="auto"/>
        </w:rPr>
        <w:tab/>
      </w:r>
      <w:r>
        <w:rPr>
          <w:rFonts w:ascii="Arial" w:cs="Arial" w:eastAsia="Arial" w:hAnsi="Arial"/>
          <w:sz w:val="15"/>
          <w:szCs w:val="15"/>
          <w:color w:val="auto"/>
        </w:rPr>
        <w:t>Fax: 212-872 1524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6" w:name="page147"/>
    <w:bookmarkEnd w:id="14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expectation is that at a target your total “Targeted Bonus along with your “Committed Cash Bonus” could represent 75% of your base salary. While the actual bonus could be higher or lower than 75% based upon actual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You will be eligible for stock options grants subject to the approval of the Board of Directors as follows:</w:t>
      </w:r>
    </w:p>
    <w:p>
      <w:pPr>
        <w:spacing w:after="0" w:line="83"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Option to acquire 30,000 shares upon joining as per terms defined in the stock option letter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Annual performance reviews will be conducted to assess professional development opportunities as well as adjustment to your salary.</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Benefits</w:t>
      </w:r>
      <w:r>
        <w:rPr>
          <w:rFonts w:ascii="Arial" w:cs="Arial" w:eastAsia="Arial" w:hAnsi="Arial"/>
          <w:sz w:val="18"/>
          <w:szCs w:val="18"/>
          <w:color w:val="auto"/>
        </w:rPr>
        <w:t>: As an Exlservice’s employee, you will be eligible to participate in the health, dental, vision, life insurance and disability plans. You will become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this plan upon 60 days of joining. Exlservice will reimburse you upto $700.00 per month for your medical benefit coverage until you become eligible to participate in the company’s medical benefit program.</w:t>
      </w:r>
    </w:p>
    <w:p>
      <w:pPr>
        <w:spacing w:after="0" w:line="1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You will also be eligible to participate in the company’s 401 (K) plan as applicable. You can save up to 7% of your eligible compensation (subject to IRS maximum limits) through pretax payroll deduction.</w:t>
      </w:r>
    </w:p>
    <w:p>
      <w:pPr>
        <w:spacing w:after="0" w:line="11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u w:val="single" w:color="auto"/>
          <w:color w:val="auto"/>
        </w:rPr>
        <w:t>Vacation and Sick Leave</w:t>
      </w:r>
      <w:r>
        <w:rPr>
          <w:rFonts w:ascii="Arial" w:cs="Arial" w:eastAsia="Arial" w:hAnsi="Arial"/>
          <w:sz w:val="18"/>
          <w:szCs w:val="18"/>
          <w:color w:val="auto"/>
        </w:rPr>
        <w:t>: You will be entitled to four weeks accrued vacations per calendar year as stated in your employee New Hire package from Epix. Refer</w:t>
      </w:r>
      <w:r>
        <w:rPr>
          <w:rFonts w:ascii="Arial" w:cs="Arial" w:eastAsia="Arial" w:hAnsi="Arial"/>
          <w:sz w:val="18"/>
          <w:szCs w:val="18"/>
          <w:b w:val="1"/>
          <w:bCs w:val="1"/>
          <w:color w:val="auto"/>
        </w:rPr>
        <w:t xml:space="preserve"> </w:t>
      </w:r>
      <w:r>
        <w:rPr>
          <w:rFonts w:ascii="Arial" w:cs="Arial" w:eastAsia="Arial" w:hAnsi="Arial"/>
          <w:sz w:val="18"/>
          <w:szCs w:val="18"/>
          <w:color w:val="auto"/>
        </w:rPr>
        <w:t>to your Epix’s employees’ package.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color w:val="auto"/>
        </w:rPr>
        <w:t>: Exlservice will pay for or reimburse authorized and proper business related expenses that you may incur in discharging your duties.</w:t>
      </w:r>
    </w:p>
    <w:p>
      <w:pPr>
        <w:spacing w:after="0" w:line="18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u w:val="single" w:color="auto"/>
          <w:color w:val="auto"/>
        </w:rPr>
        <w:t>Proprietary Information Agreement</w:t>
      </w:r>
      <w:r>
        <w:rPr>
          <w:rFonts w:ascii="Arial" w:cs="Arial" w:eastAsia="Arial" w:hAnsi="Arial"/>
          <w:sz w:val="18"/>
          <w:szCs w:val="18"/>
          <w:color w:val="auto"/>
        </w:rPr>
        <w:t>: Prior to commencement of employment, you will be required to execute an employment agreement with Exlservice/Epix</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proprietary information non-disclosure and non-compete provisions. This employment agreement, when signed, will supersede any prior written or oral representation or agreements.</w:t>
      </w:r>
    </w:p>
    <w:p>
      <w:pPr>
        <w:spacing w:after="0" w:line="1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Outside Employment: Your position with Exlservice is a full time responsibility requiring your full loyalty and dedication. So that you can do your best, we require you do not work for another employer while still employed with Exlservice. Furthermore, Exlservice prohibits its employees from working for or investing money in any competitor of Exlservice or conducting their own business in competition with Exlservice whether during Exlservice working hours or after Exlservice work hours</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Please contact your supervisor if you are unsure as to whether any work you perform is in competition with Exlservice. Furthermore, should you need to engage in any outside business activity, you would need to get written approval from your supervisor.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Exlservice Inc.</w:t>
      </w:r>
    </w:p>
    <w:p>
      <w:pPr>
        <w:jc w:val="center"/>
        <w:ind w:right="-19"/>
        <w:spacing w:after="0" w:line="226" w:lineRule="auto"/>
        <w:rPr>
          <w:sz w:val="20"/>
          <w:szCs w:val="20"/>
          <w:color w:val="auto"/>
        </w:rPr>
      </w:pPr>
      <w:r>
        <w:rPr>
          <w:rFonts w:ascii="Arial" w:cs="Arial" w:eastAsia="Arial" w:hAnsi="Arial"/>
          <w:sz w:val="18"/>
          <w:szCs w:val="18"/>
          <w:color w:val="auto"/>
        </w:rPr>
        <w:t>350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10022</w:t>
      </w:r>
    </w:p>
    <w:p>
      <w:pPr>
        <w:spacing w:after="0" w:line="1" w:lineRule="exact"/>
        <w:rPr>
          <w:sz w:val="20"/>
          <w:szCs w:val="20"/>
          <w:color w:val="auto"/>
        </w:rPr>
      </w:pPr>
    </w:p>
    <w:p>
      <w:pPr>
        <w:jc w:val="center"/>
        <w:ind w:right="-39"/>
        <w:spacing w:after="0"/>
        <w:tabs>
          <w:tab w:leader="none" w:pos="160" w:val="left"/>
        </w:tabs>
        <w:rPr>
          <w:sz w:val="20"/>
          <w:szCs w:val="20"/>
          <w:color w:val="auto"/>
        </w:rPr>
      </w:pPr>
      <w:r>
        <w:rPr>
          <w:rFonts w:ascii="Arial" w:cs="Arial" w:eastAsia="Arial" w:hAnsi="Arial"/>
          <w:sz w:val="18"/>
          <w:szCs w:val="18"/>
          <w:color w:val="auto"/>
        </w:rPr>
        <w:t>Tel: 212-872 1417</w:t>
      </w:r>
      <w:r>
        <w:rPr>
          <w:sz w:val="20"/>
          <w:szCs w:val="20"/>
          <w:color w:val="auto"/>
        </w:rPr>
        <w:tab/>
      </w:r>
      <w:r>
        <w:rPr>
          <w:rFonts w:ascii="Arial" w:cs="Arial" w:eastAsia="Arial" w:hAnsi="Arial"/>
          <w:sz w:val="15"/>
          <w:szCs w:val="15"/>
          <w:color w:val="auto"/>
        </w:rPr>
        <w:t>Fax: 212-872 1524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47" w:name="page148"/>
    <w:bookmarkEnd w:id="14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you first day of employment you will be provided with information regarding company’s policies and general employment conditions. To fulfill federal identification requirements, you should bring documentation to support your identity and eligibility to work in the United States. Please contact Exlservice HR administrator for specifics.</w:t>
      </w:r>
    </w:p>
    <w:p>
      <w:pPr>
        <w:spacing w:after="0" w:line="12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Shiv, we hope this job offer demonstrates our commitment to create a flexible and successful partnership that works for both of us. The job deserves and requires great commitment from someone of your caliber. I am confident that with you on the team we can accomplish great heights, both now and in the future.</w:t>
      </w:r>
    </w:p>
    <w:p>
      <w:pPr>
        <w:spacing w:after="0" w:line="72" w:lineRule="exact"/>
        <w:rPr>
          <w:sz w:val="20"/>
          <w:szCs w:val="20"/>
          <w:color w:val="auto"/>
        </w:rPr>
      </w:pPr>
    </w:p>
    <w:p>
      <w:pPr>
        <w:ind w:right="360"/>
        <w:spacing w:after="0" w:line="440" w:lineRule="auto"/>
        <w:rPr>
          <w:sz w:val="20"/>
          <w:szCs w:val="20"/>
          <w:color w:val="auto"/>
        </w:rPr>
      </w:pPr>
      <w:r>
        <w:rPr>
          <w:rFonts w:ascii="Arial" w:cs="Arial" w:eastAsia="Arial" w:hAnsi="Arial"/>
          <w:sz w:val="18"/>
          <w:szCs w:val="18"/>
          <w:color w:val="auto"/>
        </w:rPr>
        <w:t>To indicate your acceptance of the company’s offer, please sign and date this letter in the space provided below, and return it to me before January 30, 2004. Regards,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547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5472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Rohit Kapoor</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40" w:type="dxa"/>
            <w:vAlign w:val="bottom"/>
          </w:tcPr>
          <w:p>
            <w:pPr>
              <w:ind w:left="1580"/>
              <w:spacing w:after="0"/>
              <w:rPr>
                <w:sz w:val="20"/>
                <w:szCs w:val="20"/>
                <w:color w:val="auto"/>
              </w:rPr>
            </w:pPr>
            <w:r>
              <w:rPr>
                <w:rFonts w:ascii="Arial" w:cs="Arial" w:eastAsia="Arial" w:hAnsi="Arial"/>
                <w:sz w:val="18"/>
                <w:szCs w:val="18"/>
                <w:color w:val="auto"/>
              </w:rPr>
              <w:t>Vikram Talwar</w:t>
            </w: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President &amp; CFO</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40" w:type="dxa"/>
            <w:vAlign w:val="bottom"/>
          </w:tcPr>
          <w:p>
            <w:pPr>
              <w:ind w:left="1580"/>
              <w:spacing w:after="0"/>
              <w:rPr>
                <w:sz w:val="20"/>
                <w:szCs w:val="20"/>
                <w:color w:val="auto"/>
              </w:rPr>
            </w:pPr>
            <w:r>
              <w:rPr>
                <w:rFonts w:ascii="Arial" w:cs="Arial" w:eastAsia="Arial" w:hAnsi="Arial"/>
                <w:sz w:val="18"/>
                <w:szCs w:val="18"/>
                <w:color w:val="auto"/>
                <w:w w:val="91"/>
              </w:rPr>
              <w:t>CEO &amp; Vice-Chairman</w:t>
            </w:r>
          </w:p>
        </w:tc>
      </w:tr>
      <w:tr>
        <w:trPr>
          <w:trHeight w:val="365"/>
        </w:trPr>
        <w:tc>
          <w:tcPr>
            <w:tcW w:w="2340" w:type="dxa"/>
            <w:vAlign w:val="bottom"/>
          </w:tcPr>
          <w:p>
            <w:pPr>
              <w:spacing w:after="0"/>
              <w:rPr>
                <w:sz w:val="20"/>
                <w:szCs w:val="20"/>
                <w:color w:val="auto"/>
              </w:rPr>
            </w:pPr>
            <w:r>
              <w:rPr>
                <w:rFonts w:ascii="Arial" w:cs="Arial" w:eastAsia="Arial" w:hAnsi="Arial"/>
                <w:sz w:val="18"/>
                <w:szCs w:val="18"/>
                <w:color w:val="auto"/>
              </w:rPr>
              <w:t>Accepted:</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32"/>
        </w:trPr>
        <w:tc>
          <w:tcPr>
            <w:tcW w:w="2340" w:type="dxa"/>
            <w:vAlign w:val="bottom"/>
          </w:tcPr>
          <w:p>
            <w:pPr>
              <w:spacing w:after="0"/>
              <w:rPr>
                <w:sz w:val="20"/>
                <w:szCs w:val="20"/>
                <w:color w:val="auto"/>
              </w:rPr>
            </w:pPr>
            <w:r>
              <w:rPr>
                <w:rFonts w:ascii="Arial" w:cs="Arial" w:eastAsia="Arial" w:hAnsi="Arial"/>
                <w:sz w:val="18"/>
                <w:szCs w:val="18"/>
                <w:color w:val="auto"/>
              </w:rPr>
              <w:t>/s/ Shiv Kumar</w:t>
            </w:r>
          </w:p>
        </w:tc>
        <w:tc>
          <w:tcPr>
            <w:tcW w:w="1900" w:type="dxa"/>
            <w:vAlign w:val="bottom"/>
            <w:gridSpan w:val="2"/>
          </w:tcPr>
          <w:p>
            <w:pPr>
              <w:ind w:left="400"/>
              <w:spacing w:after="0"/>
              <w:rPr>
                <w:sz w:val="20"/>
                <w:szCs w:val="20"/>
                <w:color w:val="auto"/>
              </w:rPr>
            </w:pPr>
            <w:r>
              <w:rPr>
                <w:rFonts w:ascii="Arial" w:cs="Arial" w:eastAsia="Arial" w:hAnsi="Arial"/>
                <w:sz w:val="18"/>
                <w:szCs w:val="18"/>
                <w:color w:val="auto"/>
              </w:rPr>
              <w:t>1/29/04</w:t>
            </w:r>
          </w:p>
        </w:tc>
        <w:tc>
          <w:tcPr>
            <w:tcW w:w="3240" w:type="dxa"/>
            <w:vAlign w:val="bottom"/>
          </w:tcPr>
          <w:p>
            <w:pPr>
              <w:spacing w:after="0"/>
              <w:rPr>
                <w:sz w:val="24"/>
                <w:szCs w:val="24"/>
                <w:color w:val="auto"/>
              </w:rPr>
            </w:pPr>
          </w:p>
        </w:tc>
      </w:tr>
      <w:tr>
        <w:trPr>
          <w:trHeight w:val="110"/>
        </w:trPr>
        <w:tc>
          <w:tcPr>
            <w:tcW w:w="2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r>
      <w:tr>
        <w:trPr>
          <w:trHeight w:val="309"/>
        </w:trPr>
        <w:tc>
          <w:tcPr>
            <w:tcW w:w="2340" w:type="dxa"/>
            <w:vAlign w:val="bottom"/>
          </w:tcPr>
          <w:p>
            <w:pPr>
              <w:spacing w:after="0"/>
              <w:rPr>
                <w:sz w:val="20"/>
                <w:szCs w:val="20"/>
                <w:color w:val="auto"/>
              </w:rPr>
            </w:pPr>
            <w:r>
              <w:rPr>
                <w:rFonts w:ascii="Arial" w:cs="Arial" w:eastAsia="Arial" w:hAnsi="Arial"/>
                <w:sz w:val="18"/>
                <w:szCs w:val="18"/>
                <w:color w:val="auto"/>
              </w:rPr>
              <w:t>Shiv Kumar</w:t>
            </w:r>
          </w:p>
        </w:tc>
        <w:tc>
          <w:tcPr>
            <w:tcW w:w="5140" w:type="dxa"/>
            <w:vAlign w:val="bottom"/>
            <w:gridSpan w:val="3"/>
          </w:tcPr>
          <w:p>
            <w:pPr>
              <w:ind w:left="400"/>
              <w:spacing w:after="0"/>
              <w:rPr>
                <w:sz w:val="20"/>
                <w:szCs w:val="20"/>
                <w:color w:val="auto"/>
              </w:rPr>
            </w:pPr>
            <w:r>
              <w:rPr>
                <w:rFonts w:ascii="Arial" w:cs="Arial" w:eastAsia="Arial" w:hAnsi="Arial"/>
                <w:sz w:val="18"/>
                <w:szCs w:val="18"/>
                <w:color w:val="auto"/>
              </w:rPr>
              <w:t>Date:</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Chief Sales and Marketing</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2"/>
        </w:trPr>
        <w:tc>
          <w:tcPr>
            <w:tcW w:w="2340" w:type="dxa"/>
            <w:vAlign w:val="bottom"/>
          </w:tcPr>
          <w:p>
            <w:pPr>
              <w:spacing w:after="0"/>
              <w:rPr>
                <w:sz w:val="20"/>
                <w:szCs w:val="20"/>
                <w:color w:val="auto"/>
              </w:rPr>
            </w:pPr>
            <w:r>
              <w:rPr>
                <w:rFonts w:ascii="Arial" w:cs="Arial" w:eastAsia="Arial" w:hAnsi="Arial"/>
                <w:sz w:val="18"/>
                <w:szCs w:val="18"/>
                <w:color w:val="auto"/>
              </w:rPr>
              <w:t>Officer</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358"/>
        </w:trPr>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40" w:type="dxa"/>
            <w:vAlign w:val="bottom"/>
          </w:tcPr>
          <w:p>
            <w:pPr>
              <w:jc w:val="center"/>
              <w:ind w:right="212"/>
              <w:spacing w:after="0"/>
              <w:rPr>
                <w:sz w:val="20"/>
                <w:szCs w:val="20"/>
                <w:color w:val="auto"/>
              </w:rPr>
            </w:pPr>
            <w:r>
              <w:rPr>
                <w:rFonts w:ascii="Arial" w:cs="Arial" w:eastAsia="Arial" w:hAnsi="Arial"/>
                <w:sz w:val="18"/>
                <w:szCs w:val="18"/>
                <w:color w:val="auto"/>
                <w:w w:val="91"/>
              </w:rPr>
              <w:t>Exlservice Inc.</w:t>
            </w:r>
          </w:p>
        </w:tc>
      </w:tr>
      <w:tr>
        <w:trPr>
          <w:trHeight w:val="216"/>
        </w:trPr>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40" w:type="dxa"/>
            <w:vAlign w:val="bottom"/>
          </w:tcPr>
          <w:p>
            <w:pPr>
              <w:jc w:val="center"/>
              <w:ind w:right="212"/>
              <w:spacing w:after="0" w:line="217" w:lineRule="exact"/>
              <w:rPr>
                <w:sz w:val="20"/>
                <w:szCs w:val="20"/>
                <w:color w:val="auto"/>
              </w:rPr>
            </w:pPr>
            <w:r>
              <w:rPr>
                <w:rFonts w:ascii="Arial" w:cs="Arial" w:eastAsia="Arial" w:hAnsi="Arial"/>
                <w:sz w:val="18"/>
                <w:szCs w:val="18"/>
                <w:color w:val="auto"/>
                <w:w w:val="88"/>
              </w:rPr>
              <w:t>350 Park Avenue, 10</w:t>
            </w:r>
            <w:r>
              <w:rPr>
                <w:rFonts w:ascii="Arial" w:cs="Arial" w:eastAsia="Arial" w:hAnsi="Arial"/>
                <w:sz w:val="22"/>
                <w:szCs w:val="22"/>
                <w:color w:val="auto"/>
                <w:w w:val="88"/>
                <w:vertAlign w:val="superscript"/>
              </w:rPr>
              <w:t>th</w:t>
            </w:r>
            <w:r>
              <w:rPr>
                <w:rFonts w:ascii="Arial" w:cs="Arial" w:eastAsia="Arial" w:hAnsi="Arial"/>
                <w:sz w:val="18"/>
                <w:szCs w:val="18"/>
                <w:color w:val="auto"/>
                <w:w w:val="88"/>
              </w:rPr>
              <w:t xml:space="preserve"> floor</w:t>
            </w:r>
          </w:p>
        </w:tc>
      </w:tr>
      <w:tr>
        <w:trPr>
          <w:trHeight w:val="216"/>
        </w:trPr>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40" w:type="dxa"/>
            <w:vAlign w:val="bottom"/>
          </w:tcPr>
          <w:p>
            <w:pPr>
              <w:jc w:val="center"/>
              <w:ind w:right="212"/>
              <w:spacing w:after="0"/>
              <w:rPr>
                <w:sz w:val="20"/>
                <w:szCs w:val="20"/>
                <w:color w:val="auto"/>
              </w:rPr>
            </w:pPr>
            <w:r>
              <w:rPr>
                <w:rFonts w:ascii="Arial" w:cs="Arial" w:eastAsia="Arial" w:hAnsi="Arial"/>
                <w:sz w:val="18"/>
                <w:szCs w:val="18"/>
                <w:color w:val="auto"/>
                <w:w w:val="91"/>
              </w:rPr>
              <w:t>New York NY 10022</w:t>
            </w:r>
          </w:p>
        </w:tc>
      </w:tr>
      <w:tr>
        <w:trPr>
          <w:trHeight w:val="222"/>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40" w:type="dxa"/>
            <w:vAlign w:val="bottom"/>
          </w:tcPr>
          <w:p>
            <w:pPr>
              <w:jc w:val="center"/>
              <w:ind w:right="192"/>
              <w:spacing w:after="0"/>
              <w:rPr>
                <w:sz w:val="20"/>
                <w:szCs w:val="20"/>
                <w:color w:val="auto"/>
              </w:rPr>
            </w:pPr>
            <w:r>
              <w:rPr>
                <w:rFonts w:ascii="Arial" w:cs="Arial" w:eastAsia="Arial" w:hAnsi="Arial"/>
                <w:sz w:val="18"/>
                <w:szCs w:val="18"/>
                <w:color w:val="auto"/>
                <w:w w:val="91"/>
              </w:rPr>
              <w:t>Tel: 212-872 1417  Fax: 212-872 1524</w:t>
            </w:r>
          </w:p>
        </w:tc>
      </w:tr>
      <w:tr>
        <w:trPr>
          <w:trHeight w:val="365"/>
        </w:trPr>
        <w:tc>
          <w:tcPr>
            <w:tcW w:w="2340" w:type="dxa"/>
            <w:vAlign w:val="bottom"/>
          </w:tcPr>
          <w:p>
            <w:pPr>
              <w:spacing w:after="0"/>
              <w:rPr>
                <w:sz w:val="24"/>
                <w:szCs w:val="24"/>
                <w:color w:val="auto"/>
              </w:rPr>
            </w:pPr>
          </w:p>
        </w:tc>
        <w:tc>
          <w:tcPr>
            <w:tcW w:w="5140" w:type="dxa"/>
            <w:vAlign w:val="bottom"/>
            <w:gridSpan w:val="3"/>
          </w:tcPr>
          <w:p>
            <w:pPr>
              <w:jc w:val="center"/>
              <w:ind w:left="1532"/>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320"/>
          </w:cols>
          <w:pgMar w:left="240" w:top="28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10.26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PURCHASE AGREEMENT</w:t>
      </w:r>
    </w:p>
    <w:p>
      <w:pPr>
        <w:spacing w:after="0" w:line="164"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this 14th day of November 2002,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Vikram Talwar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1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WHEREAS, the Company was formed for the purpose of acquiring ExlService.com, Inc. (“</w:t>
      </w:r>
      <w:r>
        <w:rPr>
          <w:rFonts w:ascii="Arial" w:cs="Arial" w:eastAsia="Arial" w:hAnsi="Arial"/>
          <w:sz w:val="18"/>
          <w:szCs w:val="18"/>
          <w:u w:val="single" w:color="auto"/>
          <w:color w:val="auto"/>
        </w:rPr>
        <w:t>Exl Delaware</w:t>
      </w:r>
      <w:r>
        <w:rPr>
          <w:rFonts w:ascii="Arial" w:cs="Arial" w:eastAsia="Arial" w:hAnsi="Arial"/>
          <w:sz w:val="18"/>
          <w:szCs w:val="18"/>
          <w:color w:val="auto"/>
        </w:rPr>
        <w:t>”), a Delaware corporation, from Conseco Inc. (“</w:t>
      </w:r>
      <w:r>
        <w:rPr>
          <w:rFonts w:ascii="Arial" w:cs="Arial" w:eastAsia="Arial" w:hAnsi="Arial"/>
          <w:sz w:val="18"/>
          <w:szCs w:val="18"/>
          <w:u w:val="single" w:color="auto"/>
          <w:color w:val="auto"/>
        </w:rPr>
        <w:t>Conseco</w:t>
      </w:r>
      <w:r>
        <w:rPr>
          <w:rFonts w:ascii="Arial" w:cs="Arial" w:eastAsia="Arial" w:hAnsi="Arial"/>
          <w:sz w:val="18"/>
          <w:szCs w:val="18"/>
          <w:color w:val="auto"/>
        </w:rPr>
        <w:t>”), an Indiana corporation, (the “</w:t>
      </w:r>
      <w:r>
        <w:rPr>
          <w:rFonts w:ascii="Arial" w:cs="Arial" w:eastAsia="Arial" w:hAnsi="Arial"/>
          <w:sz w:val="18"/>
          <w:szCs w:val="18"/>
          <w:u w:val="single" w:color="auto"/>
          <w:color w:val="auto"/>
        </w:rPr>
        <w:t>Acquisition</w:t>
      </w:r>
      <w:r>
        <w:rPr>
          <w:rFonts w:ascii="Arial" w:cs="Arial" w:eastAsia="Arial" w:hAnsi="Arial"/>
          <w:sz w:val="18"/>
          <w:szCs w:val="18"/>
          <w:color w:val="auto"/>
        </w:rPr>
        <w:t>”);</w:t>
      </w:r>
    </w:p>
    <w:p>
      <w:pPr>
        <w:spacing w:after="0" w:line="118"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WHEREAS, Conseco has required Purchaser to deliver the Termination Agreement and General Release by and among Purchaser, Conseco and Exl Delaware as a condition to closing the Acquisition;</w:t>
      </w:r>
    </w:p>
    <w:p>
      <w:pPr>
        <w:spacing w:after="0" w:line="118" w:lineRule="exact"/>
        <w:rPr>
          <w:sz w:val="20"/>
          <w:szCs w:val="20"/>
          <w:color w:val="auto"/>
        </w:rPr>
      </w:pPr>
    </w:p>
    <w:p>
      <w:pPr>
        <w:ind w:right="220" w:firstLine="913"/>
        <w:spacing w:after="0" w:line="298" w:lineRule="auto"/>
        <w:rPr>
          <w:sz w:val="20"/>
          <w:szCs w:val="20"/>
          <w:color w:val="auto"/>
        </w:rPr>
      </w:pPr>
      <w:r>
        <w:rPr>
          <w:rFonts w:ascii="Arial" w:cs="Arial" w:eastAsia="Arial" w:hAnsi="Arial"/>
          <w:sz w:val="16"/>
          <w:szCs w:val="16"/>
          <w:color w:val="auto"/>
        </w:rPr>
        <w:t>WHEREAS, Purchaser has provided substantial services (the “</w:t>
      </w:r>
      <w:r>
        <w:rPr>
          <w:rFonts w:ascii="Arial" w:cs="Arial" w:eastAsia="Arial" w:hAnsi="Arial"/>
          <w:sz w:val="16"/>
          <w:szCs w:val="16"/>
          <w:u w:val="single" w:color="auto"/>
          <w:color w:val="auto"/>
        </w:rPr>
        <w:t>Rendered Services</w:t>
      </w:r>
      <w:r>
        <w:rPr>
          <w:rFonts w:ascii="Arial" w:cs="Arial" w:eastAsia="Arial" w:hAnsi="Arial"/>
          <w:sz w:val="16"/>
          <w:szCs w:val="16"/>
          <w:color w:val="auto"/>
        </w:rPr>
        <w:t>”) to the Company, in connection with the Acquisition, including without limitation, preparation of a budget and business plan, establishing contacts with potential clients and undertaking negotiations toward agreements to be entered into following the consummation of the Acquisition, making presentations to Conseco on behalf of the Company, and working with employees of Exl Delaware and its wholly owned Indian subsidiary, ExlService.com (India) Private Limited, on critical transition issues; and</w:t>
      </w:r>
    </w:p>
    <w:p>
      <w:pPr>
        <w:spacing w:after="0" w:line="99"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WHEREAS, the Purchaser will manage the affairs of Exl Delaware following the Acquisition, and the Company wishes for Purchaser to have an ownership interest in the Company;</w:t>
      </w:r>
    </w:p>
    <w:p>
      <w:pPr>
        <w:spacing w:after="0" w:line="118"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WHEREAS, the Company wishes to sell to Purchaser and Purchaser desires to purchase from the Company 1,000,000 shares of the Company’s Series A Common Stock, par value, $0.001 per share (the “</w:t>
      </w:r>
      <w:r>
        <w:rPr>
          <w:rFonts w:ascii="Arial" w:cs="Arial" w:eastAsia="Arial" w:hAnsi="Arial"/>
          <w:sz w:val="18"/>
          <w:szCs w:val="18"/>
          <w:u w:val="single" w:color="auto"/>
          <w:color w:val="auto"/>
        </w:rPr>
        <w:t>Stock</w:t>
      </w:r>
      <w:r>
        <w:rPr>
          <w:rFonts w:ascii="Arial" w:cs="Arial" w:eastAsia="Arial" w:hAnsi="Arial"/>
          <w:sz w:val="18"/>
          <w:szCs w:val="18"/>
          <w:color w:val="auto"/>
        </w:rPr>
        <w:t>”), according to the terms and conditions hereof; and</w:t>
      </w:r>
    </w:p>
    <w:p>
      <w:pPr>
        <w:spacing w:after="0" w:line="11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the Company and the Purchaser have agreed that certain shares of the Stock shall be issued to Purchaser free and clear of any restrictions under this Agreement, and certain shares of the Stock shall be issued to Purchaser subject to a right of repurchase by the Company as described herein below;</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agree as follows:</w:t>
      </w:r>
    </w:p>
    <w:p>
      <w:pPr>
        <w:spacing w:after="0" w:line="77" w:lineRule="exact"/>
        <w:rPr>
          <w:sz w:val="20"/>
          <w:szCs w:val="20"/>
          <w:color w:val="auto"/>
        </w:rPr>
      </w:pPr>
    </w:p>
    <w:p>
      <w:pPr>
        <w:ind w:right="80" w:firstLine="921"/>
        <w:spacing w:after="0" w:line="259" w:lineRule="auto"/>
        <w:tabs>
          <w:tab w:leader="none" w:pos="1088"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Purchase and Sale of Stock</w:t>
      </w:r>
      <w:r>
        <w:rPr>
          <w:rFonts w:ascii="Arial" w:cs="Arial" w:eastAsia="Arial" w:hAnsi="Arial"/>
          <w:sz w:val="18"/>
          <w:szCs w:val="18"/>
          <w:color w:val="auto"/>
        </w:rPr>
        <w:t>. Subject to the terms and conditions of this Agreement, the Company hereby agrees to sell to Purchaser and Purchaser agrees to purchase from the Company on the Closing Date (as herein defined), 1,000,000 shares of the Stock at a price of $.001 per share, for an aggregate purchase price of $1,000.00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149" w:name="page150"/>
    <w:bookmarkEnd w:id="149"/>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 </w:t>
      </w:r>
      <w:r>
        <w:rPr>
          <w:rFonts w:ascii="Arial" w:cs="Arial" w:eastAsia="Arial" w:hAnsi="Arial"/>
          <w:sz w:val="15"/>
          <w:szCs w:val="15"/>
          <w:u w:val="single" w:color="auto"/>
          <w:color w:val="auto"/>
        </w:rPr>
        <w:t>Closing</w:t>
      </w:r>
      <w:r>
        <w:rPr>
          <w:rFonts w:ascii="Arial" w:cs="Arial" w:eastAsia="Arial" w:hAnsi="Arial"/>
          <w:sz w:val="15"/>
          <w:szCs w:val="15"/>
          <w:color w:val="auto"/>
        </w:rPr>
        <w:t>. The purchase and sale of the Stock shall occur at the Closing (as such term is defined in the Stock and Note Purchase Agreement, dated</w:t>
      </w:r>
    </w:p>
    <w:p>
      <w:pPr>
        <w:spacing w:after="0" w:line="5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 , 2002], by and among Oak Hill Capital Partners, L.P., Oak Hill Capital Management Partners, L.P., Financial Technology Ventures (Q), L.P. and certain of its affiliates, Vikram Talwar and Rohit Kapoor. At the closing, Purchaser, in addition to having rendered the Rendered Services, which the parties agree shall have the value of $239,500, shall deliver to the Company either cash or check per the Company’s instructions the balance of the Purchase Price after taking into account the value of the Rendered Services, and the Company will issue two duly executed certificates evidencing the Restricted Stock, as defined below, and the shares of Stock which are not Restricted Stock in the name of Purchaser with the certificate or certificates representing the Restricted Stock to be held pursuant to the escrow described in Section 6 hereof (the “</w:t>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-733425</wp:posOffset>
            </wp:positionV>
            <wp:extent cx="69659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85" w:lineRule="exact"/>
        <w:rPr>
          <w:sz w:val="20"/>
          <w:szCs w:val="20"/>
          <w:color w:val="auto"/>
        </w:rPr>
      </w:pPr>
    </w:p>
    <w:p>
      <w:pPr>
        <w:ind w:left="1100" w:hanging="179"/>
        <w:spacing w:after="0"/>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Repurchase Option and Release of Stock</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40" w:hanging="248"/>
        <w:spacing w:after="0"/>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 w:firstLine="1948"/>
        <w:spacing w:after="0" w:line="285" w:lineRule="auto"/>
        <w:tabs>
          <w:tab w:leader="none" w:pos="215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The Company shall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three (3) years from the date hereof, to repurchase twenty-five percent (25%) of the Stock (the “</w:t>
      </w:r>
      <w:r>
        <w:rPr>
          <w:rFonts w:ascii="Arial" w:cs="Arial" w:eastAsia="Arial" w:hAnsi="Arial"/>
          <w:sz w:val="16"/>
          <w:szCs w:val="16"/>
          <w:u w:val="single" w:color="auto"/>
          <w:color w:val="auto"/>
        </w:rPr>
        <w:t>Restricted Stock</w:t>
      </w:r>
      <w:r>
        <w:rPr>
          <w:rFonts w:ascii="Arial" w:cs="Arial" w:eastAsia="Arial" w:hAnsi="Arial"/>
          <w:sz w:val="16"/>
          <w:szCs w:val="16"/>
          <w:color w:val="auto"/>
        </w:rPr>
        <w:t>”), or such lesser amount of the Restricted Stock as elected by the Company at such time; if such repurchase occurs within one calendar year of the date hereof, the repurchase price shall be the original purchase price per share ($0.24) and if such repurchase occurs at or after one calendar year from the date hereof, the repurchase price shall be the Fair Market Value. The Repurchase Option shall be exercisable only in the event that the Purchaser’s employment by or services to the Company has been terminated due to death, Disability without Good Reason or for Cause (each as defined in Section 7 of the Employment and Non-Competition Agreement dated as of the date hereof by and among the Company, certain of its subsidiaries, and the Purchaser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The Repurchase Option shall be exercised by the Company by written notice to the Purchaser or his executor (with a copy to the Escrow Agent (as defined in Section 6 hereof)) and, at the Company’s option, (i) by delivery to Purchaser or his executor with such notice of a check in the amount of the repurchase price for the Restricted Stock being repurchased, or (ii) by cancellation by the Company of an amount of Purchaser’s indebtedness to the Company equal to the repurchase price for the Stock being repurchased, or (iii) by a combination of (i) and (ii) so that the combined payment and cancellation of indebtedness equals such repurchase price. Upon delivery of such notice and the payment of the repurchase price in any of the ways described above, the Company shall become the legal and beneficial owner of the Stock (formerly, Restricted Stock) being repurchased and all rights and interests therein or relating thereto, and the Company shall have the right to retain and transfer to its own name the number of shares of such Stock being repurchased by the Company. For the purposes of this Section 3, “Fair Market Value” shall mean the fair market value of the Restricted Stock as determined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provided, however, if the Purchaser disagrees with the Board’s determination of the fair market value of the Restricted Stock, then “Fair Market Value” shall mean the fair market value of the Restricted Stock as determined by a United States nationally recognized appraiser selected by the Board. The cost of such appraiser shall be paid by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0" w:name="page151"/>
    <w:bookmarkEnd w:id="150"/>
    <w:p>
      <w:pPr>
        <w:ind w:left="-8" w:right="40" w:firstLine="1948"/>
        <w:spacing w:after="0" w:line="291" w:lineRule="auto"/>
        <w:tabs>
          <w:tab w:leader="none" w:pos="2190" w:val="left"/>
        </w:tabs>
        <w:numPr>
          <w:ilvl w:val="3"/>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Whenever the Company shall have the right to repurchase shares of the Restricted Stock hereunder, the Company may designate and assign one or more employees, officers, directors or stockholders of the Company or other persons or organizations to exercise all or a part of the Company’s repurchase rights under this Agreement and purchase all or a part of such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fair market value of the Restricted Stock to be repurchased on the date the Repurchase Option is exercised (“</w:t>
      </w:r>
      <w:r>
        <w:rPr>
          <w:rFonts w:ascii="Arial" w:cs="Arial" w:eastAsia="Arial" w:hAnsi="Arial"/>
          <w:sz w:val="16"/>
          <w:szCs w:val="16"/>
          <w:u w:val="single" w:color="auto"/>
          <w:color w:val="auto"/>
        </w:rPr>
        <w:t>Repurchase FMV</w:t>
      </w:r>
      <w:r>
        <w:rPr>
          <w:rFonts w:ascii="Arial" w:cs="Arial" w:eastAsia="Arial" w:hAnsi="Arial"/>
          <w:sz w:val="16"/>
          <w:szCs w:val="16"/>
          <w:color w:val="auto"/>
        </w:rPr>
        <w:t>”) exceeds the repurchase price of the Restricted Stock to be repurchased, then each such designee or assignee shall pay the Company cash equal to the difference between the Repurchase FMV and the repurchase price of the Restricted Stock which such designee or assignee shall have the right to repurchase.</w:t>
      </w:r>
    </w:p>
    <w:p>
      <w:pPr>
        <w:spacing w:after="0" w:line="106" w:lineRule="exact"/>
        <w:rPr>
          <w:rFonts w:ascii="Arial" w:cs="Arial" w:eastAsia="Arial" w:hAnsi="Arial"/>
          <w:sz w:val="16"/>
          <w:szCs w:val="16"/>
          <w:color w:val="auto"/>
        </w:rPr>
      </w:pPr>
    </w:p>
    <w:p>
      <w:pPr>
        <w:jc w:val="both"/>
        <w:ind w:left="-8" w:right="20" w:firstLine="1492"/>
        <w:spacing w:after="0" w:line="303" w:lineRule="auto"/>
        <w:tabs>
          <w:tab w:leader="none" w:pos="1724" w:val="left"/>
        </w:tabs>
        <w:numPr>
          <w:ilvl w:val="2"/>
          <w:numId w:val="114"/>
        </w:numPr>
        <w:rPr>
          <w:rFonts w:ascii="Arial" w:cs="Arial" w:eastAsia="Arial" w:hAnsi="Arial"/>
          <w:sz w:val="15"/>
          <w:szCs w:val="15"/>
          <w:color w:val="auto"/>
        </w:rPr>
      </w:pPr>
      <w:r>
        <w:rPr>
          <w:rFonts w:ascii="Arial" w:cs="Arial" w:eastAsia="Arial" w:hAnsi="Arial"/>
          <w:sz w:val="15"/>
          <w:szCs w:val="15"/>
          <w:u w:val="single" w:color="auto"/>
          <w:color w:val="auto"/>
        </w:rPr>
        <w:t>Release of Stock From Repurchase Option</w:t>
      </w:r>
      <w:r>
        <w:rPr>
          <w:rFonts w:ascii="Arial" w:cs="Arial" w:eastAsia="Arial" w:hAnsi="Arial"/>
          <w:sz w:val="15"/>
          <w:szCs w:val="15"/>
          <w:color w:val="auto"/>
        </w:rPr>
        <w:t>. The Restricted Stock shall be entirely released from the Company’s right of repurchase under Section 3(a) hereof on the earliest to occur of (i) sixty (60) days from the date of termination of the Executive’s employment by or services to the Company due to death, Disability without Good Reason or for Cause (each as defined in Section 7 of the Employment Agreement) (ii) the third anniversary of the date hereof, or</w:t>
      </w:r>
    </w:p>
    <w:p>
      <w:pPr>
        <w:spacing w:after="0" w:line="1" w:lineRule="exact"/>
        <w:rPr>
          <w:rFonts w:ascii="Arial" w:cs="Arial" w:eastAsia="Arial" w:hAnsi="Arial"/>
          <w:sz w:val="15"/>
          <w:szCs w:val="15"/>
          <w:color w:val="auto"/>
        </w:rPr>
      </w:pPr>
    </w:p>
    <w:p>
      <w:pPr>
        <w:ind w:left="312" w:hanging="312"/>
        <w:spacing w:after="0"/>
        <w:tabs>
          <w:tab w:leader="none" w:pos="3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date Purchaser’s employment with or services to the Company is terminated for Good Reason or without Cause.</w:t>
      </w:r>
    </w:p>
    <w:p>
      <w:pPr>
        <w:spacing w:after="0" w:line="151" w:lineRule="exact"/>
        <w:rPr>
          <w:rFonts w:ascii="Arial" w:cs="Arial" w:eastAsia="Arial" w:hAnsi="Arial"/>
          <w:sz w:val="18"/>
          <w:szCs w:val="18"/>
          <w:color w:val="auto"/>
        </w:rPr>
      </w:pPr>
    </w:p>
    <w:p>
      <w:pPr>
        <w:jc w:val="both"/>
        <w:ind w:left="-8" w:right="120" w:firstLine="921"/>
        <w:spacing w:after="0" w:line="256" w:lineRule="auto"/>
        <w:tabs>
          <w:tab w:leader="none" w:pos="108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Restriction on Transfer</w:t>
      </w:r>
      <w:r>
        <w:rPr>
          <w:rFonts w:ascii="Arial" w:cs="Arial" w:eastAsia="Arial" w:hAnsi="Arial"/>
          <w:sz w:val="18"/>
          <w:szCs w:val="18"/>
          <w:color w:val="auto"/>
        </w:rPr>
        <w:t>. Purchaser shall only be permitted to sell, transfer, pledge, hypothecate or otherwise dispose of any shares of the Stock in accordance with the transfer restrictions on the Stock as set forth in the Stockholders Agreement dated as of November 14, 2002, among the Executive, Oak Hill Capital Partners, L.P., a Delaware limited partnership, Financial Technology Ventures (Q), L.P., a Delaware limited partnership, and certain of its affiliates, and certain other investors listed on the signature pages thereto.</w:t>
      </w:r>
    </w:p>
    <w:p>
      <w:pPr>
        <w:spacing w:after="0" w:line="129" w:lineRule="exact"/>
        <w:rPr>
          <w:rFonts w:ascii="Arial" w:cs="Arial" w:eastAsia="Arial" w:hAnsi="Arial"/>
          <w:sz w:val="18"/>
          <w:szCs w:val="18"/>
          <w:color w:val="auto"/>
        </w:rPr>
      </w:pPr>
    </w:p>
    <w:p>
      <w:pPr>
        <w:ind w:left="1092" w:hanging="179"/>
        <w:spacing w:after="0"/>
        <w:tabs>
          <w:tab w:leader="none" w:pos="1092" w:val="left"/>
        </w:tabs>
        <w:numPr>
          <w:ilvl w:val="1"/>
          <w:numId w:val="115"/>
        </w:numPr>
        <w:rPr>
          <w:rFonts w:ascii="Arial" w:cs="Arial" w:eastAsia="Arial" w:hAnsi="Arial"/>
          <w:sz w:val="15"/>
          <w:szCs w:val="15"/>
          <w:color w:val="auto"/>
        </w:rPr>
      </w:pPr>
      <w:r>
        <w:rPr>
          <w:rFonts w:ascii="Arial" w:cs="Arial" w:eastAsia="Arial" w:hAnsi="Arial"/>
          <w:sz w:val="15"/>
          <w:szCs w:val="15"/>
          <w:u w:val="single" w:color="auto"/>
          <w:color w:val="auto"/>
        </w:rPr>
        <w:t>Purchaser’s Representations</w:t>
      </w:r>
      <w:r>
        <w:rPr>
          <w:rFonts w:ascii="Arial" w:cs="Arial" w:eastAsia="Arial" w:hAnsi="Arial"/>
          <w:sz w:val="15"/>
          <w:szCs w:val="15"/>
          <w:color w:val="auto"/>
        </w:rPr>
        <w:t>. In connection with his purchase of the Stock, Purchaser hereby represents and warrants to the Company as follows:</w:t>
      </w:r>
    </w:p>
    <w:p>
      <w:pPr>
        <w:spacing w:after="0" w:line="111" w:lineRule="exact"/>
        <w:rPr>
          <w:rFonts w:ascii="Arial" w:cs="Arial" w:eastAsia="Arial" w:hAnsi="Arial"/>
          <w:sz w:val="15"/>
          <w:szCs w:val="15"/>
          <w:color w:val="auto"/>
        </w:rPr>
      </w:pPr>
    </w:p>
    <w:p>
      <w:pPr>
        <w:ind w:left="-8" w:firstLine="1492"/>
        <w:spacing w:after="0" w:line="290" w:lineRule="auto"/>
        <w:tabs>
          <w:tab w:leader="none" w:pos="1714"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Investment Intent; Capacity to Protect Interests</w:t>
      </w:r>
      <w:r>
        <w:rPr>
          <w:rFonts w:ascii="Arial" w:cs="Arial" w:eastAsia="Arial" w:hAnsi="Arial"/>
          <w:sz w:val="16"/>
          <w:szCs w:val="16"/>
          <w:color w:val="auto"/>
        </w:rPr>
        <w:t>. Purchaser is purchasing the Stock solely for his own account (or that of a trust established for the benefit of his children) for investment and not with a view to or for sale in connection with any distribution of the Stock or any portion thereof and not with any present intention of selling, offering to sell or otherwise disposing of or distributing the Stock or any portion thereof in any transaction other than a transaction exempt from registration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Purchaser also represents that the entire legal and beneficial interest of the Stock is being purchased, and will be held, for Purchaser’s account (or that of a trust established for the benefit of his children) only, and neither in whole or in part for any other person. Purchaser either has a pre-existing business or personal relationship with the Company or any of its officers, directors or controlling persons or by reason of Purchaser’s business or financial experience or the</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80" w:right="239" w:bottom="1440" w:gutter="0" w:footer="0" w:header="0"/>
        </w:sectPr>
      </w:pPr>
    </w:p>
    <w:bookmarkStart w:id="151" w:name="page152"/>
    <w:bookmarkEnd w:id="151"/>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or financial experience of Purchaser’s professional advisors who are unaffiliated with and who are not compensated by the Company or any affiliate or selling agent of the Company, directly or indirectly, could be reasonably assumed to have the capacity to evaluate the merits and risks of an investment in the Company and to protect Purchaser’s own interests in connection with this transaction.</w:t>
      </w:r>
    </w:p>
    <w:p>
      <w:pPr>
        <w:spacing w:after="0" w:line="127" w:lineRule="exact"/>
        <w:rPr>
          <w:sz w:val="20"/>
          <w:szCs w:val="20"/>
          <w:color w:val="auto"/>
        </w:rPr>
      </w:pPr>
    </w:p>
    <w:p>
      <w:pPr>
        <w:ind w:firstLine="1492"/>
        <w:spacing w:after="0" w:line="259" w:lineRule="auto"/>
        <w:tabs>
          <w:tab w:leader="none" w:pos="173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Residence</w:t>
      </w:r>
      <w:r>
        <w:rPr>
          <w:rFonts w:ascii="Arial" w:cs="Arial" w:eastAsia="Arial" w:hAnsi="Arial"/>
          <w:sz w:val="18"/>
          <w:szCs w:val="18"/>
          <w:color w:val="auto"/>
        </w:rPr>
        <w:t>. Purchaser’s principal residence is within the State of Noida, India and is located at the address indicated beneath Purchaser’s signature below. If the Purchaser is a resident of a state which is a “Community Property” state, the Purchaser will obtain the consent of the Purchaser’s spouse on the form attached hereto.</w:t>
      </w:r>
    </w:p>
    <w:p>
      <w:pPr>
        <w:spacing w:after="0" w:line="126" w:lineRule="exact"/>
        <w:rPr>
          <w:rFonts w:ascii="Arial" w:cs="Arial" w:eastAsia="Arial" w:hAnsi="Arial"/>
          <w:sz w:val="18"/>
          <w:szCs w:val="18"/>
          <w:color w:val="auto"/>
        </w:rPr>
      </w:pPr>
    </w:p>
    <w:p>
      <w:pPr>
        <w:ind w:right="80" w:firstLine="1492"/>
        <w:spacing w:after="0" w:line="298" w:lineRule="auto"/>
        <w:tabs>
          <w:tab w:leader="none" w:pos="172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Information Concerning Company</w:t>
      </w:r>
      <w:r>
        <w:rPr>
          <w:rFonts w:ascii="Arial" w:cs="Arial" w:eastAsia="Arial" w:hAnsi="Arial"/>
          <w:sz w:val="16"/>
          <w:szCs w:val="16"/>
          <w:color w:val="auto"/>
        </w:rPr>
        <w:t>. Purchaser has heretofore discussed the Company and its plans, operations and financial condition with the Company’s officers and has heretofore received all such information as Purchaser has deemed necessary and appropriate to enable Purchaser to evaluate the financial risk inherent in making an investment in the Stock, and Purchaser has received satisfactory and complete information concerning the business and financial condition of the Company in response to all inquiries in respect thereof.</w:t>
      </w:r>
    </w:p>
    <w:p>
      <w:pPr>
        <w:spacing w:after="0" w:line="99" w:lineRule="exact"/>
        <w:rPr>
          <w:rFonts w:ascii="Arial" w:cs="Arial" w:eastAsia="Arial" w:hAnsi="Arial"/>
          <w:sz w:val="16"/>
          <w:szCs w:val="16"/>
          <w:color w:val="auto"/>
        </w:rPr>
      </w:pPr>
    </w:p>
    <w:p>
      <w:pPr>
        <w:jc w:val="both"/>
        <w:ind w:right="200" w:firstLine="1492"/>
        <w:spacing w:after="0" w:line="259" w:lineRule="auto"/>
        <w:tabs>
          <w:tab w:leader="none" w:pos="173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Purchaser realizes that the purchase of the Stock will be a highly speculative investment and involves a high degree of risk, and Purchaser is able, without impairing financial condition, to hold the Stock for an indefinite period of time and to suffer a complete loss on Purchaser’s investment.</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Purchaser understands and acknowledges that:</w:t>
      </w:r>
    </w:p>
    <w:p>
      <w:pPr>
        <w:spacing w:after="0" w:line="76" w:lineRule="exact"/>
        <w:rPr>
          <w:rFonts w:ascii="Arial" w:cs="Arial" w:eastAsia="Arial" w:hAnsi="Arial"/>
          <w:sz w:val="18"/>
          <w:szCs w:val="18"/>
          <w:color w:val="auto"/>
        </w:rPr>
      </w:pPr>
    </w:p>
    <w:p>
      <w:pPr>
        <w:ind w:right="200" w:firstLine="1948"/>
        <w:spacing w:after="0" w:line="294" w:lineRule="auto"/>
        <w:tabs>
          <w:tab w:leader="none" w:pos="215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Stock has not been registered under the Securities Act in reliance upon a specific exemption therefrom, which exemption depends upon, among other things, the bona fide nature of Purchaser’s investment intent as expressed herein. In this connection, Purchaser understands that, in the view of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the statutory basis for such exemption may be unavailable if Purchaser’s representation was predicated solely upon a present intention to hold the Stock for the minimum capital gains period specified under tax statutes, for a deferred sale, for or until an increase or decrease in the market price of the Stock, or for a period of one (1) year or any other fixed period in the future.</w:t>
      </w:r>
    </w:p>
    <w:p>
      <w:pPr>
        <w:spacing w:after="0" w:line="102" w:lineRule="exact"/>
        <w:rPr>
          <w:rFonts w:ascii="Arial" w:cs="Arial" w:eastAsia="Arial" w:hAnsi="Arial"/>
          <w:sz w:val="16"/>
          <w:szCs w:val="16"/>
          <w:color w:val="auto"/>
        </w:rPr>
      </w:pPr>
    </w:p>
    <w:p>
      <w:pPr>
        <w:ind w:right="100" w:firstLine="1948"/>
        <w:spacing w:after="0" w:line="298" w:lineRule="auto"/>
        <w:tabs>
          <w:tab w:leader="none" w:pos="219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Stock must be held indefinitely unless it is subsequently registered under the Securities Act or unless an exemption from such registration is otherwise available. Purchaser further acknowledges and understands that the Company is under no obligation to register the Stock. In addition, Purchaser understands that the certificate evidencing the Stock will be imprinted with a legend which prohibits the transfer of the Stock unless it is registered or such registration is not required in the opinion of counsel satisfactory to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152" w:name="page153"/>
    <w:bookmarkEnd w:id="152"/>
    <w:p>
      <w:pPr>
        <w:ind w:left="1680" w:hanging="228"/>
        <w:spacing w:after="0"/>
        <w:tabs>
          <w:tab w:leader="none" w:pos="16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under Rule 144</w:t>
      </w:r>
      <w:r>
        <w:rPr>
          <w:rFonts w:ascii="Arial" w:cs="Arial" w:eastAsia="Arial" w:hAnsi="Arial"/>
          <w:sz w:val="18"/>
          <w:szCs w:val="18"/>
          <w:color w:val="auto"/>
        </w:rPr>
        <w:t>. Purchaser understands that:</w:t>
      </w:r>
    </w:p>
    <w:p>
      <w:pPr>
        <w:spacing w:after="0" w:line="76" w:lineRule="exact"/>
        <w:rPr>
          <w:rFonts w:ascii="Arial" w:cs="Arial" w:eastAsia="Arial" w:hAnsi="Arial"/>
          <w:sz w:val="18"/>
          <w:szCs w:val="18"/>
          <w:color w:val="auto"/>
        </w:rPr>
      </w:pPr>
    </w:p>
    <w:p>
      <w:pPr>
        <w:ind w:left="-40" w:right="40" w:firstLine="1948"/>
        <w:spacing w:after="0" w:line="255" w:lineRule="auto"/>
        <w:tabs>
          <w:tab w:leader="none" w:pos="211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shares of Stock are restricted securities within the meaning of Rule 144 promulgated under the Act; that the exemption from registration under Rule 144 will not be available in any event for at least one (1) year from the date of purchase and payment of the Stock, and even then will not be available unless (i) a public trading market then exists for the Common Stock of the Company, (ii) adequate information concerning the Company is then available to the public, and (iii) other terms and conditions of Rule 144 are complied with; and that any sale of the Stock may be made only in limited amounts in accordance with such terms and conditions;</w:t>
      </w:r>
    </w:p>
    <w:p>
      <w:pPr>
        <w:spacing w:after="0" w:line="129" w:lineRule="exact"/>
        <w:rPr>
          <w:rFonts w:ascii="Arial" w:cs="Arial" w:eastAsia="Arial" w:hAnsi="Arial"/>
          <w:sz w:val="18"/>
          <w:szCs w:val="18"/>
          <w:color w:val="auto"/>
        </w:rPr>
      </w:pPr>
    </w:p>
    <w:p>
      <w:pPr>
        <w:ind w:left="-40" w:right="20" w:firstLine="1948"/>
        <w:spacing w:after="0" w:line="306" w:lineRule="auto"/>
        <w:tabs>
          <w:tab w:leader="none" w:pos="215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that at the time Purchaser wishes to sell the Stock there may be no public market upon which to make such a sale, and that, even if such a public market then exists, the Company may not be satisfying the current public information requirements of Rule 144, and that, in such event, Purchaser would be precluded from selling the Stock under Rule 144 even if the one (1) year minimum holding period had been satisfied; and</w:t>
      </w:r>
    </w:p>
    <w:p>
      <w:pPr>
        <w:spacing w:after="0" w:line="93" w:lineRule="exact"/>
        <w:rPr>
          <w:rFonts w:ascii="Arial" w:cs="Arial" w:eastAsia="Arial" w:hAnsi="Arial"/>
          <w:sz w:val="16"/>
          <w:szCs w:val="16"/>
          <w:color w:val="auto"/>
        </w:rPr>
      </w:pPr>
    </w:p>
    <w:p>
      <w:pPr>
        <w:ind w:left="-40" w:right="180" w:firstLine="1948"/>
        <w:spacing w:after="0" w:line="294" w:lineRule="auto"/>
        <w:tabs>
          <w:tab w:leader="none" w:pos="220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event all of the requirements of Rule 144 are not satisfied, registration under the Securities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02" w:lineRule="exact"/>
        <w:rPr>
          <w:rFonts w:ascii="Arial" w:cs="Arial" w:eastAsia="Arial" w:hAnsi="Arial"/>
          <w:sz w:val="16"/>
          <w:szCs w:val="16"/>
          <w:color w:val="auto"/>
        </w:rPr>
      </w:pPr>
    </w:p>
    <w:p>
      <w:pPr>
        <w:ind w:left="-40" w:firstLine="1492"/>
        <w:spacing w:after="0" w:line="268" w:lineRule="auto"/>
        <w:tabs>
          <w:tab w:leader="none" w:pos="169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Further Limitations on Disposition</w:t>
      </w:r>
      <w:r>
        <w:rPr>
          <w:rFonts w:ascii="Arial" w:cs="Arial" w:eastAsia="Arial" w:hAnsi="Arial"/>
          <w:sz w:val="18"/>
          <w:szCs w:val="18"/>
          <w:color w:val="auto"/>
        </w:rPr>
        <w:t>. Without in any way limiting his representations set forth above, Purchaser further agrees that he shall in no event make any disposition of all or any portion of the Stock unless and until:</w:t>
      </w:r>
    </w:p>
    <w:p>
      <w:pPr>
        <w:spacing w:after="0" w:line="37" w:lineRule="exact"/>
        <w:rPr>
          <w:rFonts w:ascii="Arial" w:cs="Arial" w:eastAsia="Arial" w:hAnsi="Arial"/>
          <w:sz w:val="18"/>
          <w:szCs w:val="18"/>
          <w:color w:val="auto"/>
        </w:rPr>
      </w:pPr>
    </w:p>
    <w:p>
      <w:pPr>
        <w:ind w:left="-40" w:right="100" w:firstLine="1948"/>
        <w:spacing w:after="0" w:line="298" w:lineRule="auto"/>
        <w:tabs>
          <w:tab w:leader="none" w:pos="211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(A) there is then in effect a Registration Statement under the Act covering such proposed disposition and such disposition is made in accordance with said Registration Statement; </w:t>
      </w:r>
      <w:r>
        <w:rPr>
          <w:rFonts w:ascii="Arial" w:cs="Arial" w:eastAsia="Arial" w:hAnsi="Arial"/>
          <w:sz w:val="16"/>
          <w:szCs w:val="16"/>
          <w:u w:val="single" w:color="auto"/>
          <w:color w:val="auto"/>
        </w:rPr>
        <w:t>or</w:t>
      </w:r>
      <w:r>
        <w:rPr>
          <w:rFonts w:ascii="Arial" w:cs="Arial" w:eastAsia="Arial" w:hAnsi="Arial"/>
          <w:sz w:val="16"/>
          <w:szCs w:val="16"/>
          <w:color w:val="auto"/>
        </w:rPr>
        <w:t>, (B)(1) Purchaser shall have notified the Company of the proposed disposition and shall have furnished the Company with a detailed statement of the circumstances surrounding the proposed disposition, and (2) Purchaser shall have furnished the Company with an opinion of Purchaser’s counsel, such opinion to be reasonably acceptable to the Company.</w:t>
      </w:r>
    </w:p>
    <w:p>
      <w:pPr>
        <w:spacing w:after="0" w:line="99" w:lineRule="exact"/>
        <w:rPr>
          <w:rFonts w:ascii="Arial" w:cs="Arial" w:eastAsia="Arial" w:hAnsi="Arial"/>
          <w:sz w:val="16"/>
          <w:szCs w:val="16"/>
          <w:color w:val="auto"/>
        </w:rPr>
      </w:pPr>
    </w:p>
    <w:p>
      <w:pPr>
        <w:ind w:left="2160" w:hanging="252"/>
        <w:spacing w:after="0"/>
        <w:tabs>
          <w:tab w:leader="none" w:pos="21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shares of Stock proposed to be transferred are no longer subject to the Repurchase Option set forth in Section 3 hereof.</w:t>
      </w:r>
    </w:p>
    <w:p>
      <w:pPr>
        <w:spacing w:after="0" w:line="180" w:lineRule="exact"/>
        <w:rPr>
          <w:rFonts w:ascii="Arial" w:cs="Arial" w:eastAsia="Arial" w:hAnsi="Arial"/>
          <w:sz w:val="16"/>
          <w:szCs w:val="16"/>
          <w:color w:val="auto"/>
        </w:rPr>
      </w:pPr>
    </w:p>
    <w:p>
      <w:pPr>
        <w:jc w:val="both"/>
        <w:ind w:left="-40" w:right="80" w:firstLine="1492"/>
        <w:spacing w:after="0" w:line="259" w:lineRule="auto"/>
        <w:tabs>
          <w:tab w:leader="none" w:pos="169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Purchaser is an “accredited investor” as that term is defined in Regulation D under the Securities Act and has such knowledge and experience in financial and business matters as to be capable of evaluating the merits and risks of purchasing the Stock, and the Purchaser is able to bear the economic risk of his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53" w:name="page154"/>
    <w:bookmarkEnd w:id="153"/>
    <w:p>
      <w:pPr>
        <w:ind w:firstLine="1492"/>
        <w:spacing w:after="0" w:line="298" w:lineRule="auto"/>
        <w:tabs>
          <w:tab w:leader="none" w:pos="1693"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Valuation of Common Stock</w:t>
      </w:r>
      <w:r>
        <w:rPr>
          <w:rFonts w:ascii="Arial" w:cs="Arial" w:eastAsia="Arial" w:hAnsi="Arial"/>
          <w:sz w:val="16"/>
          <w:szCs w:val="16"/>
          <w:color w:val="auto"/>
        </w:rPr>
        <w:t>. Purchaser understands that the Stock has been valued by the Board of Directors and that the Company believes this valuation represents a fair attempt at reaching an accurate appraisal of its worth; Purchaser understands, however, that the Company can give no assurances that such price is in fact the fair market value of the Stock and that it is possible that, with the benefit of hindsight, the Internal Revenue Service would successfully assert that the value of the common stock on the date of purchase is substantially greater than so determined.</w:t>
      </w:r>
    </w:p>
    <w:p>
      <w:pPr>
        <w:spacing w:after="0" w:line="99"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If the Internal Revenue Service were to succeed in a tax determination that the Stock received had value greater than that upon which the transaction was based, the additional value would constitute ordinary income as of the date of its receipt. The additional taxes (and interest) due would be payable by Purchaser, and there is no provision for the Company to reimburse him for that tax liability, and Purchaser assumes all responsibility for such potential tax liability. In the event such additional value would represent more than twenty-five percent (25%) of Purchaser’s gross income for the year in which the value of the shares were taxable, the Internal Revenue Service would have six (6) years from the due date for filing the return (or the actual filing date of the return if filed thereafter) within which to assess Purchaser the additional tax and interest which would then be due.</w:t>
      </w:r>
    </w:p>
    <w:p>
      <w:pPr>
        <w:spacing w:after="0" w:line="10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Company would have the benefit, in any such transaction, if a determination was made prior to the three (3) year statute of limitations period affecting the Company, of an increase in its deduction for compensation paid, which would offset its operating profits, or, if not profitable, would create net operating loss carry forward arising from operations in that year.</w:t>
      </w:r>
    </w:p>
    <w:p>
      <w:pPr>
        <w:spacing w:after="0" w:line="127" w:lineRule="exact"/>
        <w:rPr>
          <w:sz w:val="20"/>
          <w:szCs w:val="20"/>
          <w:color w:val="auto"/>
        </w:rPr>
      </w:pPr>
    </w:p>
    <w:p>
      <w:pPr>
        <w:ind w:firstLine="1492"/>
        <w:spacing w:after="0" w:line="301" w:lineRule="auto"/>
        <w:tabs>
          <w:tab w:leader="none" w:pos="1693"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Purchaser understands that he (and not the Company) shall be responsible for his own federal, state, local or foreign tax liability and any of his other tax consequences that may arise as a result of the transactions contemplated by this Agreement. Purchaser shall rely solely on the determinations of his tax advisors or his own determinations, and not on any statements or representations by the Company or any of its agents, with regard to all such tax matters. Purchaser understands that Section 83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xml:space="preserve">”), taxes as ordinary income the difference between the amount paid for the Stock and the fair market value of the Stock as of the date any restrictions on the Stock lapse. In this context, “restriction” includes the right of the Company to buy back the Stock pursuant to its repurchase option. In the event the Company has registered any of its shares under the Securities Exchange Act of 1934, “restriction” with respect to officers, directors and ten percent (10%) stockholders also means the period after the purchase of the Stock during which such officer, director and ten percent (10%) stockholders could be subject to suit under Section 16(b) of the Securities Exchange Act of 1934. Purchaser understands that Purchaser may elect to be taxed at the time the shares of Stock are purchased rather than when and as the Company’s repurchase option or Section 16(b) restrictions expire by filing an election under Section 83(b) of the Code with the Internal Revenue Service within thirty (30) days from the date of purchase. </w:t>
      </w:r>
      <w:r>
        <w:rPr>
          <w:rFonts w:ascii="Arial" w:cs="Arial" w:eastAsia="Arial" w:hAnsi="Arial"/>
          <w:sz w:val="15"/>
          <w:szCs w:val="15"/>
          <w:b w:val="1"/>
          <w:bCs w:val="1"/>
          <w:color w:val="auto"/>
        </w:rPr>
        <w:t>PURCHASER ACKNOWLEDGES THAT IT IS PURCHASER’S SOLE RESPONSIBILITY AND NOT THE</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color w:val="auto"/>
        </w:rPr>
        <w:t>COMPANY’S TO FILE TIMELY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54" w:name="page155"/>
    <w:bookmarkEnd w:id="154"/>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UNDER SECTION 83(b) OF THE CODE, EVEN IF PURCHASER REQUESTS THE COMPANY OR ITS REPRESENTATIVES TO MAKE THIS FILING ON PURCHASER’S BEHALF.</w:t>
      </w:r>
    </w:p>
    <w:p>
      <w:pPr>
        <w:spacing w:after="0" w:line="112" w:lineRule="exact"/>
        <w:rPr>
          <w:sz w:val="20"/>
          <w:szCs w:val="20"/>
          <w:color w:val="auto"/>
        </w:rPr>
      </w:pPr>
    </w:p>
    <w:p>
      <w:pPr>
        <w:ind w:right="100" w:firstLine="921"/>
        <w:spacing w:after="0" w:line="290" w:lineRule="auto"/>
        <w:tabs>
          <w:tab w:leader="none" w:pos="108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As security for the faithful performance of the terms of this Agreement and to ensure the availability for delivery of Purchaser’s Stock upon exercise of the Repurchase Option herein provided for, Purchaser agrees to deliver to and deposit with outside counsel to Exl Delaware, such counsel to be mutually acceptable to the Company and Purchaser, as escrow agent in this transaction (“</w:t>
      </w:r>
      <w:r>
        <w:rPr>
          <w:rFonts w:ascii="Arial" w:cs="Arial" w:eastAsia="Arial" w:hAnsi="Arial"/>
          <w:sz w:val="16"/>
          <w:szCs w:val="16"/>
          <w:u w:val="single" w:color="auto"/>
          <w:color w:val="auto"/>
        </w:rPr>
        <w:t>Escrow Agent</w:t>
      </w:r>
      <w:r>
        <w:rPr>
          <w:rFonts w:ascii="Arial" w:cs="Arial" w:eastAsia="Arial" w:hAnsi="Arial"/>
          <w:sz w:val="16"/>
          <w:szCs w:val="16"/>
          <w:color w:val="auto"/>
        </w:rPr>
        <w:t xml:space="preserve">”), one Stock Assignment duly endorsed (with date and number of shares blank)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together with the certificate or certificates evidencing the Restricted Stock; said documents are to be held by the Escrow Agent and delivered by said Escrow Agent pursuant to the joint escrow instructions of the Company and Purchaser in accordance with standard terms for such instructions under an escrow agreement which shall be mutually agreed to by the Company and Purchaser, and delivered to the Escrow Agent at the closing hereunder.</w:t>
      </w:r>
    </w:p>
    <w:p>
      <w:pPr>
        <w:spacing w:after="0" w:line="104" w:lineRule="exact"/>
        <w:rPr>
          <w:rFonts w:ascii="Arial" w:cs="Arial" w:eastAsia="Arial" w:hAnsi="Arial"/>
          <w:sz w:val="16"/>
          <w:szCs w:val="16"/>
          <w:color w:val="auto"/>
        </w:rPr>
      </w:pPr>
    </w:p>
    <w:p>
      <w:pPr>
        <w:ind w:firstLine="921"/>
        <w:spacing w:after="0" w:line="294" w:lineRule="auto"/>
        <w:tabs>
          <w:tab w:leader="none" w:pos="1088"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Standoff Agreement</w:t>
      </w:r>
      <w:r>
        <w:rPr>
          <w:rFonts w:ascii="Arial" w:cs="Arial" w:eastAsia="Arial" w:hAnsi="Arial"/>
          <w:sz w:val="16"/>
          <w:szCs w:val="16"/>
          <w:color w:val="auto"/>
        </w:rPr>
        <w:t>. Purchaser agrees, in connection with the Company’s initial public offering of its equity securities, and upon request of the Company or the underwriters managing such offering, (i) not to sell, make any short sale of, loan, grant any option for the purchase of or otherwise dispose of any shares of Stock (other than those included in the registration, if any) without the prior written consent of the Company or such underwriters, as the case may be, for such period of time from the effective date of such registration as may be requested by the Company or such underwriters and (ii) to execute any agreement regarding (i) above as may be requested by the Company’s underwriters.</w:t>
      </w:r>
    </w:p>
    <w:p>
      <w:pPr>
        <w:spacing w:after="0" w:line="102" w:lineRule="exact"/>
        <w:rPr>
          <w:rFonts w:ascii="Arial" w:cs="Arial" w:eastAsia="Arial" w:hAnsi="Arial"/>
          <w:sz w:val="16"/>
          <w:szCs w:val="16"/>
          <w:color w:val="auto"/>
        </w:rPr>
      </w:pPr>
    </w:p>
    <w:p>
      <w:pPr>
        <w:ind w:left="1100" w:hanging="179"/>
        <w:spacing w:after="0"/>
        <w:tabs>
          <w:tab w:leader="none" w:pos="110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80" w:firstLine="1492"/>
        <w:spacing w:after="0" w:line="268" w:lineRule="auto"/>
        <w:tabs>
          <w:tab w:leader="none" w:pos="17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Subject to the provisions and limitations hereof, Purchaser may, during the term of this Agreement, exercise all rights and privileges of a stockholder of the Company with respect to the Stock deposited in the Escrow.</w:t>
      </w:r>
    </w:p>
    <w:p>
      <w:pPr>
        <w:spacing w:after="0" w:line="118" w:lineRule="exact"/>
        <w:rPr>
          <w:rFonts w:ascii="Arial" w:cs="Arial" w:eastAsia="Arial" w:hAnsi="Arial"/>
          <w:sz w:val="18"/>
          <w:szCs w:val="18"/>
          <w:color w:val="auto"/>
        </w:rPr>
      </w:pPr>
    </w:p>
    <w:p>
      <w:pPr>
        <w:ind w:right="380" w:firstLine="1492"/>
        <w:spacing w:after="0" w:line="268" w:lineRule="auto"/>
        <w:tabs>
          <w:tab w:leader="none" w:pos="173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18" w:lineRule="exact"/>
        <w:rPr>
          <w:rFonts w:ascii="Arial" w:cs="Arial" w:eastAsia="Arial" w:hAnsi="Arial"/>
          <w:sz w:val="18"/>
          <w:szCs w:val="18"/>
          <w:color w:val="auto"/>
        </w:rPr>
      </w:pPr>
    </w:p>
    <w:p>
      <w:pPr>
        <w:ind w:right="300" w:firstLine="1492"/>
        <w:spacing w:after="0" w:line="268" w:lineRule="auto"/>
        <w:tabs>
          <w:tab w:leader="none" w:pos="172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if delivered in accordance with the terms of Section 8 of the Employment Agreement.</w:t>
      </w:r>
    </w:p>
    <w:p>
      <w:pPr>
        <w:spacing w:after="0" w:line="118" w:lineRule="exact"/>
        <w:rPr>
          <w:rFonts w:ascii="Arial" w:cs="Arial" w:eastAsia="Arial" w:hAnsi="Arial"/>
          <w:sz w:val="18"/>
          <w:szCs w:val="18"/>
          <w:color w:val="auto"/>
        </w:rPr>
      </w:pPr>
    </w:p>
    <w:p>
      <w:pPr>
        <w:ind w:right="40" w:firstLine="1492"/>
        <w:spacing w:after="0" w:line="259" w:lineRule="auto"/>
        <w:tabs>
          <w:tab w:leader="none" w:pos="173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Company may assign its rights and delegate its duties under this Agreement, including Sections 3. This Agreement shall inure to the benefit of the successors and assigns of the Company and, subject to the restrictions on transfer herein set forth, be binding upon Purchaser, his heirs, executors, administrators, successors and assigns.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5" w:name="page156"/>
    <w:bookmarkEnd w:id="155"/>
    <w:p>
      <w:pPr>
        <w:ind w:left="-20" w:right="20" w:firstLine="1492"/>
        <w:spacing w:after="0" w:line="268" w:lineRule="auto"/>
        <w:tabs>
          <w:tab w:leader="none" w:pos="1702"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hereby authorizes and directs the Secretary or Transfer Agent of the Company to transfer the Stock as to which the Repurchase Option has been exercised from Purchaser to the Company or the Company’s assignee.</w:t>
      </w:r>
    </w:p>
    <w:p>
      <w:pPr>
        <w:spacing w:after="0" w:line="118" w:lineRule="exact"/>
        <w:rPr>
          <w:rFonts w:ascii="Arial" w:cs="Arial" w:eastAsia="Arial" w:hAnsi="Arial"/>
          <w:sz w:val="18"/>
          <w:szCs w:val="18"/>
          <w:color w:val="auto"/>
        </w:rPr>
      </w:pPr>
    </w:p>
    <w:p>
      <w:pPr>
        <w:ind w:left="-20" w:right="400" w:firstLine="1492"/>
        <w:spacing w:after="0" w:line="268" w:lineRule="auto"/>
        <w:tabs>
          <w:tab w:leader="none" w:pos="168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Nothing in this Agreement shall affect in any manner whatsoever the right or power of the Company, or a parent or subsidiary of the Company, to terminate Purchaser’s employment, for any reason, with or without cause.</w:t>
      </w:r>
    </w:p>
    <w:p>
      <w:pPr>
        <w:spacing w:after="0" w:line="118" w:lineRule="exact"/>
        <w:rPr>
          <w:rFonts w:ascii="Arial" w:cs="Arial" w:eastAsia="Arial" w:hAnsi="Arial"/>
          <w:sz w:val="18"/>
          <w:szCs w:val="18"/>
          <w:color w:val="auto"/>
        </w:rPr>
      </w:pPr>
    </w:p>
    <w:p>
      <w:pPr>
        <w:jc w:val="both"/>
        <w:ind w:left="-20" w:right="40" w:firstLine="1492"/>
        <w:spacing w:after="0" w:line="370" w:lineRule="auto"/>
        <w:tabs>
          <w:tab w:leader="none" w:pos="1712"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This Agreement represents the entire agreement between the parties with respect to the purchase of the Stock by Purchaser, may only be modified or amended in writing signed by both parties and satisfies all of the Company’s obligations to Purchaser with regard to the issuance or sale of securities.</w:t>
      </w:r>
    </w:p>
    <w:p>
      <w:pPr>
        <w:spacing w:after="0" w:line="48" w:lineRule="exact"/>
        <w:rPr>
          <w:rFonts w:ascii="Arial" w:cs="Arial" w:eastAsia="Arial" w:hAnsi="Arial"/>
          <w:sz w:val="15"/>
          <w:szCs w:val="15"/>
          <w:color w:val="auto"/>
        </w:rPr>
      </w:pPr>
    </w:p>
    <w:p>
      <w:pPr>
        <w:ind w:left="-20" w:firstLine="1492"/>
        <w:spacing w:after="0" w:line="286" w:lineRule="auto"/>
        <w:tabs>
          <w:tab w:leader="none" w:pos="171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INTERNAL LAWS OF THE STATE OF NEW YORK. EACH PARTY HERETO IRREVOCABLY AGREES THAT ANY LEGAL ACTION OR PROCEEDING ARISING OUT OF OR IN CONNECTION WITH THIS AGREEMENT SHALL BE BROUGHT IN FEDERAL COURT LOCATED IN THE SOUTHERN DISTRICT OF NEW YORK AND EACH PARTY AGREES NOT TO ASSERT, BY WAY OF MOTION, AS A DEFENSE, OR OTHERWISE, IN ANY SUCH ACTION, SUIT OR PROCEEDING, ANY CLAIM THAT IT IS NOT SUBJECT PERSONALLY TO THE JURISDICTION OF SUCH COURT, THAT ITS PROPERTY IS EXEMPT OR IMMUNE FROM ATTACHMENT OR EXECUTION, THAT THE ACTION, SUIT OR PROCEEDING IS BROUGHT IN AN INCONVENIENT FORUM, THAT THE VENUE OF THE ACTION, SUIT OR PROCEEDING IS IMPROPER OR THAT THIS AGREEMENT OR THE SUBJECT MATTER THEREOF MAY NOT BE ENFORCED IN OR BY SUCH COURT, AND DOES HEREBY AGREE NOT TO CHALLENGE SUCH JURISDICTION OR VENUE BY REASON OF ANY OFFSETS OR COUNTERCLAIMS IN ANY SUCH ACTION, SUIT OR PROCEEDING. ANY AND ALL SERVICE OF PROCESS AND ANY OTHER NOTICE IN ANY SUCH ACTION, SUIT OR PROCEEDING SHALL BE EFFECTIVE AGAINST ANY PARTY IF GIVEN PERSONALLY OR BY REGISTERED OR CERTIFIED MAIL, RETURN RECEIPT REQUESTED, OR BY ANY OTHER MEANS OF MAIL THAT REQUIRES A SIGNED RECEIPT, POSTAGE PREPAID.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56" w:name="page157"/>
    <w:bookmarkEnd w:id="15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EXLSERVICE HOLDINGS, INC., a</w:t>
            </w:r>
          </w:p>
        </w:tc>
        <w:tc>
          <w:tcPr>
            <w:tcW w:w="5820" w:type="dxa"/>
            <w:vAlign w:val="bottom"/>
            <w:gridSpan w:val="2"/>
          </w:tcPr>
          <w:p>
            <w:pPr>
              <w:ind w:left="1340"/>
              <w:spacing w:after="0"/>
              <w:rPr>
                <w:sz w:val="20"/>
                <w:szCs w:val="20"/>
                <w:color w:val="auto"/>
              </w:rPr>
            </w:pPr>
            <w:r>
              <w:rPr>
                <w:rFonts w:ascii="Arial" w:cs="Arial" w:eastAsia="Arial" w:hAnsi="Arial"/>
                <w:sz w:val="18"/>
                <w:szCs w:val="18"/>
                <w:color w:val="auto"/>
              </w:rPr>
              <w:t>VIKRAM TALWAR</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4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/s/ John R. Monsky</w:t>
            </w:r>
          </w:p>
        </w:tc>
        <w:tc>
          <w:tcPr>
            <w:tcW w:w="2120" w:type="dxa"/>
            <w:vAlign w:val="bottom"/>
          </w:tcPr>
          <w:p>
            <w:pPr>
              <w:ind w:left="1340"/>
              <w:spacing w:after="0"/>
              <w:rPr>
                <w:sz w:val="20"/>
                <w:szCs w:val="20"/>
                <w:color w:val="auto"/>
              </w:rPr>
            </w:pPr>
            <w:r>
              <w:rPr>
                <w:rFonts w:ascii="Arial" w:cs="Arial" w:eastAsia="Arial" w:hAnsi="Arial"/>
                <w:sz w:val="18"/>
                <w:szCs w:val="18"/>
                <w:color w:val="auto"/>
              </w:rPr>
              <w:t>By:</w:t>
            </w:r>
          </w:p>
        </w:tc>
        <w:tc>
          <w:tcPr>
            <w:tcW w:w="3700" w:type="dxa"/>
            <w:vAlign w:val="bottom"/>
          </w:tcPr>
          <w:p>
            <w:pPr>
              <w:spacing w:after="0"/>
              <w:rPr>
                <w:sz w:val="20"/>
                <w:szCs w:val="20"/>
                <w:color w:val="auto"/>
              </w:rPr>
            </w:pPr>
            <w:r>
              <w:rPr>
                <w:rFonts w:ascii="Arial" w:cs="Arial" w:eastAsia="Arial" w:hAnsi="Arial"/>
                <w:sz w:val="18"/>
                <w:szCs w:val="18"/>
                <w:color w:val="auto"/>
              </w:rPr>
              <w:t>/s/ Vikram Talwar</w:t>
            </w:r>
          </w:p>
        </w:tc>
      </w:tr>
      <w:tr>
        <w:trPr>
          <w:trHeight w:val="110"/>
        </w:trPr>
        <w:tc>
          <w:tcPr>
            <w:tcW w:w="6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John R. Monsky</w:t>
            </w:r>
          </w:p>
        </w:tc>
        <w:tc>
          <w:tcPr>
            <w:tcW w:w="2120" w:type="dxa"/>
            <w:vAlign w:val="bottom"/>
          </w:tcPr>
          <w:p>
            <w:pPr>
              <w:ind w:left="1340"/>
              <w:spacing w:after="0"/>
              <w:rPr>
                <w:sz w:val="20"/>
                <w:szCs w:val="20"/>
                <w:color w:val="auto"/>
              </w:rPr>
            </w:pPr>
            <w:r>
              <w:rPr>
                <w:rFonts w:ascii="Arial" w:cs="Arial" w:eastAsia="Arial" w:hAnsi="Arial"/>
                <w:sz w:val="18"/>
                <w:szCs w:val="18"/>
                <w:color w:val="auto"/>
              </w:rPr>
              <w:t>Address:</w:t>
            </w:r>
          </w:p>
        </w:tc>
        <w:tc>
          <w:tcPr>
            <w:tcW w:w="3700" w:type="dxa"/>
            <w:vAlign w:val="bottom"/>
          </w:tcPr>
          <w:p>
            <w:pPr>
              <w:spacing w:after="0"/>
              <w:rPr>
                <w:sz w:val="20"/>
                <w:szCs w:val="20"/>
                <w:color w:val="auto"/>
              </w:rPr>
            </w:pPr>
            <w:r>
              <w:rPr>
                <w:rFonts w:ascii="Arial" w:cs="Arial" w:eastAsia="Arial" w:hAnsi="Arial"/>
                <w:sz w:val="18"/>
                <w:szCs w:val="18"/>
                <w:color w:val="auto"/>
              </w:rPr>
              <w:t>No. 86, Sector 15Ak Avenue,</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21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Noida 201301 U.P. India</w:t>
            </w:r>
          </w:p>
        </w:tc>
      </w:tr>
    </w:tbl>
    <w:p>
      <w:pPr>
        <w:spacing w:after="0" w:line="142"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auto"/>
        </w:rPr>
        <w:t>[Signature Page to Restricted Stock Purchase Agreement]</w:t>
      </w:r>
    </w:p>
    <w:p>
      <w:pPr>
        <w:sectPr>
          <w:pgSz w:w="11900" w:h="16838" w:orient="portrait"/>
          <w:cols w:equalWidth="0" w:num="1">
            <w:col w:w="10220"/>
          </w:cols>
          <w:pgMar w:left="240" w:top="280" w:right="1439" w:bottom="1440" w:gutter="0" w:footer="0" w:header="0"/>
        </w:sectPr>
      </w:pPr>
    </w:p>
    <w:bookmarkStart w:id="157" w:name="page158"/>
    <w:bookmarkEnd w:id="157"/>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3740"/>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and pursuant to that certain Restricted Stock Purchase Agreement, dated as of November 14, 2002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5"/>
          </w:tcPr>
          <w:p>
            <w:pPr>
              <w:spacing w:after="0"/>
              <w:rPr>
                <w:sz w:val="20"/>
                <w:szCs w:val="20"/>
                <w:color w:val="auto"/>
              </w:rPr>
            </w:pPr>
            <w:r>
              <w:rPr>
                <w:rFonts w:ascii="Arial" w:cs="Arial" w:eastAsia="Arial" w:hAnsi="Arial"/>
                <w:sz w:val="18"/>
                <w:szCs w:val="18"/>
                <w:color w:val="auto"/>
                <w:w w:val="88"/>
              </w:rPr>
              <w:t>Vikram Talwar (“Purchaser”) hereby sells, assigns and transfers unto</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800" w:type="dxa"/>
            <w:vAlign w:val="bottom"/>
            <w:gridSpan w:val="4"/>
          </w:tcPr>
          <w:p>
            <w:pPr>
              <w:ind w:left="260"/>
              <w:spacing w:after="0"/>
              <w:rPr>
                <w:sz w:val="20"/>
                <w:szCs w:val="20"/>
                <w:color w:val="auto"/>
              </w:rPr>
            </w:pPr>
            <w:r>
              <w:rPr>
                <w:rFonts w:ascii="Arial" w:cs="Arial" w:eastAsia="Arial" w:hAnsi="Arial"/>
                <w:sz w:val="18"/>
                <w:szCs w:val="18"/>
                <w:color w:val="auto"/>
                <w:w w:val="92"/>
              </w:rPr>
              <w:t>) shares of the Common Stock of ExlService Holdings, Inc., a</w:t>
            </w: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8540" w:type="dxa"/>
            <w:vAlign w:val="bottom"/>
            <w:gridSpan w:val="10"/>
          </w:tcPr>
          <w:p>
            <w:pPr>
              <w:spacing w:after="0" w:line="196" w:lineRule="exact"/>
              <w:rPr>
                <w:sz w:val="20"/>
                <w:szCs w:val="20"/>
                <w:color w:val="auto"/>
              </w:rPr>
            </w:pPr>
            <w:r>
              <w:rPr>
                <w:rFonts w:ascii="Arial" w:cs="Arial" w:eastAsia="Arial" w:hAnsi="Arial"/>
                <w:sz w:val="18"/>
                <w:szCs w:val="18"/>
                <w:color w:val="auto"/>
                <w:w w:val="88"/>
              </w:rPr>
              <w:t>Delaware corporation, standing in the undersigned’s name on the books of said corporation represented by certificate no.</w:t>
            </w:r>
          </w:p>
        </w:tc>
        <w:tc>
          <w:tcPr>
            <w:tcW w:w="520" w:type="dxa"/>
            <w:vAlign w:val="bottom"/>
            <w:tcBorders>
              <w:bottom w:val="single" w:sz="8" w:color="auto"/>
            </w:tcBorders>
          </w:tcPr>
          <w:p>
            <w:pPr>
              <w:spacing w:after="0"/>
              <w:rPr>
                <w:sz w:val="17"/>
                <w:szCs w:val="17"/>
                <w:color w:val="auto"/>
              </w:rPr>
            </w:pPr>
          </w:p>
        </w:tc>
        <w:tc>
          <w:tcPr>
            <w:tcW w:w="1880" w:type="dxa"/>
            <w:vAlign w:val="bottom"/>
          </w:tcPr>
          <w:p>
            <w:pPr>
              <w:ind w:left="40"/>
              <w:spacing w:after="0" w:line="196" w:lineRule="exact"/>
              <w:rPr>
                <w:sz w:val="20"/>
                <w:szCs w:val="20"/>
                <w:color w:val="auto"/>
              </w:rPr>
            </w:pPr>
            <w:r>
              <w:rPr>
                <w:rFonts w:ascii="Arial" w:cs="Arial" w:eastAsia="Arial" w:hAnsi="Arial"/>
                <w:sz w:val="18"/>
                <w:szCs w:val="18"/>
                <w:color w:val="auto"/>
                <w:w w:val="85"/>
              </w:rPr>
              <w:t>herewith, and does hereby</w:t>
            </w:r>
          </w:p>
        </w:tc>
      </w:tr>
      <w:tr>
        <w:trPr>
          <w:trHeight w:val="196"/>
        </w:trPr>
        <w:tc>
          <w:tcPr>
            <w:tcW w:w="2440" w:type="dxa"/>
            <w:vAlign w:val="bottom"/>
            <w:gridSpan w:val="3"/>
          </w:tcPr>
          <w:p>
            <w:pPr>
              <w:spacing w:after="0" w:line="196" w:lineRule="exact"/>
              <w:rPr>
                <w:sz w:val="20"/>
                <w:szCs w:val="20"/>
                <w:color w:val="auto"/>
              </w:rPr>
            </w:pPr>
            <w:r>
              <w:rPr>
                <w:rFonts w:ascii="Arial" w:cs="Arial" w:eastAsia="Arial" w:hAnsi="Arial"/>
                <w:sz w:val="18"/>
                <w:szCs w:val="18"/>
                <w:color w:val="auto"/>
                <w:w w:val="90"/>
              </w:rPr>
              <w:t>irrevocably constitute and appoint</w:t>
            </w:r>
          </w:p>
        </w:tc>
        <w:tc>
          <w:tcPr>
            <w:tcW w:w="880" w:type="dxa"/>
            <w:vAlign w:val="bottom"/>
            <w:tcBorders>
              <w:bottom w:val="single" w:sz="8" w:color="auto"/>
            </w:tcBorders>
          </w:tcPr>
          <w:p>
            <w:pPr>
              <w:spacing w:after="0"/>
              <w:rPr>
                <w:sz w:val="17"/>
                <w:szCs w:val="17"/>
                <w:color w:val="auto"/>
              </w:rPr>
            </w:pPr>
          </w:p>
        </w:tc>
        <w:tc>
          <w:tcPr>
            <w:tcW w:w="762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89"/>
              </w:rPr>
              <w:t>attorney to transfer the said stock on the books of the said corporation with full power of substitution in the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premises. THIS ASSIGNMENT MAY ONLY BE USED AS AUTHORIZED BY THE AGREEMENT AND THE EXHIBITS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7"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color w:val="auto"/>
        </w:rPr>
        <w:t>Signature:</w:t>
        <w:tab/>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80010</wp:posOffset>
            </wp:positionV>
            <wp:extent cx="231521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Vikram Talwar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Corporation to exercise its “Repurchase Option” set forth in the Agreement without requiring additional signatures on the part of Purchaser.</w:t>
      </w:r>
    </w:p>
    <w:p>
      <w:pPr>
        <w:sectPr>
          <w:pgSz w:w="11900" w:h="16838" w:orient="portrait"/>
          <w:cols w:equalWidth="0" w:num="1">
            <w:col w:w="11260"/>
          </w:cols>
          <w:pgMar w:left="240" w:top="274" w:right="39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64"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I, [</w:t>
      </w:r>
      <w:r>
        <w:rPr>
          <w:sz w:val="20"/>
          <w:szCs w:val="20"/>
          <w:color w:val="auto"/>
        </w:rPr>
        <w:tab/>
      </w:r>
      <w:r>
        <w:rPr>
          <w:rFonts w:ascii="Arial" w:cs="Arial" w:eastAsia="Arial" w:hAnsi="Arial"/>
          <w:sz w:val="15"/>
          <w:szCs w:val="15"/>
          <w:color w:val="auto"/>
        </w:rPr>
        <w:t>], spouse of Vikram Talwar, have read and approve the foregoing Agreement. In consideration of granting of the right to my spouse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-13970</wp:posOffset>
            </wp:positionV>
            <wp:extent cx="55753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20"/>
        <w:spacing w:after="0" w:line="300" w:lineRule="auto"/>
        <w:rPr>
          <w:sz w:val="20"/>
          <w:szCs w:val="20"/>
          <w:color w:val="auto"/>
        </w:rPr>
      </w:pPr>
      <w:r>
        <w:rPr>
          <w:rFonts w:ascii="Arial" w:cs="Arial" w:eastAsia="Arial" w:hAnsi="Arial"/>
          <w:sz w:val="15"/>
          <w:szCs w:val="15"/>
          <w:color w:val="auto"/>
        </w:rPr>
        <w:t>purchase shares of ExlService Holdings, Inc., as set forth in the Agreement, I hereby appoint my spouse as my attorney-in-fact in respect to the exercise of any rights under the Agreement and agree to be bound by the provisions of the Agreement insofar as I may have any rights in said Agreement or any shares issued</w:t>
      </w:r>
    </w:p>
    <w:tbl>
      <w:tblPr>
        <w:tblLayout w:type="fixed"/>
        <w:tblInd w:w="0" w:type="dxa"/>
        <w:tblCellMar>
          <w:top w:w="0" w:type="dxa"/>
          <w:left w:w="0" w:type="dxa"/>
          <w:bottom w:w="0" w:type="dxa"/>
          <w:right w:w="0" w:type="dxa"/>
        </w:tblCellMar>
      </w:tblPr>
      <w:tr>
        <w:trPr>
          <w:trHeight w:val="179"/>
        </w:trPr>
        <w:tc>
          <w:tcPr>
            <w:tcW w:w="5120" w:type="dxa"/>
            <w:vAlign w:val="bottom"/>
            <w:gridSpan w:val="4"/>
          </w:tcPr>
          <w:p>
            <w:pPr>
              <w:spacing w:after="0" w:line="179" w:lineRule="exact"/>
              <w:rPr>
                <w:sz w:val="20"/>
                <w:szCs w:val="20"/>
                <w:color w:val="auto"/>
              </w:rPr>
            </w:pPr>
            <w:r>
              <w:rPr>
                <w:rFonts w:ascii="Arial" w:cs="Arial" w:eastAsia="Arial" w:hAnsi="Arial"/>
                <w:sz w:val="18"/>
                <w:szCs w:val="18"/>
                <w:color w:val="auto"/>
              </w:rPr>
              <w:t>pursuant thereto under the community property laws of the [</w:t>
            </w:r>
          </w:p>
        </w:tc>
        <w:tc>
          <w:tcPr>
            <w:tcW w:w="6060" w:type="dxa"/>
            <w:vAlign w:val="bottom"/>
          </w:tcPr>
          <w:p>
            <w:pPr>
              <w:spacing w:after="0" w:line="179" w:lineRule="exact"/>
              <w:rPr>
                <w:sz w:val="20"/>
                <w:szCs w:val="20"/>
                <w:color w:val="auto"/>
              </w:rPr>
            </w:pPr>
            <w:r>
              <w:rPr>
                <w:rFonts w:ascii="Arial" w:cs="Arial" w:eastAsia="Arial" w:hAnsi="Arial"/>
                <w:sz w:val="18"/>
                <w:szCs w:val="18"/>
                <w:color w:val="auto"/>
                <w:w w:val="89"/>
              </w:rPr>
              <w:t>] or similar laws relating to marital property in effect in the state of our residence as of</w:t>
            </w: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the date of the signing of the foregoing Agreement.</w:t>
            </w:r>
          </w:p>
        </w:tc>
        <w:tc>
          <w:tcPr>
            <w:tcW w:w="880" w:type="dxa"/>
            <w:vAlign w:val="bottom"/>
            <w:tcBorders>
              <w:top w:val="single" w:sz="8" w:color="auto"/>
            </w:tcBorders>
          </w:tcPr>
          <w:p>
            <w:pPr>
              <w:spacing w:after="0"/>
              <w:rPr>
                <w:sz w:val="20"/>
                <w:szCs w:val="20"/>
                <w:color w:val="auto"/>
              </w:rPr>
            </w:pPr>
          </w:p>
        </w:tc>
        <w:tc>
          <w:tcPr>
            <w:tcW w:w="6060" w:type="dxa"/>
            <w:vAlign w:val="bottom"/>
          </w:tcPr>
          <w:p>
            <w:pPr>
              <w:spacing w:after="0"/>
              <w:rPr>
                <w:sz w:val="20"/>
                <w:szCs w:val="20"/>
                <w:color w:val="auto"/>
              </w:rPr>
            </w:pPr>
          </w:p>
        </w:tc>
      </w:tr>
      <w:tr>
        <w:trPr>
          <w:trHeight w:val="326"/>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3720" w:type="dxa"/>
            <w:vAlign w:val="bottom"/>
            <w:gridSpan w:val="2"/>
          </w:tcPr>
          <w:p>
            <w:pPr>
              <w:jc w:val="right"/>
              <w:ind w:right="2360"/>
              <w:spacing w:after="0"/>
              <w:rPr>
                <w:sz w:val="20"/>
                <w:szCs w:val="20"/>
                <w:color w:val="auto"/>
              </w:rPr>
            </w:pPr>
            <w:r>
              <w:rPr>
                <w:rFonts w:ascii="Arial" w:cs="Arial" w:eastAsia="Arial" w:hAnsi="Arial"/>
                <w:sz w:val="18"/>
                <w:szCs w:val="18"/>
                <w:color w:val="auto"/>
              </w:rPr>
              <w:t>, 2002.</w:t>
            </w:r>
          </w:p>
        </w:tc>
        <w:tc>
          <w:tcPr>
            <w:tcW w:w="88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24269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00"/>
          </w:cols>
          <w:pgMar w:left="240" w:top="274"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10.27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PURCHASE AGREEMENT</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this 14th day of November 2002, between EXLSERVICE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Rohit Kapoor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WHEREAS, the Company was formed for the purpose of acquiring ExlService.com, Inc. (“</w:t>
      </w:r>
      <w:r>
        <w:rPr>
          <w:rFonts w:ascii="Arial" w:cs="Arial" w:eastAsia="Arial" w:hAnsi="Arial"/>
          <w:sz w:val="18"/>
          <w:szCs w:val="18"/>
          <w:u w:val="single" w:color="auto"/>
          <w:color w:val="auto"/>
        </w:rPr>
        <w:t>Exl Delaware</w:t>
      </w:r>
      <w:r>
        <w:rPr>
          <w:rFonts w:ascii="Arial" w:cs="Arial" w:eastAsia="Arial" w:hAnsi="Arial"/>
          <w:sz w:val="18"/>
          <w:szCs w:val="18"/>
          <w:color w:val="auto"/>
        </w:rPr>
        <w:t>”), a Delaware corporation, from Conseco Inc. (“</w:t>
      </w:r>
      <w:r>
        <w:rPr>
          <w:rFonts w:ascii="Arial" w:cs="Arial" w:eastAsia="Arial" w:hAnsi="Arial"/>
          <w:sz w:val="18"/>
          <w:szCs w:val="18"/>
          <w:u w:val="single" w:color="auto"/>
          <w:color w:val="auto"/>
        </w:rPr>
        <w:t>Conseco</w:t>
      </w:r>
      <w:r>
        <w:rPr>
          <w:rFonts w:ascii="Arial" w:cs="Arial" w:eastAsia="Arial" w:hAnsi="Arial"/>
          <w:sz w:val="18"/>
          <w:szCs w:val="18"/>
          <w:color w:val="auto"/>
        </w:rPr>
        <w:t>”), an Indiana corporation, (the “</w:t>
      </w:r>
      <w:r>
        <w:rPr>
          <w:rFonts w:ascii="Arial" w:cs="Arial" w:eastAsia="Arial" w:hAnsi="Arial"/>
          <w:sz w:val="18"/>
          <w:szCs w:val="18"/>
          <w:u w:val="single" w:color="auto"/>
          <w:color w:val="auto"/>
        </w:rPr>
        <w:t>Acquisition</w:t>
      </w:r>
      <w:r>
        <w:rPr>
          <w:rFonts w:ascii="Arial" w:cs="Arial" w:eastAsia="Arial" w:hAnsi="Arial"/>
          <w:sz w:val="18"/>
          <w:szCs w:val="18"/>
          <w:color w:val="auto"/>
        </w:rPr>
        <w:t>”);</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WHEREAS, Conseco has required Purchaser to deliver the Termination Agreement and General Release by and among Purchaser, Conseco and Exl Delaware as a condition to closing the Acquisition;</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WHEREAS, Purchaser has provided substantial services (the “</w:t>
      </w:r>
      <w:r>
        <w:rPr>
          <w:rFonts w:ascii="Arial" w:cs="Arial" w:eastAsia="Arial" w:hAnsi="Arial"/>
          <w:sz w:val="16"/>
          <w:szCs w:val="16"/>
          <w:u w:val="single" w:color="auto"/>
          <w:color w:val="auto"/>
        </w:rPr>
        <w:t>Rendered Services</w:t>
      </w:r>
      <w:r>
        <w:rPr>
          <w:rFonts w:ascii="Arial" w:cs="Arial" w:eastAsia="Arial" w:hAnsi="Arial"/>
          <w:sz w:val="16"/>
          <w:szCs w:val="16"/>
          <w:color w:val="auto"/>
        </w:rPr>
        <w:t>”) to the Company, in connection with the Acquisition, including without limitation, preparation of a budget and business plan, establishing contacts with potential clients and undertaking negotiations toward agreements to be entered into following the consummation of the Acquisition, making presentations to Conseco on behalf of the Company, and working with employees of Exl Delaware and its wholly owned Indian subsidiary, ExlService.com (India) Private Limited, on critical transition issues; and</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Purchaser will manage the affairs of Exl Delaware following the Acquisition, and the Company wishes for Purchaser to have an ownership interest in the Company;</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wishes to sell to Purchaser and Purchaser desires to purchase from the Company 1,000,000 shares of the Company’s Series A Common Stock, par value, $0.001 per share (the “</w:t>
      </w:r>
      <w:r>
        <w:rPr>
          <w:rFonts w:ascii="Arial" w:cs="Arial" w:eastAsia="Arial" w:hAnsi="Arial"/>
          <w:sz w:val="18"/>
          <w:szCs w:val="18"/>
          <w:u w:val="single" w:color="auto"/>
          <w:color w:val="auto"/>
        </w:rPr>
        <w:t>Stock</w:t>
      </w:r>
      <w:r>
        <w:rPr>
          <w:rFonts w:ascii="Arial" w:cs="Arial" w:eastAsia="Arial" w:hAnsi="Arial"/>
          <w:sz w:val="18"/>
          <w:szCs w:val="18"/>
          <w:color w:val="auto"/>
        </w:rPr>
        <w:t>”), according to the terms and conditions hereof; and</w:t>
      </w:r>
    </w:p>
    <w:p>
      <w:pPr>
        <w:spacing w:after="0" w:line="118" w:lineRule="exact"/>
        <w:rPr>
          <w:sz w:val="20"/>
          <w:szCs w:val="20"/>
          <w:color w:val="auto"/>
        </w:rPr>
      </w:pPr>
    </w:p>
    <w:p>
      <w:pPr>
        <w:jc w:val="both"/>
        <w:ind w:right="340" w:firstLine="456"/>
        <w:spacing w:after="0" w:line="370" w:lineRule="auto"/>
        <w:rPr>
          <w:sz w:val="20"/>
          <w:szCs w:val="20"/>
          <w:color w:val="auto"/>
        </w:rPr>
      </w:pPr>
      <w:r>
        <w:rPr>
          <w:rFonts w:ascii="Arial" w:cs="Arial" w:eastAsia="Arial" w:hAnsi="Arial"/>
          <w:sz w:val="15"/>
          <w:szCs w:val="15"/>
          <w:color w:val="auto"/>
        </w:rPr>
        <w:t>WHEREAS, the Company and the Purchaser have agreed that certain shares of the Stock shall be issued to Purchaser free and clear of any restrictions under this Agreement, and certain shares of the Stock shall be issued to Purchaser subject to a right of repurchase by the Company as described herein below;</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77" w:lineRule="exact"/>
        <w:rPr>
          <w:sz w:val="20"/>
          <w:szCs w:val="20"/>
          <w:color w:val="auto"/>
        </w:rPr>
      </w:pPr>
    </w:p>
    <w:p>
      <w:pPr>
        <w:ind w:right="40" w:firstLine="464"/>
        <w:spacing w:after="0" w:line="259" w:lineRule="auto"/>
        <w:tabs>
          <w:tab w:leader="none" w:pos="63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Purchase and Sale of Stock</w:t>
      </w:r>
      <w:r>
        <w:rPr>
          <w:rFonts w:ascii="Arial" w:cs="Arial" w:eastAsia="Arial" w:hAnsi="Arial"/>
          <w:sz w:val="18"/>
          <w:szCs w:val="18"/>
          <w:color w:val="auto"/>
        </w:rPr>
        <w:t>. Subject to the terms and conditions of this Agreement, the Company hereby agrees to sell to Purchaser and Purchaser agrees to purchase from the Company on the Closing Date (as herein defined), 1,000,000 shares of the Stock at a price of $.001 per share, for an aggregate purchase price of $1,000.00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160" w:name="page161"/>
    <w:bookmarkEnd w:id="160"/>
    <w:p>
      <w:pPr>
        <w:ind w:firstLine="464"/>
        <w:spacing w:after="0" w:line="290" w:lineRule="auto"/>
        <w:tabs>
          <w:tab w:leader="none" w:pos="63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Closing</w:t>
      </w:r>
      <w:r>
        <w:rPr>
          <w:rFonts w:ascii="Arial" w:cs="Arial" w:eastAsia="Arial" w:hAnsi="Arial"/>
          <w:sz w:val="16"/>
          <w:szCs w:val="16"/>
          <w:color w:val="auto"/>
        </w:rPr>
        <w:t>. The purchase and sale of the Stock shall occur at the Closing (as such term is defined in the Stock and Note Purchase Agreement, dated as of [_______ __, 2002] by and among Oak Hill Capital Partners, L.P., Oak Hill Capital Management Partners, L.P., Financial Technology Ventures (Q), L.P. and certain of its affiliates, Vikram Talwar and Rohit Kapoor. At the closing, Purchaser, in addition to having rendered the Rendered Services, which the parties agree shall have the value of $239,500, shall deliver to the Company either cash or check per the Company’s instructions the balance of the Purchase Price after taking into account the value of the Rendered Services, and the Company will issue two duly executed certificates evidencing the Restricted Stock, as defined below, and the shares of Stock which are not Restricted Stock in the name of Purchaser with the certificate or certificates representing the Restricted Stock to be held pursuant to the escrow described in Section 6 hereof (the “</w:t>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Repurchase Option and Release of Stock</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Repurchase Option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 w:firstLine="1492"/>
        <w:spacing w:after="0" w:line="285" w:lineRule="auto"/>
        <w:tabs>
          <w:tab w:leader="none" w:pos="1693"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Company shall have an irrevocable, exclusive option (the “</w:t>
      </w:r>
      <w:r>
        <w:rPr>
          <w:rFonts w:ascii="Arial" w:cs="Arial" w:eastAsia="Arial" w:hAnsi="Arial"/>
          <w:sz w:val="16"/>
          <w:szCs w:val="16"/>
          <w:u w:val="single" w:color="auto"/>
          <w:color w:val="auto"/>
        </w:rPr>
        <w:t>Repurchase Option</w:t>
      </w:r>
      <w:r>
        <w:rPr>
          <w:rFonts w:ascii="Arial" w:cs="Arial" w:eastAsia="Arial" w:hAnsi="Arial"/>
          <w:sz w:val="16"/>
          <w:szCs w:val="16"/>
          <w:color w:val="auto"/>
        </w:rPr>
        <w:t>”) for a period of three (3) years from the date hereof, to repurchase twenty-five percent (25%) of the Stock (the “</w:t>
      </w:r>
      <w:r>
        <w:rPr>
          <w:rFonts w:ascii="Arial" w:cs="Arial" w:eastAsia="Arial" w:hAnsi="Arial"/>
          <w:sz w:val="16"/>
          <w:szCs w:val="16"/>
          <w:u w:val="single" w:color="auto"/>
          <w:color w:val="auto"/>
        </w:rPr>
        <w:t>Restricted Stock</w:t>
      </w:r>
      <w:r>
        <w:rPr>
          <w:rFonts w:ascii="Arial" w:cs="Arial" w:eastAsia="Arial" w:hAnsi="Arial"/>
          <w:sz w:val="16"/>
          <w:szCs w:val="16"/>
          <w:color w:val="auto"/>
        </w:rPr>
        <w:t>”), or such lesser amount of the Restricted Stock as elected by the Company at such time; if such repurchase occurs within one calendar year of the date hereof, the repurchase price shall be the original purchase price per share ($0.24) and if such repurchase occurs at or after one calendar year from the date hereof, the repurchase price shall be the Fair Market Value. The Repurchase Option shall be exercisable only in the event that the Purchaser’s employment by or services to the Company has been terminated due to death, Disability without Good Reason or for Cause (each as defined in Section 7 of the Employment and Non-Competition Agreement dated as of the date hereof by and among the Company, certain of its subsidiaries, and the Purchaser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The Repurchase Option shall be exercised by the Company by written notice to the Purchaser or his executor (with a copy to the Escrow Agent (as defined in Section 6 hereof)) and, at the Company’s option, (i) by delivery to Purchaser or his executor with such notice of a check in the amount of the repurchase price for the Restricted Stock being repurchased, or (ii) by cancellation by the Company of an amount of Purchaser’s indebtedness to the Company equal to the repurchase price for the Stock being repurchased, or (iii) by a combination of (i) and (ii) so that the combined payment and cancellation of indebtedness equals such repurchase price. Upon delivery of such notice and the payment of the repurchase price in any of the ways described above, the Company shall become the legal and beneficial owner of the Stock (formerly, Restricted Stock) being repurchased and all rights and interests therein or relating thereto, and the Company shall have the right to retain and transfer to its own name the number of shares of such Stock being repurchased by the Company. For the purposes of this Section 3, “Fair Market Value” shall mean the fair market value of the Restricted Stock as determined by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provided, however, if the Purchaser disagrees with the Board’s determination of the fair market value of the Restricted Stock, then “Fair Market Value” shall mean the fair market value of the Restricted Stock as determined by a United States nationally recognized appraiser selected by the Board. The cost of such appraiser shall be paid by the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61" w:name="page162"/>
    <w:bookmarkEnd w:id="161"/>
    <w:p>
      <w:pPr>
        <w:ind w:left="-40" w:firstLine="1492"/>
        <w:spacing w:after="0" w:line="291" w:lineRule="auto"/>
        <w:tabs>
          <w:tab w:leader="none" w:pos="1702" w:val="left"/>
        </w:tabs>
        <w:numPr>
          <w:ilvl w:val="2"/>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Whenever the Company shall have the right to repurchase shares of the Restricted Stock hereunder, the Company may designate and assign one or more employees, officers, directors or stockholders of the Company or other persons or organizations to exercise all or a part of the Company’s repurchase rights under this Agreement and purchase all or a part of such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fair market value of the Restricted Stock to be repurchased on the date the Repurchase Option is exercised (“</w:t>
      </w:r>
      <w:r>
        <w:rPr>
          <w:rFonts w:ascii="Arial" w:cs="Arial" w:eastAsia="Arial" w:hAnsi="Arial"/>
          <w:sz w:val="16"/>
          <w:szCs w:val="16"/>
          <w:u w:val="single" w:color="auto"/>
          <w:color w:val="auto"/>
        </w:rPr>
        <w:t>Repurchase FMV</w:t>
      </w:r>
      <w:r>
        <w:rPr>
          <w:rFonts w:ascii="Arial" w:cs="Arial" w:eastAsia="Arial" w:hAnsi="Arial"/>
          <w:sz w:val="16"/>
          <w:szCs w:val="16"/>
          <w:color w:val="auto"/>
        </w:rPr>
        <w:t>”) exceeds the repurchase price of the Restricted Stock to be repurchased, then each such designee or assignee shall pay the Company cash equal to the difference between the Repurchase FMV and the repurchase price of the Restricted Stock which such designee or assignee shall have the right to repurchase.</w:t>
      </w:r>
    </w:p>
    <w:p>
      <w:pPr>
        <w:spacing w:after="0" w:line="106" w:lineRule="exact"/>
        <w:rPr>
          <w:rFonts w:ascii="Arial" w:cs="Arial" w:eastAsia="Arial" w:hAnsi="Arial"/>
          <w:sz w:val="16"/>
          <w:szCs w:val="16"/>
          <w:color w:val="auto"/>
        </w:rPr>
      </w:pPr>
    </w:p>
    <w:p>
      <w:pPr>
        <w:ind w:left="-40" w:firstLine="921"/>
        <w:spacing w:after="0" w:line="298" w:lineRule="auto"/>
        <w:tabs>
          <w:tab w:leader="none" w:pos="1121"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Release of Stock From Repurchase Option</w:t>
      </w:r>
      <w:r>
        <w:rPr>
          <w:rFonts w:ascii="Arial" w:cs="Arial" w:eastAsia="Arial" w:hAnsi="Arial"/>
          <w:sz w:val="16"/>
          <w:szCs w:val="16"/>
          <w:color w:val="auto"/>
        </w:rPr>
        <w:t>. The Restricted Stock shall be entirely released from the Company’s right of repurchase under Section 3(a) hereof on the earliest to occur of (i) sixty (60) days from the date of termination of the Executive’s employment by or services to the Company due to death, Disability without Good Reason or for Cause (each as defined in Section 7 of the Employment Agreement) (ii) the third anniversary of the date hereof, or (iii) the date Purchaser’s employment with or services to the Company is terminated for Good Reason or without Cause.</w:t>
      </w:r>
    </w:p>
    <w:p>
      <w:pPr>
        <w:spacing w:after="0" w:line="99" w:lineRule="exact"/>
        <w:rPr>
          <w:rFonts w:ascii="Arial" w:cs="Arial" w:eastAsia="Arial" w:hAnsi="Arial"/>
          <w:sz w:val="16"/>
          <w:szCs w:val="16"/>
          <w:color w:val="auto"/>
        </w:rPr>
      </w:pPr>
    </w:p>
    <w:p>
      <w:pPr>
        <w:ind w:left="-40" w:right="80" w:firstLine="464"/>
        <w:spacing w:after="0" w:line="256" w:lineRule="auto"/>
        <w:tabs>
          <w:tab w:leader="none" w:pos="59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Restriction on Transfer</w:t>
      </w:r>
      <w:r>
        <w:rPr>
          <w:rFonts w:ascii="Arial" w:cs="Arial" w:eastAsia="Arial" w:hAnsi="Arial"/>
          <w:sz w:val="18"/>
          <w:szCs w:val="18"/>
          <w:color w:val="auto"/>
        </w:rPr>
        <w:t>. Purchaser shall only be permitted to sell, transfer, pledge, hypothecate or otherwise dispose of any shares of the Stock in accordance with the transfer restrictions on the Stock as set forth in the Stockholders Agreement dated as of November 14, 2002, among the Executive, Oak Hill Capital Partners, L.P., a Delaware limited partnership, Financial Technology Ventures (Q), L.P., a Delaware limited partnership, and certain of its affiliates, and certain other investors listed on the signature pages thereto.</w:t>
      </w:r>
    </w:p>
    <w:p>
      <w:pPr>
        <w:spacing w:after="0" w:line="129" w:lineRule="exact"/>
        <w:rPr>
          <w:rFonts w:ascii="Arial" w:cs="Arial" w:eastAsia="Arial" w:hAnsi="Arial"/>
          <w:sz w:val="18"/>
          <w:szCs w:val="18"/>
          <w:color w:val="auto"/>
        </w:rPr>
      </w:pPr>
    </w:p>
    <w:p>
      <w:pPr>
        <w:ind w:left="600" w:hanging="176"/>
        <w:spacing w:after="0"/>
        <w:tabs>
          <w:tab w:leader="none" w:pos="60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Purchaser’s Representations</w:t>
      </w:r>
      <w:r>
        <w:rPr>
          <w:rFonts w:ascii="Arial" w:cs="Arial" w:eastAsia="Arial" w:hAnsi="Arial"/>
          <w:sz w:val="16"/>
          <w:szCs w:val="16"/>
          <w:color w:val="auto"/>
        </w:rPr>
        <w:t>. In connection with his purchase of the Stock, Purchaser hereby represents and warrants to the Company as follows:</w:t>
      </w:r>
    </w:p>
    <w:p>
      <w:pPr>
        <w:spacing w:after="0" w:line="99" w:lineRule="exact"/>
        <w:rPr>
          <w:rFonts w:ascii="Arial" w:cs="Arial" w:eastAsia="Arial" w:hAnsi="Arial"/>
          <w:sz w:val="16"/>
          <w:szCs w:val="16"/>
          <w:color w:val="auto"/>
        </w:rPr>
      </w:pPr>
    </w:p>
    <w:p>
      <w:pPr>
        <w:ind w:left="-40" w:firstLine="921"/>
        <w:spacing w:after="0" w:line="290" w:lineRule="auto"/>
        <w:tabs>
          <w:tab w:leader="none" w:pos="111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Investment Intent; Capacity to Protect Interests</w:t>
      </w:r>
      <w:r>
        <w:rPr>
          <w:rFonts w:ascii="Arial" w:cs="Arial" w:eastAsia="Arial" w:hAnsi="Arial"/>
          <w:sz w:val="16"/>
          <w:szCs w:val="16"/>
          <w:color w:val="auto"/>
        </w:rPr>
        <w:t>. Purchaser is purchasing the Stock solely for his own account (or that of a trust established for the benefit of his children) for investment and not with a view to or for sale in connection with any distribution of the Stock or any portion thereof and not with any present intention of selling, offering to sell or otherwise disposing of or distributing the Stock or any portion thereof in any transaction other than a transaction exempt from registration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Purchaser also represents that the entire legal and beneficial interest of the Stock is being purchased, and will be held, for Purchaser’s account (or that of a trust established for the benefit of his children) only, and neither in whole or in part for any other person. Purchaser either has a pre-existing business or personal relationship with the Company or any of its officers, directors or controlling persons or by reason of Purchaser’s business or financial experience or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162" w:name="page163"/>
    <w:bookmarkEnd w:id="162"/>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or financial experience of Purchaser’s professional advisors who are unaffiliated with and who are not compensated by the Company or any affiliate or selling agent of the Company, directly or indirectly, could be reasonably assumed to have the capacity to evaluate the merits and risks of an investment in the Company and to protect Purchaser’s own interests in connection with this transaction.</w:t>
      </w:r>
    </w:p>
    <w:p>
      <w:pPr>
        <w:spacing w:after="0" w:line="127" w:lineRule="exact"/>
        <w:rPr>
          <w:sz w:val="20"/>
          <w:szCs w:val="20"/>
          <w:color w:val="auto"/>
        </w:rPr>
      </w:pPr>
    </w:p>
    <w:p>
      <w:pPr>
        <w:ind w:right="20" w:firstLine="921"/>
        <w:spacing w:after="0" w:line="259" w:lineRule="auto"/>
        <w:tabs>
          <w:tab w:leader="none" w:pos="116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Residence</w:t>
      </w:r>
      <w:r>
        <w:rPr>
          <w:rFonts w:ascii="Arial" w:cs="Arial" w:eastAsia="Arial" w:hAnsi="Arial"/>
          <w:sz w:val="18"/>
          <w:szCs w:val="18"/>
          <w:color w:val="auto"/>
        </w:rPr>
        <w:t>. Purchaser’s principal residence is within the State of Noida, India and is located at the address indicated beneath Purchaser’s signature below. If the Purchaser is a resident of a state which is a “Community Property” state, the Purchaser will obtain the consent of the Purchaser’s spouse on the form attached hereto.</w:t>
      </w:r>
    </w:p>
    <w:p>
      <w:pPr>
        <w:spacing w:after="0" w:line="126" w:lineRule="exact"/>
        <w:rPr>
          <w:rFonts w:ascii="Arial" w:cs="Arial" w:eastAsia="Arial" w:hAnsi="Arial"/>
          <w:sz w:val="18"/>
          <w:szCs w:val="18"/>
          <w:color w:val="auto"/>
        </w:rPr>
      </w:pPr>
    </w:p>
    <w:p>
      <w:pPr>
        <w:ind w:right="280" w:firstLine="921"/>
        <w:spacing w:after="0" w:line="298" w:lineRule="auto"/>
        <w:tabs>
          <w:tab w:leader="none" w:pos="115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Information Concerning Company</w:t>
      </w:r>
      <w:r>
        <w:rPr>
          <w:rFonts w:ascii="Arial" w:cs="Arial" w:eastAsia="Arial" w:hAnsi="Arial"/>
          <w:sz w:val="16"/>
          <w:szCs w:val="16"/>
          <w:color w:val="auto"/>
        </w:rPr>
        <w:t>. Purchaser has heretofore discussed the Company and its plans, operations and financial condition with the Company’s officers and has heretofore received all such information as Purchaser has deemed necessary and appropriate to enable Purchaser to evaluate the financial risk inherent in making an investment in the Stock, and Purchaser has received satisfactory and complete information concerning the business and financial condition of the Company in response to all inquiries in respect thereof.</w:t>
      </w:r>
    </w:p>
    <w:p>
      <w:pPr>
        <w:spacing w:after="0" w:line="99" w:lineRule="exact"/>
        <w:rPr>
          <w:rFonts w:ascii="Arial" w:cs="Arial" w:eastAsia="Arial" w:hAnsi="Arial"/>
          <w:sz w:val="16"/>
          <w:szCs w:val="16"/>
          <w:color w:val="auto"/>
        </w:rPr>
      </w:pPr>
    </w:p>
    <w:p>
      <w:pPr>
        <w:ind w:right="20" w:firstLine="921"/>
        <w:spacing w:after="0" w:line="332" w:lineRule="auto"/>
        <w:tabs>
          <w:tab w:leader="none" w:pos="1161"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Economic Risk</w:t>
      </w:r>
      <w:r>
        <w:rPr>
          <w:rFonts w:ascii="Arial" w:cs="Arial" w:eastAsia="Arial" w:hAnsi="Arial"/>
          <w:sz w:val="16"/>
          <w:szCs w:val="16"/>
          <w:color w:val="auto"/>
        </w:rPr>
        <w:t>. Purchaser realizes that the purchase of the Stock will be a highly speculative investment and involves a high degree of risk, and Purchaser is able, without impairing financial condition, to hold the Stock for an indefinite period of time and to suffer a complete loss on Purchaser’s investment.</w:t>
      </w:r>
    </w:p>
    <w:p>
      <w:pPr>
        <w:spacing w:after="0" w:line="71" w:lineRule="exact"/>
        <w:rPr>
          <w:rFonts w:ascii="Arial" w:cs="Arial" w:eastAsia="Arial" w:hAnsi="Arial"/>
          <w:sz w:val="16"/>
          <w:szCs w:val="16"/>
          <w:color w:val="auto"/>
        </w:rPr>
      </w:pPr>
    </w:p>
    <w:p>
      <w:pPr>
        <w:ind w:left="1160" w:hanging="239"/>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Restricted Securities</w:t>
      </w:r>
      <w:r>
        <w:rPr>
          <w:rFonts w:ascii="Arial" w:cs="Arial" w:eastAsia="Arial" w:hAnsi="Arial"/>
          <w:sz w:val="18"/>
          <w:szCs w:val="18"/>
          <w:color w:val="auto"/>
        </w:rPr>
        <w:t>. Purchaser understands and acknowledges that:</w:t>
      </w:r>
    </w:p>
    <w:p>
      <w:pPr>
        <w:spacing w:after="0" w:line="76" w:lineRule="exact"/>
        <w:rPr>
          <w:rFonts w:ascii="Arial" w:cs="Arial" w:eastAsia="Arial" w:hAnsi="Arial"/>
          <w:sz w:val="18"/>
          <w:szCs w:val="18"/>
          <w:color w:val="auto"/>
        </w:rPr>
      </w:pPr>
    </w:p>
    <w:p>
      <w:pPr>
        <w:ind w:firstLine="1492"/>
        <w:spacing w:after="0" w:line="294" w:lineRule="auto"/>
        <w:tabs>
          <w:tab w:leader="none" w:pos="169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Stock has not been registered under the Securities Act in reliance upon a specific exemption therefrom, which exemption depends upon, among other things, the bona fide nature of Purchaser’s investment intent as expressed herein. In this connection, Purchaser understands that, in the view of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the statutory basis for such exemption may be unavailable if Purchaser’s representation was predicated solely upon a present intention to hold the Stock for the minimum capital gains period specified under tax statutes, for a deferred sale, for or until an increase or decrease in the market price of the Stock, or for a period of one (1) year or any other fixed period in the future.</w:t>
      </w:r>
    </w:p>
    <w:p>
      <w:pPr>
        <w:spacing w:after="0" w:line="102" w:lineRule="exact"/>
        <w:rPr>
          <w:rFonts w:ascii="Arial" w:cs="Arial" w:eastAsia="Arial" w:hAnsi="Arial"/>
          <w:sz w:val="16"/>
          <w:szCs w:val="16"/>
          <w:color w:val="auto"/>
        </w:rPr>
      </w:pPr>
    </w:p>
    <w:p>
      <w:pPr>
        <w:ind w:right="180" w:firstLine="1492"/>
        <w:spacing w:after="0" w:line="256" w:lineRule="auto"/>
        <w:tabs>
          <w:tab w:leader="none" w:pos="174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Stock must be held indefinitely unless it is subsequently registered under the Securities Act or unless an exemption from such registration is otherwise available. Purchaser further acknowledges and understands that the Company is under no obligation to register the Stock. In addition, Purchaser understands that the certificate evidencing the Stock will be imprinted with a legend which prohibits the transfer of the Stock unless it is registered or such registration is not required in the opinion of counsel satisfactory to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63" w:name="page164"/>
    <w:bookmarkEnd w:id="163"/>
    <w:p>
      <w:pPr>
        <w:ind w:left="1100" w:hanging="219"/>
        <w:spacing w:after="0"/>
        <w:tabs>
          <w:tab w:leader="none" w:pos="11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Disposition under Rule 144</w:t>
      </w:r>
      <w:r>
        <w:rPr>
          <w:rFonts w:ascii="Arial" w:cs="Arial" w:eastAsia="Arial" w:hAnsi="Arial"/>
          <w:sz w:val="18"/>
          <w:szCs w:val="18"/>
          <w:color w:val="auto"/>
        </w:rPr>
        <w:t>. Purchaser understands that:</w:t>
      </w:r>
    </w:p>
    <w:p>
      <w:pPr>
        <w:spacing w:after="0" w:line="76" w:lineRule="exact"/>
        <w:rPr>
          <w:rFonts w:ascii="Arial" w:cs="Arial" w:eastAsia="Arial" w:hAnsi="Arial"/>
          <w:sz w:val="18"/>
          <w:szCs w:val="18"/>
          <w:color w:val="auto"/>
        </w:rPr>
      </w:pPr>
    </w:p>
    <w:p>
      <w:pPr>
        <w:ind w:left="-40" w:right="60" w:firstLine="1492"/>
        <w:spacing w:after="0" w:line="255" w:lineRule="auto"/>
        <w:tabs>
          <w:tab w:leader="none" w:pos="165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shares of Stock are restricted securities within the meaning of Rule 144 promulgated under the Act; that the exemption from registration under Rule 144 will not be available in any event for at least one (1) year from the date of purchase and payment of the Stock, and even then will not be available unless (i) a public trading market then exists for the Common Stock of the Company, (ii) adequate information concerning the Company is then available to the public, and (iii) other terms and conditions of Rule 144 are complied with; and that any sale of the Stock may be made only in limited amounts in accordance with such terms and conditions;</w:t>
      </w:r>
    </w:p>
    <w:p>
      <w:pPr>
        <w:spacing w:after="0" w:line="129" w:lineRule="exact"/>
        <w:rPr>
          <w:rFonts w:ascii="Arial" w:cs="Arial" w:eastAsia="Arial" w:hAnsi="Arial"/>
          <w:sz w:val="18"/>
          <w:szCs w:val="18"/>
          <w:color w:val="auto"/>
        </w:rPr>
      </w:pPr>
    </w:p>
    <w:p>
      <w:pPr>
        <w:ind w:left="-40" w:firstLine="1492"/>
        <w:spacing w:after="0" w:line="306" w:lineRule="auto"/>
        <w:tabs>
          <w:tab w:leader="none" w:pos="170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that at the time Purchaser wishes to sell the Stock there may be no public market upon which to make such a sale, and that, even if such a public market then exists, the Company may not be satisfying the current public information requirements of Rule 144, and that, in such event, Purchaser would be precluded from selling the Stock under Rule 144 even if the one (1) year minimum holding period had been satisfied; and</w:t>
      </w:r>
    </w:p>
    <w:p>
      <w:pPr>
        <w:spacing w:after="0" w:line="93" w:lineRule="exact"/>
        <w:rPr>
          <w:rFonts w:ascii="Arial" w:cs="Arial" w:eastAsia="Arial" w:hAnsi="Arial"/>
          <w:sz w:val="16"/>
          <w:szCs w:val="16"/>
          <w:color w:val="auto"/>
        </w:rPr>
      </w:pPr>
    </w:p>
    <w:p>
      <w:pPr>
        <w:ind w:left="-40" w:right="20" w:firstLine="1492"/>
        <w:spacing w:after="0" w:line="255" w:lineRule="auto"/>
        <w:tabs>
          <w:tab w:leader="none" w:pos="175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 the event all of the requirements of Rule 144 are not satisfied, registration under the Securities Act, compliance with Regulation A, or some other registration exemption will be required; and that, notwithstanding the fact that Rule 144 is not exclusive, the Staff of the SEC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29" w:lineRule="exact"/>
        <w:rPr>
          <w:rFonts w:ascii="Arial" w:cs="Arial" w:eastAsia="Arial" w:hAnsi="Arial"/>
          <w:sz w:val="18"/>
          <w:szCs w:val="18"/>
          <w:color w:val="auto"/>
        </w:rPr>
      </w:pPr>
    </w:p>
    <w:p>
      <w:pPr>
        <w:ind w:left="-40" w:right="180" w:firstLine="921"/>
        <w:spacing w:after="0" w:line="268" w:lineRule="auto"/>
        <w:tabs>
          <w:tab w:leader="none" w:pos="112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Further Limitations on Disposition</w:t>
      </w:r>
      <w:r>
        <w:rPr>
          <w:rFonts w:ascii="Arial" w:cs="Arial" w:eastAsia="Arial" w:hAnsi="Arial"/>
          <w:sz w:val="18"/>
          <w:szCs w:val="18"/>
          <w:color w:val="auto"/>
        </w:rPr>
        <w:t>. Without in any way limiting his representations set forth above, Purchaser further agrees that he shall in no event make any disposition of all or any portion of the Stock unless and until:</w:t>
      </w:r>
    </w:p>
    <w:p>
      <w:pPr>
        <w:spacing w:after="0" w:line="37" w:lineRule="exact"/>
        <w:rPr>
          <w:rFonts w:ascii="Arial" w:cs="Arial" w:eastAsia="Arial" w:hAnsi="Arial"/>
          <w:sz w:val="18"/>
          <w:szCs w:val="18"/>
          <w:color w:val="auto"/>
        </w:rPr>
      </w:pPr>
    </w:p>
    <w:p>
      <w:pPr>
        <w:ind w:left="-40" w:right="400" w:firstLine="1492"/>
        <w:spacing w:after="0" w:line="298" w:lineRule="auto"/>
        <w:tabs>
          <w:tab w:leader="none" w:pos="1653"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(A) there is then in effect a Registration Statement under the Act covering such proposed disposition and such disposition is made in accordance with said Registration Statement; </w:t>
      </w:r>
      <w:r>
        <w:rPr>
          <w:rFonts w:ascii="Arial" w:cs="Arial" w:eastAsia="Arial" w:hAnsi="Arial"/>
          <w:sz w:val="16"/>
          <w:szCs w:val="16"/>
          <w:u w:val="single" w:color="auto"/>
          <w:color w:val="auto"/>
        </w:rPr>
        <w:t>or</w:t>
      </w:r>
      <w:r>
        <w:rPr>
          <w:rFonts w:ascii="Arial" w:cs="Arial" w:eastAsia="Arial" w:hAnsi="Arial"/>
          <w:sz w:val="16"/>
          <w:szCs w:val="16"/>
          <w:color w:val="auto"/>
        </w:rPr>
        <w:t>, (B)(1) Purchaser shall have notified the Company of the proposed disposition and shall have furnished the Company with a detailed statement of the circumstances surrounding the proposed disposition, and (2) Purchaser shall have furnished the Company with an opinion of Purchaser’s counsel, such opinion to be reasonably acceptable to the Company.</w:t>
      </w:r>
    </w:p>
    <w:p>
      <w:pPr>
        <w:spacing w:after="0" w:line="99" w:lineRule="exact"/>
        <w:rPr>
          <w:rFonts w:ascii="Arial" w:cs="Arial" w:eastAsia="Arial" w:hAnsi="Arial"/>
          <w:sz w:val="16"/>
          <w:szCs w:val="16"/>
          <w:color w:val="auto"/>
        </w:rPr>
      </w:pPr>
    </w:p>
    <w:p>
      <w:pPr>
        <w:ind w:left="1720" w:hanging="268"/>
        <w:spacing w:after="0"/>
        <w:tabs>
          <w:tab w:leader="none" w:pos="172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shares of Stock proposed to be transferred are no longer subject to the Repurchase Option set forth in Section 3 hereof.</w:t>
      </w:r>
    </w:p>
    <w:p>
      <w:pPr>
        <w:spacing w:after="0" w:line="180" w:lineRule="exact"/>
        <w:rPr>
          <w:rFonts w:ascii="Arial" w:cs="Arial" w:eastAsia="Arial" w:hAnsi="Arial"/>
          <w:sz w:val="16"/>
          <w:szCs w:val="16"/>
          <w:color w:val="auto"/>
        </w:rPr>
      </w:pPr>
    </w:p>
    <w:p>
      <w:pPr>
        <w:ind w:left="-40" w:right="100" w:firstLine="921"/>
        <w:spacing w:after="0" w:line="259" w:lineRule="auto"/>
        <w:tabs>
          <w:tab w:leader="none" w:pos="112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Accredited Investor</w:t>
      </w:r>
      <w:r>
        <w:rPr>
          <w:rFonts w:ascii="Arial" w:cs="Arial" w:eastAsia="Arial" w:hAnsi="Arial"/>
          <w:sz w:val="18"/>
          <w:szCs w:val="18"/>
          <w:color w:val="auto"/>
        </w:rPr>
        <w:t>. Purchaser is an “accredited investor” as that term is defined in Regulation D under the Securities Act and has such knowledge and experience in financial and business matters as to be capable of evaluating the merits and risks of purchasing the Stock, and the Purchaser is able to bear the economic risk of his investment.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64" w:name="page165"/>
    <w:bookmarkEnd w:id="164"/>
    <w:p>
      <w:pPr>
        <w:ind w:right="80" w:firstLine="921"/>
        <w:spacing w:after="0" w:line="298" w:lineRule="auto"/>
        <w:tabs>
          <w:tab w:leader="none" w:pos="1122"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Valuation of Common Stock</w:t>
      </w:r>
      <w:r>
        <w:rPr>
          <w:rFonts w:ascii="Arial" w:cs="Arial" w:eastAsia="Arial" w:hAnsi="Arial"/>
          <w:sz w:val="16"/>
          <w:szCs w:val="16"/>
          <w:color w:val="auto"/>
        </w:rPr>
        <w:t>. Purchaser understands that the Stock has been valued by the Board of Directors and that the Company believes this valuation represents a fair attempt at reaching an accurate appraisal of its worth; Purchaser understands, however, that the Company can give no assurances that such price is in fact the fair market value of the Stock and that it is possible that, with the benefit of hindsight, the Internal Revenue Service would successfully assert that the value of the common stock on the date of purchase is substantially greater than so determined.</w:t>
      </w:r>
    </w:p>
    <w:p>
      <w:pPr>
        <w:spacing w:after="0" w:line="9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the Internal Revenue Service were to succeed in a tax determination that the Stock received had value greater than that upon which the transaction was based, the additional value would constitute ordinary income as of the date of its receipt. The additional taxes (and interest) due would be payable by Purchaser, and there is no provision for the Company to reimburse him for that tax liability, and Purchaser assumes all responsibility for such potential tax liability. In the event such additional value would represent more than twenty-five percent (25%) of Purchaser’s gross income for the year in which the value of the shares were taxable, the Internal Revenue Service would have six (6) years from the due date for filing the return (or the actual filing date of the return if filed thereafter) within which to assess Purchaser the additional tax and interest which would then be due.</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would have the benefit, in any such transaction, if a determination was made prior to the three (3) year statute of limitations period affecting the Company, of an increase in its deduction for compensation paid, which would offset its operating profits, or, if not profitable, would create net operating loss carry forward arising from operations in that year.</w:t>
      </w:r>
    </w:p>
    <w:p>
      <w:pPr>
        <w:spacing w:after="0" w:line="127" w:lineRule="exact"/>
        <w:rPr>
          <w:sz w:val="20"/>
          <w:szCs w:val="20"/>
          <w:color w:val="auto"/>
        </w:rPr>
      </w:pPr>
    </w:p>
    <w:p>
      <w:pPr>
        <w:ind w:firstLine="921"/>
        <w:spacing w:after="0" w:line="301" w:lineRule="auto"/>
        <w:tabs>
          <w:tab w:leader="none" w:pos="1122"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Section 83(b) Election</w:t>
      </w:r>
      <w:r>
        <w:rPr>
          <w:rFonts w:ascii="Arial" w:cs="Arial" w:eastAsia="Arial" w:hAnsi="Arial"/>
          <w:sz w:val="15"/>
          <w:szCs w:val="15"/>
          <w:color w:val="auto"/>
        </w:rPr>
        <w:t>. Purchaser understands that he (and not the Company) shall be responsible for his own federal, state, local or foreign tax liability and any of his other tax consequences that may arise as a result of the transactions contemplated by this Agreement. Purchaser shall rely solely on the determinations of his tax advisors or his own determinations, and not on any statements or representations by the Company or any of its agents, with regard to all such tax matters. Purchaser understands that Section 83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xml:space="preserve">”), taxes as ordinary income the difference between the amount paid for the Stock and the fair market value of the Stock as of the date any restrictions on the Stock lapse. In this context, “restriction” includes the right of the Company to buy back the Stock pursuant to its repurchase option. In the event the Company has registered any of its shares under the Securities Exchange Act of 1934, “restriction” with respect to officers, directors and ten percent (10%) stockholders also means the period after the purchase of the Stock during which such officer, director and ten percent (10%) stockholders could be subject to suit under Section 16(b) of the Securities Exchange Act of 1934. Purchaser understands that Purchaser may elect to be taxed at the time the shares of Stock are purchased rather than when and as the Company’s repurchase option or Section 16(b) restrictions expire by filing an election under Section 83(b) of the Code with the Internal Revenue Service within thirty (30) days from the date of purchase. </w:t>
      </w:r>
      <w:r>
        <w:rPr>
          <w:rFonts w:ascii="Arial" w:cs="Arial" w:eastAsia="Arial" w:hAnsi="Arial"/>
          <w:sz w:val="15"/>
          <w:szCs w:val="15"/>
          <w:b w:val="1"/>
          <w:bCs w:val="1"/>
          <w:color w:val="auto"/>
        </w:rPr>
        <w:t>PURCHASER ACKNOWLEDGES THAT IT IS PURCHASER’S SOLE RESPONSIBILITY AND NOT THE COMPANY’S TO FILE</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color w:val="auto"/>
        </w:rPr>
        <w:t>TIMELY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5" w:name="page166"/>
    <w:bookmarkEnd w:id="165"/>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UNDER SECTION 83(b) OF THE CODE, EVEN IF PURCHASER REQUESTS THE COMPANY OR ITS REPRESENTATIVES TO MAKE THIS FILING ON PURCHASER’S BEHALF.</w:t>
      </w:r>
    </w:p>
    <w:p>
      <w:pPr>
        <w:spacing w:after="0" w:line="112" w:lineRule="exact"/>
        <w:rPr>
          <w:sz w:val="20"/>
          <w:szCs w:val="20"/>
          <w:color w:val="auto"/>
        </w:rPr>
      </w:pPr>
    </w:p>
    <w:p>
      <w:pPr>
        <w:ind w:right="100" w:firstLine="464"/>
        <w:spacing w:after="0" w:line="290"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Escrow</w:t>
      </w:r>
      <w:r>
        <w:rPr>
          <w:rFonts w:ascii="Arial" w:cs="Arial" w:eastAsia="Arial" w:hAnsi="Arial"/>
          <w:sz w:val="16"/>
          <w:szCs w:val="16"/>
          <w:color w:val="auto"/>
        </w:rPr>
        <w:t>. As security for the faithful performance of the terms of this Agreement and to ensure the availability for delivery of Purchaser’s Stock upon exercise of the Repurchase Option herein provided for, Purchaser agrees to deliver to and deposit with outside counsel to Exl Delaware, such counsel to be mutually acceptable to the Company and Purchaser, as escrow agent in this transaction (“</w:t>
      </w:r>
      <w:r>
        <w:rPr>
          <w:rFonts w:ascii="Arial" w:cs="Arial" w:eastAsia="Arial" w:hAnsi="Arial"/>
          <w:sz w:val="16"/>
          <w:szCs w:val="16"/>
          <w:u w:val="single" w:color="auto"/>
          <w:color w:val="auto"/>
        </w:rPr>
        <w:t>Escrow Agent</w:t>
      </w:r>
      <w:r>
        <w:rPr>
          <w:rFonts w:ascii="Arial" w:cs="Arial" w:eastAsia="Arial" w:hAnsi="Arial"/>
          <w:sz w:val="16"/>
          <w:szCs w:val="16"/>
          <w:color w:val="auto"/>
        </w:rPr>
        <w:t xml:space="preserve">”), one Stock Assignment duly endorsed (with date and number of shares blank)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together with the certificate or certificates evidencing the Restricted Stock; said documents are to be held by the Escrow Agent and delivered by said Escrow Agent pursuant to the joint escrow instructions of the Company and Purchaser in accordance with standard terms for such instructions under an escrow agreement which shall be mutually agreed to by the Company and Purchaser, and delivered to the Escrow Agent at the closing hereunder.</w:t>
      </w:r>
    </w:p>
    <w:p>
      <w:pPr>
        <w:spacing w:after="0" w:line="104" w:lineRule="exact"/>
        <w:rPr>
          <w:rFonts w:ascii="Arial" w:cs="Arial" w:eastAsia="Arial" w:hAnsi="Arial"/>
          <w:sz w:val="16"/>
          <w:szCs w:val="16"/>
          <w:color w:val="auto"/>
        </w:rPr>
      </w:pPr>
    </w:p>
    <w:p>
      <w:pPr>
        <w:ind w:firstLine="464"/>
        <w:spacing w:after="0" w:line="294" w:lineRule="auto"/>
        <w:tabs>
          <w:tab w:leader="none" w:pos="63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Standoff Agreement</w:t>
      </w:r>
      <w:r>
        <w:rPr>
          <w:rFonts w:ascii="Arial" w:cs="Arial" w:eastAsia="Arial" w:hAnsi="Arial"/>
          <w:sz w:val="16"/>
          <w:szCs w:val="16"/>
          <w:color w:val="auto"/>
        </w:rPr>
        <w:t>. Purchaser agrees, in connection with the Company’s initial public offering of its equity securities, and upon request of the Company or the underwriters managing such offering, (i) not to sell, make any short sale of, loan, grant any option for the purchase of or otherwise dispose of any shares of Stock (other than those included in the registration, if any) without the prior written consent of the Company or such underwriters, as the case may be, for such period of time from the effective date of such registration as may be requested by the Company or such underwriters and (ii) to execute any agreement regarding (i) above as may be requested by the Company’s underwriters.</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640" w:firstLine="921"/>
        <w:spacing w:after="0" w:line="268" w:lineRule="auto"/>
        <w:tabs>
          <w:tab w:leader="none" w:pos="11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Subject to the provisions and limitations hereof, Purchaser may, during the term of this Agreement, exercise all rights and privileges of a stockholder of the Company with respect to the Stock deposited in the Escrow.</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 parties agree to execute such further instruments and to take such further action as may reasonably be necessary to carry out the intent of this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Agreement.</w:t>
      </w:r>
    </w:p>
    <w:p>
      <w:pPr>
        <w:spacing w:after="0" w:line="151" w:lineRule="exact"/>
        <w:rPr>
          <w:rFonts w:ascii="Arial" w:cs="Arial" w:eastAsia="Arial" w:hAnsi="Arial"/>
          <w:sz w:val="15"/>
          <w:szCs w:val="15"/>
          <w:color w:val="auto"/>
        </w:rPr>
      </w:pPr>
    </w:p>
    <w:p>
      <w:pPr>
        <w:ind w:right="260" w:firstLine="921"/>
        <w:spacing w:after="0" w:line="268" w:lineRule="auto"/>
        <w:tabs>
          <w:tab w:leader="none" w:pos="11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notice required or permitted hereunder shall be given in writing and shall be deemed effectively given if delivered in accordance with the terms of Section 8 of the Employment Agreement.</w:t>
      </w:r>
    </w:p>
    <w:p>
      <w:pPr>
        <w:spacing w:after="0" w:line="118" w:lineRule="exact"/>
        <w:rPr>
          <w:rFonts w:ascii="Arial" w:cs="Arial" w:eastAsia="Arial" w:hAnsi="Arial"/>
          <w:sz w:val="18"/>
          <w:szCs w:val="18"/>
          <w:color w:val="auto"/>
        </w:rPr>
      </w:pPr>
    </w:p>
    <w:p>
      <w:pPr>
        <w:ind w:right="80" w:firstLine="921"/>
        <w:spacing w:after="0" w:line="259" w:lineRule="auto"/>
        <w:tabs>
          <w:tab w:leader="none" w:pos="116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Company may assign its rights and delegate its duties under this Agreement, including Sections 3. This Agreement shall inure to the benefit of the successors and assigns of the Company and, subject to the restrictions on transfer herein set forth, be binding upon Purchaser, his heirs, executors, administrators, successors and assigns.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66" w:name="page167"/>
    <w:bookmarkEnd w:id="166"/>
    <w:p>
      <w:pPr>
        <w:ind w:left="-20" w:right="80" w:firstLine="921"/>
        <w:spacing w:after="0" w:line="268" w:lineRule="auto"/>
        <w:tabs>
          <w:tab w:leader="none" w:pos="11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Purchaser hereby authorizes and directs the Secretary or Transfer Agent of the Company to transfer the Stock as to which the Repurchase Option has been exercised from Purchaser to the Company or the Company’s assignee.</w:t>
      </w:r>
    </w:p>
    <w:p>
      <w:pPr>
        <w:spacing w:after="0" w:line="118" w:lineRule="exact"/>
        <w:rPr>
          <w:rFonts w:ascii="Arial" w:cs="Arial" w:eastAsia="Arial" w:hAnsi="Arial"/>
          <w:sz w:val="18"/>
          <w:szCs w:val="18"/>
          <w:color w:val="auto"/>
        </w:rPr>
      </w:pPr>
    </w:p>
    <w:p>
      <w:pPr>
        <w:ind w:left="-20" w:right="40" w:firstLine="921"/>
        <w:spacing w:after="0" w:line="268" w:lineRule="auto"/>
        <w:tabs>
          <w:tab w:leader="none" w:pos="111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Nothing in this Agreement shall affect in any manner whatsoever the right or power of the Company, or a parent or subsidiary of the Company, to terminate Purchaser’s employment, for any reason, with or without cause.</w:t>
      </w:r>
    </w:p>
    <w:p>
      <w:pPr>
        <w:spacing w:after="0" w:line="118" w:lineRule="exact"/>
        <w:rPr>
          <w:rFonts w:ascii="Arial" w:cs="Arial" w:eastAsia="Arial" w:hAnsi="Arial"/>
          <w:sz w:val="18"/>
          <w:szCs w:val="18"/>
          <w:color w:val="auto"/>
        </w:rPr>
      </w:pPr>
    </w:p>
    <w:p>
      <w:pPr>
        <w:ind w:left="-20" w:firstLine="921"/>
        <w:spacing w:after="0" w:line="332" w:lineRule="auto"/>
        <w:tabs>
          <w:tab w:leader="none" w:pos="114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This Agreement represents the entire agreement between the parties with respect to the purchase of the Stock by Purchaser, may only be modified or amended in writing signed by both parties and satisfies all of the Company’s obligations to Purchaser with regard to the issuance or sale of securities.</w:t>
      </w:r>
    </w:p>
    <w:p>
      <w:pPr>
        <w:spacing w:after="0" w:line="71" w:lineRule="exact"/>
        <w:rPr>
          <w:rFonts w:ascii="Arial" w:cs="Arial" w:eastAsia="Arial" w:hAnsi="Arial"/>
          <w:sz w:val="16"/>
          <w:szCs w:val="16"/>
          <w:color w:val="auto"/>
        </w:rPr>
      </w:pPr>
    </w:p>
    <w:p>
      <w:pPr>
        <w:ind w:left="-20" w:firstLine="921"/>
        <w:spacing w:after="0" w:line="252" w:lineRule="auto"/>
        <w:tabs>
          <w:tab w:leader="none" w:pos="11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EACH PARTY HERETO IRREVOCABLY AGREES THAT ANY LEGAL ACTION OR PROCEEDING ARISING OUT OF OR IN CONNECTION WITH THIS AGREEMENT SHALL BE BROUGHT IN FEDERAL COURT LOCATED IN THE SOUTHERN DISTRICT OF NEW YORK AND EACH PARTY AGREES NOT TO ASSERT, BY WAY OF MOTION, AS A DEFENSE, OR OTHERWISE, IN ANY SUCH ACTION, SUIT OR PROCEEDING, ANY CLAIM THAT IT IS NOT SUBJECT PERSONALLY TO THE JURISDICTION OF SUCH COURT, THAT ITS PROPERTY IS EXEMPT OR IMMUNE FROM ATTACHMENT OR EXECUTION, THAT THE ACTION, SUIT OR PROCEEDING IS BROUGHT IN AN INCONVENIENT FORUM, THAT THE VENUE OF THE ACTION, SUIT OR PROCEEDING IS IMPROPER OR THAT THIS AGREEMENT OR THE SUBJECT MATTER THEREOF MAY NOT BE ENFORCED IN OR BY SUCH COURT, AND DOES HEREBY AGREE NOT TO CHALLENGE SUCH JURISDICTION OR VENUE BY REASON OF ANY OFFSETS OR COUNTERCLAIMS IN ANY SUCH ACTION, SUIT OR PROCEEDING. ANY AND ALL SERVICE OF PROCESS AND ANY OTHER NOTICE IN ANY SUCH ACTION, SUIT OR PROCEEDING SHALL BE EFFECTIVE AGAINST ANY PARTY IF GIVEN PERSONALLY OR BY REGISTERED OR CERTIFIED MAIL, RETURN RECEIPT REQUESTED, OR BY ANY OTHER MEANS OF MAIL THAT REQUIRES A SIGNED RECEIPT, POSTAGE PREPAID.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80" w:right="239" w:bottom="1440" w:gutter="0" w:footer="0" w:header="0"/>
        </w:sectPr>
      </w:pPr>
    </w:p>
    <w:bookmarkStart w:id="167" w:name="page168"/>
    <w:bookmarkEnd w:id="167"/>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duly executed this Agreement as of the day and year first above written.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EXLSERVICE HOLDINGS, INC., a</w:t>
            </w:r>
          </w:p>
        </w:tc>
        <w:tc>
          <w:tcPr>
            <w:tcW w:w="5820" w:type="dxa"/>
            <w:vAlign w:val="bottom"/>
            <w:gridSpan w:val="2"/>
          </w:tcPr>
          <w:p>
            <w:pPr>
              <w:ind w:left="1340"/>
              <w:spacing w:after="0"/>
              <w:rPr>
                <w:sz w:val="20"/>
                <w:szCs w:val="20"/>
                <w:color w:val="auto"/>
              </w:rPr>
            </w:pPr>
            <w:r>
              <w:rPr>
                <w:rFonts w:ascii="Arial" w:cs="Arial" w:eastAsia="Arial" w:hAnsi="Arial"/>
                <w:sz w:val="18"/>
                <w:szCs w:val="18"/>
                <w:color w:val="auto"/>
              </w:rPr>
              <w:t>ROHIT KAPOOR</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Delaware corporation</w:t>
            </w:r>
          </w:p>
        </w:tc>
        <w:tc>
          <w:tcPr>
            <w:tcW w:w="212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4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/s/ John R. Monsky</w:t>
            </w:r>
          </w:p>
        </w:tc>
        <w:tc>
          <w:tcPr>
            <w:tcW w:w="2120" w:type="dxa"/>
            <w:vAlign w:val="bottom"/>
          </w:tcPr>
          <w:p>
            <w:pPr>
              <w:ind w:left="1340"/>
              <w:spacing w:after="0"/>
              <w:rPr>
                <w:sz w:val="20"/>
                <w:szCs w:val="20"/>
                <w:color w:val="auto"/>
              </w:rPr>
            </w:pPr>
            <w:r>
              <w:rPr>
                <w:rFonts w:ascii="Arial" w:cs="Arial" w:eastAsia="Arial" w:hAnsi="Arial"/>
                <w:sz w:val="18"/>
                <w:szCs w:val="18"/>
                <w:color w:val="auto"/>
              </w:rPr>
              <w:t>By:</w:t>
            </w:r>
          </w:p>
        </w:tc>
        <w:tc>
          <w:tcPr>
            <w:tcW w:w="3700" w:type="dxa"/>
            <w:vAlign w:val="bottom"/>
          </w:tcPr>
          <w:p>
            <w:pPr>
              <w:spacing w:after="0"/>
              <w:rPr>
                <w:sz w:val="20"/>
                <w:szCs w:val="20"/>
                <w:color w:val="auto"/>
              </w:rPr>
            </w:pPr>
            <w:r>
              <w:rPr>
                <w:rFonts w:ascii="Arial" w:cs="Arial" w:eastAsia="Arial" w:hAnsi="Arial"/>
                <w:sz w:val="18"/>
                <w:szCs w:val="18"/>
                <w:color w:val="auto"/>
              </w:rPr>
              <w:t>/s/ Rohit Kapoor</w:t>
            </w:r>
          </w:p>
        </w:tc>
      </w:tr>
      <w:tr>
        <w:trPr>
          <w:trHeight w:val="110"/>
        </w:trPr>
        <w:tc>
          <w:tcPr>
            <w:tcW w:w="620" w:type="dxa"/>
            <w:vAlign w:val="bottom"/>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r>
      <w:tr>
        <w:trPr>
          <w:trHeight w:val="3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John R. Monsky</w:t>
            </w:r>
          </w:p>
        </w:tc>
        <w:tc>
          <w:tcPr>
            <w:tcW w:w="2120" w:type="dxa"/>
            <w:vAlign w:val="bottom"/>
          </w:tcPr>
          <w:p>
            <w:pPr>
              <w:ind w:left="1340"/>
              <w:spacing w:after="0"/>
              <w:rPr>
                <w:sz w:val="20"/>
                <w:szCs w:val="20"/>
                <w:color w:val="auto"/>
              </w:rPr>
            </w:pPr>
            <w:r>
              <w:rPr>
                <w:rFonts w:ascii="Arial" w:cs="Arial" w:eastAsia="Arial" w:hAnsi="Arial"/>
                <w:sz w:val="18"/>
                <w:szCs w:val="18"/>
                <w:color w:val="auto"/>
              </w:rPr>
              <w:t>Address:</w:t>
            </w:r>
          </w:p>
        </w:tc>
        <w:tc>
          <w:tcPr>
            <w:tcW w:w="3700" w:type="dxa"/>
            <w:vAlign w:val="bottom"/>
          </w:tcPr>
          <w:p>
            <w:pPr>
              <w:spacing w:after="0"/>
              <w:rPr>
                <w:sz w:val="20"/>
                <w:szCs w:val="20"/>
                <w:color w:val="auto"/>
              </w:rPr>
            </w:pPr>
            <w:r>
              <w:rPr>
                <w:rFonts w:ascii="Arial" w:cs="Arial" w:eastAsia="Arial" w:hAnsi="Arial"/>
                <w:sz w:val="18"/>
                <w:szCs w:val="18"/>
                <w:color w:val="auto"/>
              </w:rPr>
              <w:t>350 Park Avenue</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2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New York, NY 10022</w:t>
            </w:r>
          </w:p>
        </w:tc>
      </w:tr>
      <w:tr>
        <w:trPr>
          <w:trHeight w:val="216"/>
        </w:trPr>
        <w:tc>
          <w:tcPr>
            <w:tcW w:w="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Attention: Rohit Kapoor</w:t>
            </w:r>
          </w:p>
        </w:tc>
      </w:tr>
      <w:tr>
        <w:trPr>
          <w:trHeight w:val="222"/>
        </w:trPr>
        <w:tc>
          <w:tcPr>
            <w:tcW w:w="6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Facsimile: (212) 872-1524</w:t>
            </w:r>
          </w:p>
        </w:tc>
      </w:tr>
    </w:tbl>
    <w:p>
      <w:pPr>
        <w:spacing w:after="0" w:line="142" w:lineRule="exact"/>
        <w:rPr>
          <w:sz w:val="20"/>
          <w:szCs w:val="20"/>
          <w:color w:val="auto"/>
        </w:rPr>
      </w:pPr>
    </w:p>
    <w:p>
      <w:pPr>
        <w:ind w:left="3620"/>
        <w:spacing w:after="0"/>
        <w:rPr>
          <w:sz w:val="20"/>
          <w:szCs w:val="20"/>
          <w:color w:val="auto"/>
        </w:rPr>
      </w:pPr>
      <w:r>
        <w:rPr>
          <w:rFonts w:ascii="Arial" w:cs="Arial" w:eastAsia="Arial" w:hAnsi="Arial"/>
          <w:sz w:val="18"/>
          <w:szCs w:val="18"/>
          <w:b w:val="1"/>
          <w:bCs w:val="1"/>
          <w:i w:val="1"/>
          <w:iCs w:val="1"/>
          <w:color w:val="auto"/>
        </w:rPr>
        <w:t>[Signature Page to Restricted Stock Purchase Agreement]</w:t>
      </w:r>
    </w:p>
    <w:p>
      <w:pPr>
        <w:sectPr>
          <w:pgSz w:w="11900" w:h="16838" w:orient="portrait"/>
          <w:cols w:equalWidth="0" w:num="1">
            <w:col w:w="10220"/>
          </w:cols>
          <w:pgMar w:left="240" w:top="280" w:right="1439" w:bottom="1440" w:gutter="0" w:footer="0" w:header="0"/>
        </w:sectPr>
      </w:pPr>
    </w:p>
    <w:bookmarkStart w:id="168" w:name="page169"/>
    <w:bookmarkEnd w:id="168"/>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VALUE RECEIVED and pursuant to that certain Restricted Stock Purchase Agreement, dated as of November 14, 2002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5"/>
          </w:tcPr>
          <w:p>
            <w:pPr>
              <w:spacing w:after="0"/>
              <w:rPr>
                <w:sz w:val="20"/>
                <w:szCs w:val="20"/>
                <w:color w:val="auto"/>
              </w:rPr>
            </w:pPr>
            <w:r>
              <w:rPr>
                <w:rFonts w:ascii="Arial" w:cs="Arial" w:eastAsia="Arial" w:hAnsi="Arial"/>
                <w:sz w:val="18"/>
                <w:szCs w:val="18"/>
                <w:color w:val="auto"/>
                <w:w w:val="88"/>
              </w:rPr>
              <w:t>Rohit Kapoor (“Purchaser”) hereby sells, assigns and transfers unto</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540" w:type="dxa"/>
            <w:vAlign w:val="bottom"/>
            <w:gridSpan w:val="3"/>
          </w:tcPr>
          <w:p>
            <w:pPr>
              <w:spacing w:after="0"/>
              <w:rPr>
                <w:sz w:val="20"/>
                <w:szCs w:val="20"/>
                <w:color w:val="auto"/>
              </w:rPr>
            </w:pPr>
            <w:r>
              <w:rPr>
                <w:rFonts w:ascii="Arial" w:cs="Arial" w:eastAsia="Arial" w:hAnsi="Arial"/>
                <w:sz w:val="18"/>
                <w:szCs w:val="18"/>
                <w:color w:val="auto"/>
                <w:w w:val="92"/>
              </w:rPr>
              <w:t>) shares of the Common Stock of ExlService Holdings, Inc., a</w:t>
            </w:r>
          </w:p>
        </w:tc>
      </w:tr>
      <w:tr>
        <w:trPr>
          <w:trHeight w:val="20"/>
        </w:trPr>
        <w:tc>
          <w:tcPr>
            <w:tcW w:w="1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8540" w:type="dxa"/>
            <w:vAlign w:val="bottom"/>
            <w:gridSpan w:val="9"/>
          </w:tcPr>
          <w:p>
            <w:pPr>
              <w:spacing w:after="0" w:line="196" w:lineRule="exact"/>
              <w:rPr>
                <w:sz w:val="20"/>
                <w:szCs w:val="20"/>
                <w:color w:val="auto"/>
              </w:rPr>
            </w:pPr>
            <w:r>
              <w:rPr>
                <w:rFonts w:ascii="Arial" w:cs="Arial" w:eastAsia="Arial" w:hAnsi="Arial"/>
                <w:sz w:val="18"/>
                <w:szCs w:val="18"/>
                <w:color w:val="auto"/>
                <w:w w:val="88"/>
              </w:rPr>
              <w:t>Delaware corporation, standing in the undersigned’s name on the books of said corporation represented by certificate no.</w:t>
            </w:r>
          </w:p>
        </w:tc>
        <w:tc>
          <w:tcPr>
            <w:tcW w:w="520" w:type="dxa"/>
            <w:vAlign w:val="bottom"/>
            <w:tcBorders>
              <w:bottom w:val="single" w:sz="8" w:color="auto"/>
            </w:tcBorders>
          </w:tcPr>
          <w:p>
            <w:pPr>
              <w:spacing w:after="0"/>
              <w:rPr>
                <w:sz w:val="17"/>
                <w:szCs w:val="17"/>
                <w:color w:val="auto"/>
              </w:rPr>
            </w:pPr>
          </w:p>
        </w:tc>
        <w:tc>
          <w:tcPr>
            <w:tcW w:w="2180" w:type="dxa"/>
            <w:vAlign w:val="bottom"/>
          </w:tcPr>
          <w:p>
            <w:pPr>
              <w:ind w:left="40"/>
              <w:spacing w:after="0" w:line="196" w:lineRule="exact"/>
              <w:rPr>
                <w:sz w:val="20"/>
                <w:szCs w:val="20"/>
                <w:color w:val="auto"/>
              </w:rPr>
            </w:pPr>
            <w:r>
              <w:rPr>
                <w:rFonts w:ascii="Arial" w:cs="Arial" w:eastAsia="Arial" w:hAnsi="Arial"/>
                <w:sz w:val="18"/>
                <w:szCs w:val="18"/>
                <w:color w:val="auto"/>
                <w:w w:val="99"/>
              </w:rPr>
              <w:t>herewith, and does hereby</w:t>
            </w:r>
          </w:p>
        </w:tc>
      </w:tr>
      <w:tr>
        <w:trPr>
          <w:trHeight w:val="196"/>
        </w:trPr>
        <w:tc>
          <w:tcPr>
            <w:tcW w:w="2440" w:type="dxa"/>
            <w:vAlign w:val="bottom"/>
            <w:gridSpan w:val="3"/>
          </w:tcPr>
          <w:p>
            <w:pPr>
              <w:spacing w:after="0" w:line="196" w:lineRule="exact"/>
              <w:rPr>
                <w:sz w:val="20"/>
                <w:szCs w:val="20"/>
                <w:color w:val="auto"/>
              </w:rPr>
            </w:pPr>
            <w:r>
              <w:rPr>
                <w:rFonts w:ascii="Arial" w:cs="Arial" w:eastAsia="Arial" w:hAnsi="Arial"/>
                <w:sz w:val="18"/>
                <w:szCs w:val="18"/>
                <w:color w:val="auto"/>
                <w:w w:val="90"/>
              </w:rPr>
              <w:t>irrevocably constitute and appoint</w:t>
            </w:r>
          </w:p>
        </w:tc>
        <w:tc>
          <w:tcPr>
            <w:tcW w:w="1240" w:type="dxa"/>
            <w:vAlign w:val="bottom"/>
            <w:tcBorders>
              <w:bottom w:val="single" w:sz="8" w:color="auto"/>
            </w:tcBorders>
          </w:tcPr>
          <w:p>
            <w:pPr>
              <w:spacing w:after="0"/>
              <w:rPr>
                <w:sz w:val="17"/>
                <w:szCs w:val="17"/>
                <w:color w:val="auto"/>
              </w:rPr>
            </w:pPr>
          </w:p>
        </w:tc>
        <w:tc>
          <w:tcPr>
            <w:tcW w:w="7560" w:type="dxa"/>
            <w:vAlign w:val="bottom"/>
            <w:gridSpan w:val="7"/>
          </w:tcPr>
          <w:p>
            <w:pPr>
              <w:ind w:left="40"/>
              <w:spacing w:after="0" w:line="196" w:lineRule="exact"/>
              <w:rPr>
                <w:sz w:val="20"/>
                <w:szCs w:val="20"/>
                <w:color w:val="auto"/>
              </w:rPr>
            </w:pPr>
            <w:r>
              <w:rPr>
                <w:rFonts w:ascii="Arial" w:cs="Arial" w:eastAsia="Arial" w:hAnsi="Arial"/>
                <w:sz w:val="18"/>
                <w:szCs w:val="18"/>
                <w:color w:val="auto"/>
                <w:w w:val="89"/>
              </w:rPr>
              <w:t>attorney to transfer the said stock on the books of the said corporation with full power of substitution in the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premises. THIS ASSIGNMENT MAY ONLY BE USED AS AUTHORIZED BY THE AGREEMENT AND THE EXHIBITS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80010</wp:posOffset>
            </wp:positionV>
            <wp:extent cx="218694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Rohit Kapoor</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Instruction: Please do not fill in any blanks other than the signature line. The purpose of this assignment is to enable the Corporation to exercise its “Repurchase Option” set forth in the Agreement without requiring additional signatures on the part of Purchaser.</w:t>
      </w:r>
    </w:p>
    <w:p>
      <w:pPr>
        <w:sectPr>
          <w:pgSz w:w="11900" w:h="16838" w:orient="portrait"/>
          <w:cols w:equalWidth="0" w:num="1">
            <w:col w:w="11260"/>
          </w:cols>
          <w:pgMar w:left="240" w:top="274" w:right="399" w:bottom="1440" w:gutter="0" w:footer="0" w:header="0"/>
        </w:sectPr>
      </w:pPr>
    </w:p>
    <w:bookmarkStart w:id="169" w:name="page170"/>
    <w:bookmarkEnd w:id="169"/>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CONSENT OF SPOUSE</w:t>
      </w:r>
    </w:p>
    <w:p>
      <w:pPr>
        <w:spacing w:after="0" w:line="164"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I, [</w:t>
      </w:r>
      <w:r>
        <w:rPr>
          <w:sz w:val="20"/>
          <w:szCs w:val="20"/>
          <w:color w:val="auto"/>
        </w:rPr>
        <w:tab/>
      </w:r>
      <w:r>
        <w:rPr>
          <w:rFonts w:ascii="Arial" w:cs="Arial" w:eastAsia="Arial" w:hAnsi="Arial"/>
          <w:sz w:val="15"/>
          <w:szCs w:val="15"/>
          <w:color w:val="auto"/>
        </w:rPr>
        <w:t>], spouse of Rohit Kapoor, have read and approve the foregoing Agreement. In consideration of granting of the right to my spouse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-13970</wp:posOffset>
            </wp:positionV>
            <wp:extent cx="5575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40"/>
        <w:spacing w:after="0" w:line="300" w:lineRule="auto"/>
        <w:rPr>
          <w:sz w:val="20"/>
          <w:szCs w:val="20"/>
          <w:color w:val="auto"/>
        </w:rPr>
      </w:pPr>
      <w:r>
        <w:rPr>
          <w:rFonts w:ascii="Arial" w:cs="Arial" w:eastAsia="Arial" w:hAnsi="Arial"/>
          <w:sz w:val="15"/>
          <w:szCs w:val="15"/>
          <w:color w:val="auto"/>
        </w:rPr>
        <w:t>purchase shares of ExlService Holdings, Inc., as set forth in the Agreement, I hereby appoint my spouse as my attorney-in-fact in respect to the exercise of any rights under the Agreement and agree to be bound by the provisions of the Agreement insofar as I may have any rights in said Agreement or any shares issued</w:t>
      </w:r>
    </w:p>
    <w:tbl>
      <w:tblPr>
        <w:tblLayout w:type="fixed"/>
        <w:tblInd w:w="0" w:type="dxa"/>
        <w:tblCellMar>
          <w:top w:w="0" w:type="dxa"/>
          <w:left w:w="0" w:type="dxa"/>
          <w:bottom w:w="0" w:type="dxa"/>
          <w:right w:w="0" w:type="dxa"/>
        </w:tblCellMar>
      </w:tblPr>
      <w:tr>
        <w:trPr>
          <w:trHeight w:val="179"/>
        </w:trPr>
        <w:tc>
          <w:tcPr>
            <w:tcW w:w="5120" w:type="dxa"/>
            <w:vAlign w:val="bottom"/>
            <w:gridSpan w:val="4"/>
          </w:tcPr>
          <w:p>
            <w:pPr>
              <w:spacing w:after="0" w:line="179" w:lineRule="exact"/>
              <w:rPr>
                <w:sz w:val="20"/>
                <w:szCs w:val="20"/>
                <w:color w:val="auto"/>
              </w:rPr>
            </w:pPr>
            <w:r>
              <w:rPr>
                <w:rFonts w:ascii="Arial" w:cs="Arial" w:eastAsia="Arial" w:hAnsi="Arial"/>
                <w:sz w:val="18"/>
                <w:szCs w:val="18"/>
                <w:color w:val="auto"/>
              </w:rPr>
              <w:t>pursuant thereto under the community property laws of the [</w:t>
            </w:r>
          </w:p>
        </w:tc>
        <w:tc>
          <w:tcPr>
            <w:tcW w:w="6060" w:type="dxa"/>
            <w:vAlign w:val="bottom"/>
          </w:tcPr>
          <w:p>
            <w:pPr>
              <w:spacing w:after="0" w:line="179" w:lineRule="exact"/>
              <w:rPr>
                <w:sz w:val="20"/>
                <w:szCs w:val="20"/>
                <w:color w:val="auto"/>
              </w:rPr>
            </w:pPr>
            <w:r>
              <w:rPr>
                <w:rFonts w:ascii="Arial" w:cs="Arial" w:eastAsia="Arial" w:hAnsi="Arial"/>
                <w:sz w:val="18"/>
                <w:szCs w:val="18"/>
                <w:color w:val="auto"/>
                <w:w w:val="89"/>
              </w:rPr>
              <w:t>] or similar laws relating to marital property in effect in the state of our residence as of</w:t>
            </w:r>
          </w:p>
        </w:tc>
      </w:tr>
      <w:tr>
        <w:trPr>
          <w:trHeight w:val="235"/>
        </w:trPr>
        <w:tc>
          <w:tcPr>
            <w:tcW w:w="4240" w:type="dxa"/>
            <w:vAlign w:val="bottom"/>
            <w:gridSpan w:val="3"/>
          </w:tcPr>
          <w:p>
            <w:pPr>
              <w:spacing w:after="0"/>
              <w:rPr>
                <w:sz w:val="20"/>
                <w:szCs w:val="20"/>
                <w:color w:val="auto"/>
              </w:rPr>
            </w:pPr>
            <w:r>
              <w:rPr>
                <w:rFonts w:ascii="Arial" w:cs="Arial" w:eastAsia="Arial" w:hAnsi="Arial"/>
                <w:sz w:val="18"/>
                <w:szCs w:val="18"/>
                <w:color w:val="auto"/>
              </w:rPr>
              <w:t>the date of the signing of the foregoing Agreement.</w:t>
            </w:r>
          </w:p>
        </w:tc>
        <w:tc>
          <w:tcPr>
            <w:tcW w:w="880" w:type="dxa"/>
            <w:vAlign w:val="bottom"/>
            <w:tcBorders>
              <w:top w:val="single" w:sz="8" w:color="auto"/>
            </w:tcBorders>
          </w:tcPr>
          <w:p>
            <w:pPr>
              <w:spacing w:after="0"/>
              <w:rPr>
                <w:sz w:val="20"/>
                <w:szCs w:val="20"/>
                <w:color w:val="auto"/>
              </w:rPr>
            </w:pPr>
          </w:p>
        </w:tc>
        <w:tc>
          <w:tcPr>
            <w:tcW w:w="6060" w:type="dxa"/>
            <w:vAlign w:val="bottom"/>
          </w:tcPr>
          <w:p>
            <w:pPr>
              <w:spacing w:after="0"/>
              <w:rPr>
                <w:sz w:val="20"/>
                <w:szCs w:val="20"/>
                <w:color w:val="auto"/>
              </w:rPr>
            </w:pPr>
          </w:p>
        </w:tc>
      </w:tr>
      <w:tr>
        <w:trPr>
          <w:trHeight w:val="326"/>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700" w:type="dxa"/>
            <w:vAlign w:val="bottom"/>
            <w:tcBorders>
              <w:bottom w:val="single" w:sz="8" w:color="auto"/>
            </w:tcBorders>
          </w:tcPr>
          <w:p>
            <w:pPr>
              <w:spacing w:after="0"/>
              <w:rPr>
                <w:sz w:val="24"/>
                <w:szCs w:val="24"/>
                <w:color w:val="auto"/>
              </w:rPr>
            </w:pPr>
          </w:p>
        </w:tc>
        <w:tc>
          <w:tcPr>
            <w:tcW w:w="3020" w:type="dxa"/>
            <w:vAlign w:val="bottom"/>
          </w:tcPr>
          <w:p>
            <w:pPr>
              <w:jc w:val="right"/>
              <w:ind w:right="2452"/>
              <w:spacing w:after="0"/>
              <w:rPr>
                <w:sz w:val="20"/>
                <w:szCs w:val="20"/>
                <w:color w:val="auto"/>
              </w:rPr>
            </w:pPr>
            <w:r>
              <w:rPr>
                <w:rFonts w:ascii="Arial" w:cs="Arial" w:eastAsia="Arial" w:hAnsi="Arial"/>
                <w:sz w:val="18"/>
                <w:szCs w:val="18"/>
                <w:color w:val="auto"/>
                <w:w w:val="83"/>
              </w:rPr>
              <w:t>, 2002.</w:t>
            </w:r>
          </w:p>
        </w:tc>
        <w:tc>
          <w:tcPr>
            <w:tcW w:w="880" w:type="dxa"/>
            <w:vAlign w:val="bottom"/>
          </w:tcPr>
          <w:p>
            <w:pPr>
              <w:spacing w:after="0"/>
              <w:rPr>
                <w:sz w:val="24"/>
                <w:szCs w:val="24"/>
                <w:color w:val="auto"/>
              </w:rPr>
            </w:pPr>
          </w:p>
        </w:tc>
        <w:tc>
          <w:tcPr>
            <w:tcW w:w="6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9877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320"/>
          </w:cols>
          <w:pgMar w:left="240" w:top="27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15, 2005, included in Amendment No. 2 to the Registration Statement (Form S-1 No. 333-121001) and related Prospectus of ExlService Holdings, Inc. for the registration of its common stock.</w:t>
      </w:r>
    </w:p>
    <w:p>
      <w:pPr>
        <w:spacing w:after="0" w:line="72"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u w:val="single" w:color="auto"/>
          <w:color w:val="auto"/>
        </w:rPr>
        <w:t>/s/</w:t>
      </w:r>
      <w:r>
        <w:rPr>
          <w:sz w:val="20"/>
          <w:szCs w:val="20"/>
          <w:color w:val="auto"/>
        </w:rPr>
        <w:tab/>
      </w:r>
      <w:r>
        <w:rPr>
          <w:rFonts w:ascii="Arial" w:cs="Arial" w:eastAsia="Arial" w:hAnsi="Arial"/>
          <w:sz w:val="16"/>
          <w:szCs w:val="16"/>
          <w:u w:val="single" w:color="auto"/>
          <w:color w:val="auto"/>
        </w:rPr>
        <w:t>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2005</w:t>
      </w:r>
    </w:p>
    <w:p>
      <w:pPr>
        <w:sectPr>
          <w:pgSz w:w="11900" w:h="16838" w:orient="portrait"/>
          <w:cols w:equalWidth="0" w:num="1">
            <w:col w:w="11420"/>
          </w:cols>
          <w:pgMar w:left="240" w:top="13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23.3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Luthra &amp; Luthra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 Offices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 ExlService Holdings, Inc. (“ExlService”)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acted as Indian legal counsel to ExlService in connection with the Registration Statement on Form S-l of ExlService, Registration No. 333-121001 (the “Registration Statement”). We hereby consent to the filing with the Securities and Exchange Commission of this letter as an exhibit to the Registration Statement and to the reference to us under the headings “Risk Factors – Investors may have difficulty effecting service of process or enforcing judgments obtained in the United States against us, our subsidiary in India or our executive officers,” “Legal Matters” and “Enforceability of Judgments” in the Prospectus, which is part of the Registrations Statement. In giving such consent, we do not admit that we are in the category of persons whose consent is required under Section 7 of the Securities Act of 1933.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Luthra &amp; Luthra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Luthra &amp; Luthra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Offices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Rajiv K. Luthra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14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103, Ashoka Estate, 24, Barakhamba Road, New Delhi-110 001</w:t>
      </w:r>
    </w:p>
    <w:p>
      <w:pPr>
        <w:spacing w:after="0" w:line="2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Ph. : 91 11 5121 5100 Fax : 91 11 2372 3909 e-mail : luthra@luthra.com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-129540</wp:posOffset>
            </wp:positionV>
            <wp:extent cx="222885" cy="3771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2885" cy="377190"/>
                    </a:xfrm>
                    <a:prstGeom prst="rect">
                      <a:avLst/>
                    </a:prstGeom>
                    <a:noFill/>
                  </pic:spPr>
                </pic:pic>
              </a:graphicData>
            </a:graphic>
          </wp:anchor>
        </w:drawing>
      </w:r>
    </w:p>
    <w:p>
      <w:pPr>
        <w:spacing w:after="0" w:line="12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704-706, 7th Floor, Embassy Centre, Nariman Point, Mumbai-400 021</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Tel. : 91 22 5630 3600 Fax : 91 22 5630 3700 e-mail : luthra@luthra.com</w:t>
      </w:r>
    </w:p>
    <w:p>
      <w:pPr>
        <w:sectPr>
          <w:pgSz w:w="11900" w:h="16838" w:orient="portrait"/>
          <w:cols w:equalWidth="0" w:num="1">
            <w:col w:w="11420"/>
          </w:cols>
          <w:pgMar w:left="240" w:top="125" w:right="239" w:bottom="1440" w:gutter="0" w:footer="0" w:header="0"/>
        </w:sectPr>
      </w:pPr>
    </w:p>
    <w:bookmarkStart w:id="172" w:name="page173"/>
    <w:bookmarkEnd w:id="172"/>
    <w:p>
      <w:pPr>
        <w:jc w:val="center"/>
        <w:ind w:right="-3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10019-6064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April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Judiciary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 – Amendment No. 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Statement on Form S-1 (File No. 333-121001)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Ladies and Gentlemen:</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On behalf of ExlService Holdings,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we submit in electronic form for filing the accompanying Amendment No. 2 to the Registration Statement on Form S-1 (</w:t>
      </w:r>
      <w:r>
        <w:rPr>
          <w:rFonts w:ascii="Arial" w:cs="Arial" w:eastAsia="Arial" w:hAnsi="Arial"/>
          <w:sz w:val="18"/>
          <w:szCs w:val="18"/>
          <w:i w:val="1"/>
          <w:iCs w:val="1"/>
          <w:color w:val="auto"/>
        </w:rPr>
        <w:t>“Amendment No. 2”</w:t>
      </w:r>
      <w:r>
        <w:rPr>
          <w:rFonts w:ascii="Arial" w:cs="Arial" w:eastAsia="Arial" w:hAnsi="Arial"/>
          <w:sz w:val="18"/>
          <w:szCs w:val="18"/>
          <w:color w:val="auto"/>
        </w:rPr>
        <w:t xml:space="preserve">) of the Company, together with Exhibits, marked to indicate changes from the Registration Statement as originally filed with the Securities and Exchange Commission (the </w:t>
      </w:r>
      <w:r>
        <w:rPr>
          <w:rFonts w:ascii="Arial" w:cs="Arial" w:eastAsia="Arial" w:hAnsi="Arial"/>
          <w:sz w:val="18"/>
          <w:szCs w:val="18"/>
          <w:i w:val="1"/>
          <w:iCs w:val="1"/>
          <w:color w:val="auto"/>
        </w:rPr>
        <w:t>“Commission”</w:t>
      </w:r>
      <w:r>
        <w:rPr>
          <w:rFonts w:ascii="Arial" w:cs="Arial" w:eastAsia="Arial" w:hAnsi="Arial"/>
          <w:sz w:val="18"/>
          <w:szCs w:val="18"/>
          <w:color w:val="auto"/>
        </w:rPr>
        <w:t>) on December 3, 2004, and amended on January 31, 2005.</w:t>
      </w:r>
    </w:p>
    <w:p>
      <w:pPr>
        <w:spacing w:after="0" w:line="13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Amendment No. 2 reflects the responses of the Company to comments received from the Staff of the Commission (the </w:t>
      </w:r>
      <w:r>
        <w:rPr>
          <w:rFonts w:ascii="Arial" w:cs="Arial" w:eastAsia="Arial" w:hAnsi="Arial"/>
          <w:sz w:val="16"/>
          <w:szCs w:val="16"/>
          <w:i w:val="1"/>
          <w:iCs w:val="1"/>
          <w:color w:val="auto"/>
        </w:rPr>
        <w:t>“Staff”</w:t>
      </w:r>
      <w:r>
        <w:rPr>
          <w:rFonts w:ascii="Arial" w:cs="Arial" w:eastAsia="Arial" w:hAnsi="Arial"/>
          <w:sz w:val="16"/>
          <w:szCs w:val="16"/>
          <w:color w:val="auto"/>
        </w:rPr>
        <w:t xml:space="preserve">) in a letter from Owen Pinkerton, dated February 18, 2005 (the </w:t>
      </w:r>
      <w:r>
        <w:rPr>
          <w:rFonts w:ascii="Arial" w:cs="Arial" w:eastAsia="Arial" w:hAnsi="Arial"/>
          <w:sz w:val="16"/>
          <w:szCs w:val="16"/>
          <w:i w:val="1"/>
          <w:iCs w:val="1"/>
          <w:color w:val="auto"/>
        </w:rPr>
        <w:t>“Comment Letter”</w:t>
      </w:r>
      <w:r>
        <w:rPr>
          <w:rFonts w:ascii="Arial" w:cs="Arial" w:eastAsia="Arial" w:hAnsi="Arial"/>
          <w:sz w:val="16"/>
          <w:szCs w:val="16"/>
          <w:color w:val="auto"/>
        </w:rPr>
        <w:t xml:space="preserve">).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2 and to the prospectus included therein (the </w:t>
      </w:r>
      <w:r>
        <w:rPr>
          <w:rFonts w:ascii="Arial" w:cs="Arial" w:eastAsia="Arial" w:hAnsi="Arial"/>
          <w:sz w:val="16"/>
          <w:szCs w:val="16"/>
          <w:i w:val="1"/>
          <w:iCs w:val="1"/>
          <w:color w:val="auto"/>
        </w:rPr>
        <w:t>“Prospectus”</w:t>
      </w:r>
      <w:r>
        <w:rPr>
          <w:rFonts w:ascii="Arial" w:cs="Arial" w:eastAsia="Arial" w:hAnsi="Arial"/>
          <w:sz w:val="16"/>
          <w:szCs w:val="16"/>
          <w:color w:val="auto"/>
        </w:rPr>
        <w:t xml:space="preserve"> or </w:t>
      </w:r>
      <w:r>
        <w:rPr>
          <w:rFonts w:ascii="Arial" w:cs="Arial" w:eastAsia="Arial" w:hAnsi="Arial"/>
          <w:sz w:val="16"/>
          <w:szCs w:val="16"/>
          <w:i w:val="1"/>
          <w:iCs w:val="1"/>
          <w:color w:val="auto"/>
        </w:rPr>
        <w:t>“Amendment No. 2”</w:t>
      </w:r>
      <w:r>
        <w:rPr>
          <w:rFonts w:ascii="Arial" w:cs="Arial" w:eastAsia="Arial" w:hAnsi="Arial"/>
          <w:sz w:val="16"/>
          <w:szCs w:val="16"/>
          <w:color w:val="auto"/>
        </w:rPr>
        <w:t>, as applicable).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responses to the Staff’s comments are as follows: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left="900" w:right="540" w:hanging="446"/>
        <w:spacing w:after="0" w:line="268" w:lineRule="auto"/>
        <w:tabs>
          <w:tab w:leader="none" w:pos="900" w:val="left"/>
        </w:tabs>
        <w:numPr>
          <w:ilvl w:val="0"/>
          <w:numId w:val="133"/>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pending requests for confidential treatment. We will review and provide comments on your request separately. Please resolve all comments before requesting acceleration of the effectiveness of this registration statement.</w:t>
      </w:r>
    </w:p>
    <w:p>
      <w:pPr>
        <w:sectPr>
          <w:pgSz w:w="11900" w:h="16838" w:orient="portrait"/>
          <w:cols w:equalWidth="0" w:num="1">
            <w:col w:w="11400"/>
          </w:cols>
          <w:pgMar w:left="240" w:top="131" w:right="259" w:bottom="1440" w:gutter="0" w:footer="0" w:header="0"/>
        </w:sectPr>
      </w:pPr>
    </w:p>
    <w:bookmarkStart w:id="173" w:name="page174"/>
    <w:bookmarkEnd w:id="17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w:t>
      </w:r>
    </w:p>
    <w:p>
      <w:pPr>
        <w:spacing w:after="0" w:line="77"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The Company will resolve all comments to its request for confidential treatment before it requests acceleration of the effectiveness of the Registration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77" w:lineRule="exact"/>
        <w:rPr>
          <w:sz w:val="20"/>
          <w:szCs w:val="20"/>
          <w:color w:val="auto"/>
        </w:rPr>
      </w:pPr>
    </w:p>
    <w:p>
      <w:pPr>
        <w:ind w:left="900" w:right="20" w:hanging="446"/>
        <w:spacing w:after="0" w:line="291" w:lineRule="auto"/>
        <w:tabs>
          <w:tab w:leader="none" w:pos="900" w:val="left"/>
        </w:tabs>
        <w:numPr>
          <w:ilvl w:val="0"/>
          <w:numId w:val="134"/>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previous comment 7 and 8; however, the continued use of industry jargon in the first two paragraph of the summary to describe otherwise simple concepts is confusing to investors. For example, we note that in the second sentence of the first paragraph, you have not clearly defined the meaning of “outsourcing” and “business process outsourcing.” Please revise so that it is immediately clear that you essentially provide opportunities for companies to shift some of their operations, such as human resources and accounting, to a third party in an overseas location, primarily India. The terms you use in your definition such as “business process” and “business functions” are vague and not very useful in clearly identifying the services you actually provide to clients.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1 of the Prospectus.</w:t>
      </w:r>
    </w:p>
    <w:p>
      <w:pPr>
        <w:spacing w:after="0" w:line="77" w:lineRule="exact"/>
        <w:rPr>
          <w:sz w:val="20"/>
          <w:szCs w:val="20"/>
          <w:color w:val="auto"/>
        </w:rPr>
      </w:pPr>
    </w:p>
    <w:p>
      <w:pPr>
        <w:ind w:left="900" w:hanging="446"/>
        <w:spacing w:after="0" w:line="254" w:lineRule="auto"/>
        <w:tabs>
          <w:tab w:leader="none" w:pos="900"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In that regard, we note that the last sentence in paragraph two remains abstract and saturated with industry jargon. For example, in the absence of a problem or question, the term “solution” is abstract and should be replaced by a more concrete term or terms. Instead of using the term “solution,” please replace the term with a brief description of your actual products and services. Also, how do you “develop processes,” and what are “business risk compliance services?” Please also avoid the use of terms such as “integrated business process outsourcing solutions,” and “large-scale processes” in the second paragraph and define their meaning in the text instead. Similarly, define “back-office processing” and “high-value solutions” on page 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1 and 2 of the Prospectus.</w:t>
      </w:r>
    </w:p>
    <w:p>
      <w:pPr>
        <w:spacing w:after="0" w:line="77" w:lineRule="exact"/>
        <w:rPr>
          <w:sz w:val="20"/>
          <w:szCs w:val="20"/>
          <w:color w:val="auto"/>
        </w:rPr>
      </w:pPr>
    </w:p>
    <w:p>
      <w:pPr>
        <w:ind w:left="900" w:right="100" w:hanging="446"/>
        <w:spacing w:after="0" w:line="268" w:lineRule="auto"/>
        <w:tabs>
          <w:tab w:leader="none" w:pos="900" w:val="left"/>
        </w:tabs>
        <w:numPr>
          <w:ilvl w:val="0"/>
          <w:numId w:val="136"/>
        </w:numPr>
        <w:rPr>
          <w:rFonts w:ascii="Arial" w:cs="Arial" w:eastAsia="Arial" w:hAnsi="Arial"/>
          <w:sz w:val="18"/>
          <w:szCs w:val="18"/>
          <w:i w:val="1"/>
          <w:iCs w:val="1"/>
          <w:color w:val="auto"/>
        </w:rPr>
      </w:pPr>
      <w:r>
        <w:rPr>
          <w:rFonts w:ascii="Arial" w:cs="Arial" w:eastAsia="Arial" w:hAnsi="Arial"/>
          <w:sz w:val="18"/>
          <w:szCs w:val="18"/>
          <w:i w:val="1"/>
          <w:iCs w:val="1"/>
          <w:color w:val="auto"/>
        </w:rPr>
        <w:t>Please better explain the relevance of the terms “Six Sigma methodology” and “Kaizen Initiatives” which may not be readily apparent to investors. Similarly, please briefly describe what the “well known improvement techniques” are.</w:t>
      </w:r>
    </w:p>
    <w:p>
      <w:pPr>
        <w:sectPr>
          <w:pgSz w:w="11900" w:h="16838" w:orient="portrait"/>
          <w:cols w:equalWidth="0" w:num="1">
            <w:col w:w="11380"/>
          </w:cols>
          <w:pgMar w:left="240" w:top="280" w:right="279" w:bottom="1440" w:gutter="0" w:footer="0" w:header="0"/>
        </w:sectPr>
      </w:pPr>
    </w:p>
    <w:bookmarkStart w:id="174" w:name="page175"/>
    <w:bookmarkEnd w:id="17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4</w:t>
      </w:r>
    </w:p>
    <w:p>
      <w:pPr>
        <w:spacing w:after="0" w:line="77"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Company has revised the Prospectus as requested. See page 2 of the Prospectus. The Company confirms that the “well-known improvement techniques” are the Six Sigma and Kaizen techniques described in the Prospectus.</w:t>
      </w:r>
    </w:p>
    <w:p>
      <w:pPr>
        <w:spacing w:after="0" w:line="118"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i w:val="1"/>
          <w:iCs w:val="1"/>
          <w:color w:val="auto"/>
        </w:rPr>
      </w:pPr>
      <w:r>
        <w:rPr>
          <w:rFonts w:ascii="Arial" w:cs="Arial" w:eastAsia="Arial" w:hAnsi="Arial"/>
          <w:sz w:val="18"/>
          <w:szCs w:val="18"/>
          <w:i w:val="1"/>
          <w:iCs w:val="1"/>
          <w:color w:val="auto"/>
        </w:rPr>
        <w:t>Please note that the Comment Letter contained no Comment 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page 1</w:t>
      </w:r>
    </w:p>
    <w:p>
      <w:pPr>
        <w:spacing w:after="0" w:line="77" w:lineRule="exact"/>
        <w:rPr>
          <w:sz w:val="20"/>
          <w:szCs w:val="20"/>
          <w:color w:val="auto"/>
        </w:rPr>
      </w:pPr>
    </w:p>
    <w:p>
      <w:pPr>
        <w:ind w:left="900" w:right="500" w:hanging="446"/>
        <w:spacing w:after="0" w:line="268" w:lineRule="auto"/>
        <w:tabs>
          <w:tab w:leader="none" w:pos="900"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specific measurement you are using in concluding that you are a leading provider of offshore business process outsourcing solutions.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1 of the Prospectus.</w:t>
      </w:r>
    </w:p>
    <w:p>
      <w:pPr>
        <w:spacing w:after="0" w:line="77" w:lineRule="exact"/>
        <w:rPr>
          <w:sz w:val="20"/>
          <w:szCs w:val="20"/>
          <w:color w:val="auto"/>
        </w:rPr>
      </w:pPr>
    </w:p>
    <w:p>
      <w:pPr>
        <w:ind w:left="900" w:right="180" w:hanging="446"/>
        <w:spacing w:after="0" w:line="268" w:lineRule="auto"/>
        <w:tabs>
          <w:tab w:leader="none" w:pos="900" w:val="left"/>
        </w:tabs>
        <w:numPr>
          <w:ilvl w:val="0"/>
          <w:numId w:val="139"/>
        </w:numPr>
        <w:rPr>
          <w:rFonts w:ascii="Arial" w:cs="Arial" w:eastAsia="Arial" w:hAnsi="Arial"/>
          <w:sz w:val="18"/>
          <w:szCs w:val="18"/>
          <w:i w:val="1"/>
          <w:iCs w:val="1"/>
          <w:color w:val="auto"/>
        </w:rPr>
      </w:pPr>
      <w:r>
        <w:rPr>
          <w:rFonts w:ascii="Arial" w:cs="Arial" w:eastAsia="Arial" w:hAnsi="Arial"/>
          <w:sz w:val="18"/>
          <w:szCs w:val="18"/>
          <w:i w:val="1"/>
          <w:iCs w:val="1"/>
          <w:color w:val="auto"/>
        </w:rPr>
        <w:t>In your response to previous comment 14, confirm our understanding that the number of employees specified at the particular dates do not include employees that have previously left your employment and returned at a later date.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7</w:t>
      </w:r>
    </w:p>
    <w:p>
      <w:pPr>
        <w:spacing w:after="0" w:line="77"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Company confirms that the number of employees provided in the Prospectus at December 31, 2004 and at December 31, 2002 do not include employees that previously left the Company’s employment.</w:t>
      </w:r>
    </w:p>
    <w:p>
      <w:pPr>
        <w:spacing w:after="0" w:line="37" w:lineRule="exact"/>
        <w:rPr>
          <w:sz w:val="20"/>
          <w:szCs w:val="20"/>
          <w:color w:val="auto"/>
        </w:rPr>
      </w:pPr>
    </w:p>
    <w:p>
      <w:pPr>
        <w:ind w:left="900" w:right="140" w:hanging="446"/>
        <w:spacing w:after="0" w:line="268" w:lineRule="auto"/>
        <w:tabs>
          <w:tab w:leader="none" w:pos="900" w:val="left"/>
        </w:tabs>
        <w:numPr>
          <w:ilvl w:val="0"/>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Where you discuss the fact that the majority of the contracts in which you enter into are from three to seven years in length, please also disclose the portion of your revenues tied to contracts that are set to expire within the next year.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8</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2, 30 and 55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Strengths, page 2</w:t>
      </w:r>
    </w:p>
    <w:p>
      <w:pPr>
        <w:spacing w:after="0" w:line="77" w:lineRule="exact"/>
        <w:rPr>
          <w:sz w:val="20"/>
          <w:szCs w:val="20"/>
          <w:color w:val="auto"/>
        </w:rPr>
      </w:pPr>
    </w:p>
    <w:p>
      <w:pPr>
        <w:ind w:left="900" w:hanging="446"/>
        <w:spacing w:after="0" w:line="298" w:lineRule="auto"/>
        <w:tabs>
          <w:tab w:leader="none" w:pos="900" w:val="left"/>
        </w:tabs>
        <w:numPr>
          <w:ilvl w:val="0"/>
          <w:numId w:val="141"/>
        </w:numPr>
        <w:rPr>
          <w:rFonts w:ascii="Arial" w:cs="Arial" w:eastAsia="Arial" w:hAnsi="Arial"/>
          <w:sz w:val="16"/>
          <w:szCs w:val="16"/>
          <w:i w:val="1"/>
          <w:iCs w:val="1"/>
          <w:color w:val="auto"/>
        </w:rPr>
      </w:pPr>
      <w:r>
        <w:rPr>
          <w:rFonts w:ascii="Arial" w:cs="Arial" w:eastAsia="Arial" w:hAnsi="Arial"/>
          <w:sz w:val="16"/>
          <w:szCs w:val="16"/>
          <w:i w:val="1"/>
          <w:iCs w:val="1"/>
          <w:color w:val="auto"/>
        </w:rPr>
        <w:t>In your response to previous comment 17, we note that revenue from the “other clients” represented 47.8% of your total revenue for the period ended September 30, 2004 and that these “other clients” can terminate your contracts without cause during the “initial term.” Please disclose the initial term dates for your “other clients.” We note also that in the aggregate, the revenue derived from your other clients is significant and that the termination of a bulk of those contracts without cause could materially impact the predictability of your revenue stream.</w:t>
      </w:r>
    </w:p>
    <w:p>
      <w:pPr>
        <w:sectPr>
          <w:pgSz w:w="11900" w:h="16838" w:orient="portrait"/>
          <w:cols w:equalWidth="0" w:num="1">
            <w:col w:w="11400"/>
          </w:cols>
          <w:pgMar w:left="240" w:top="348" w:right="259" w:bottom="1440" w:gutter="0" w:footer="0" w:header="0"/>
        </w:sectPr>
      </w:pPr>
    </w:p>
    <w:bookmarkStart w:id="175" w:name="page176"/>
    <w:bookmarkEnd w:id="17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9</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2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 page 5</w:t>
      </w:r>
    </w:p>
    <w:p>
      <w:pPr>
        <w:spacing w:after="0" w:line="77" w:lineRule="exact"/>
        <w:rPr>
          <w:sz w:val="20"/>
          <w:szCs w:val="20"/>
          <w:color w:val="auto"/>
        </w:rPr>
      </w:pPr>
    </w:p>
    <w:p>
      <w:pPr>
        <w:ind w:left="900" w:hanging="446"/>
        <w:spacing w:after="0" w:line="268" w:lineRule="auto"/>
        <w:tabs>
          <w:tab w:leader="none" w:pos="900" w:val="left"/>
        </w:tabs>
        <w:numPr>
          <w:ilvl w:val="0"/>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Please briefly list the most material risk factors in the summary section rather than including only a cross-reference to the “Risk Factors” section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10</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5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a limited number of clients…page10</w:t>
      </w:r>
    </w:p>
    <w:p>
      <w:pPr>
        <w:spacing w:after="0" w:line="77" w:lineRule="exact"/>
        <w:rPr>
          <w:sz w:val="20"/>
          <w:szCs w:val="20"/>
          <w:color w:val="auto"/>
        </w:rPr>
      </w:pPr>
    </w:p>
    <w:p>
      <w:pPr>
        <w:ind w:left="900" w:right="60" w:hanging="446"/>
        <w:spacing w:after="0" w:line="306" w:lineRule="auto"/>
        <w:tabs>
          <w:tab w:leader="none" w:pos="900" w:val="left"/>
        </w:tabs>
        <w:numPr>
          <w:ilvl w:val="0"/>
          <w:numId w:val="143"/>
        </w:numPr>
        <w:rPr>
          <w:rFonts w:ascii="Arial" w:cs="Arial" w:eastAsia="Arial" w:hAnsi="Arial"/>
          <w:sz w:val="16"/>
          <w:szCs w:val="16"/>
          <w:i w:val="1"/>
          <w:iCs w:val="1"/>
          <w:color w:val="auto"/>
        </w:rPr>
      </w:pPr>
      <w:r>
        <w:rPr>
          <w:rFonts w:ascii="Arial" w:cs="Arial" w:eastAsia="Arial" w:hAnsi="Arial"/>
          <w:sz w:val="16"/>
          <w:szCs w:val="16"/>
          <w:i w:val="1"/>
          <w:iCs w:val="1"/>
          <w:color w:val="auto"/>
        </w:rPr>
        <w:t>Reconcile your disclosure on page 10 relating to the November 2005 initial term expiration date of your agreement with Dell with the disclosure on page 2 stating that the expiration of the initial term dates with your two largest customers (one of which is Dell) expire no sooner than 2007. Also, clarify on page two whether Dell can terminate the agreement with 30 days notice at any time before and after the initial term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11</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2 and 10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a long selling cycle…page 11</w:t>
      </w:r>
    </w:p>
    <w:p>
      <w:pPr>
        <w:spacing w:after="0" w:line="77" w:lineRule="exact"/>
        <w:rPr>
          <w:sz w:val="20"/>
          <w:szCs w:val="20"/>
          <w:color w:val="auto"/>
        </w:rPr>
      </w:pPr>
    </w:p>
    <w:p>
      <w:pPr>
        <w:ind w:left="900" w:right="660" w:hanging="446"/>
        <w:spacing w:after="0" w:line="268" w:lineRule="auto"/>
        <w:tabs>
          <w:tab w:leader="none" w:pos="900"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response to previous comment 31. The language you have added in revision to this comment tends to mitigate the risk you are presenting and should be removed.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12</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Please see page 11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fail to attract and retain…page 13</w:t>
      </w:r>
    </w:p>
    <w:p>
      <w:pPr>
        <w:sectPr>
          <w:pgSz w:w="11900" w:h="16838" w:orient="portrait"/>
          <w:cols w:equalWidth="0" w:num="1">
            <w:col w:w="11340"/>
          </w:cols>
          <w:pgMar w:left="240" w:top="280" w:right="319" w:bottom="1440" w:gutter="0" w:footer="0" w:header="0"/>
        </w:sectPr>
      </w:pPr>
    </w:p>
    <w:bookmarkStart w:id="176" w:name="page177"/>
    <w:bookmarkEnd w:id="17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900" w:right="520" w:hanging="446"/>
        <w:spacing w:after="0" w:line="332" w:lineRule="auto"/>
        <w:tabs>
          <w:tab w:leader="none" w:pos="900" w:val="left"/>
        </w:tabs>
        <w:numPr>
          <w:ilvl w:val="0"/>
          <w:numId w:val="145"/>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previous comment 35, however, you have not indicated how much your cost of revenues have increased nor have you quantified the impact of the high turnover rate on your profit margins for the most recent period. We reissue the comment.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13</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13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future sales of shares of our common stock…page 20</w:t>
      </w:r>
    </w:p>
    <w:p>
      <w:pPr>
        <w:spacing w:after="0" w:line="77" w:lineRule="exact"/>
        <w:rPr>
          <w:sz w:val="20"/>
          <w:szCs w:val="20"/>
          <w:color w:val="auto"/>
        </w:rPr>
      </w:pPr>
    </w:p>
    <w:p>
      <w:pPr>
        <w:ind w:left="900" w:right="100" w:hanging="446"/>
        <w:spacing w:after="0" w:line="332" w:lineRule="auto"/>
        <w:tabs>
          <w:tab w:leader="none" w:pos="900" w:val="left"/>
        </w:tabs>
        <w:numPr>
          <w:ilvl w:val="0"/>
          <w:numId w:val="146"/>
        </w:numPr>
        <w:rPr>
          <w:rFonts w:ascii="Arial" w:cs="Arial" w:eastAsia="Arial" w:hAnsi="Arial"/>
          <w:sz w:val="16"/>
          <w:szCs w:val="16"/>
          <w:i w:val="1"/>
          <w:iCs w:val="1"/>
          <w:color w:val="auto"/>
        </w:rPr>
      </w:pPr>
      <w:r>
        <w:rPr>
          <w:rFonts w:ascii="Arial" w:cs="Arial" w:eastAsia="Arial" w:hAnsi="Arial"/>
          <w:sz w:val="16"/>
          <w:szCs w:val="16"/>
          <w:i w:val="1"/>
          <w:iCs w:val="1"/>
          <w:color w:val="auto"/>
        </w:rPr>
        <w:t>In response to previous comment 46, state that the lock-up agreement may be waived at any time at the underwriter’s sole discretion and provide the factors listed in your response as examples of circumstances under which the agreements may be waived.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14</w:t>
      </w:r>
    </w:p>
    <w:p>
      <w:pPr>
        <w:spacing w:after="0" w:line="7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Company respectfully disagrees with the Staff and believes that the change suggested by the Staff in comment 14 is not necessary. The Company notes, as an initial matter, that the suggested disclosure has not been included in numerous other offerings that had identical lock-up waiver provisions. The Company has also been advised by the underwriters that retention of discretion to waive lock-up provisions is a widespread and long-standing market practice and that they are unaware of transactions in which the suggested disclosure has been included.</w:t>
      </w:r>
    </w:p>
    <w:p>
      <w:pPr>
        <w:spacing w:after="0" w:line="9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underwriters’ right to waive the lock-up is discussed in the sections of the prospectus entitled “Underwriting” and “Shares Available for Future Sale,” and the Company believes that this right does not present a material risk to investors that merits discussion under “Risk Factors” in light of the very reasons for which lock-up provisions are required by underwriters. These provisions reflect the underwriters’ interest in assuring an orderly secondary market for the offered shares, not only because they intermediate the original offering, but also because they subsequently generally make a two-way market in the shares offered. An unexpected follow-on offering of shares by an issuer or other significant holders that is effected in an unmanaged fashion could adversely affect trading markets for the shares originally offered. In the case of an initial public offering, the need for an orderly market is especially important and redounds to the benefit of both the newly-public company, as well as the original and potential investors in the shares offered. The interests of the underwriters are thus aligned with those of the original purchasers. The Company believes that the practice of not including the Staff’s suggested disclosure derives from this fact – the right to waive a lock-up is not a risk to holders, since the fundamental predicate for its exercise is the underwriters’ judgment that additional liquidity will not undermine the trading market for the shares.</w:t>
      </w:r>
    </w:p>
    <w:p>
      <w:pPr>
        <w:sectPr>
          <w:pgSz w:w="11900" w:h="16838" w:orient="portrait"/>
          <w:cols w:equalWidth="0" w:num="1">
            <w:col w:w="11420"/>
          </w:cols>
          <w:pgMar w:left="240" w:top="280" w:right="239" w:bottom="1440" w:gutter="0" w:footer="0" w:header="0"/>
        </w:sectPr>
      </w:pPr>
    </w:p>
    <w:bookmarkStart w:id="177" w:name="page178"/>
    <w:bookmarkEnd w:id="17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 Page 23</w:t>
      </w:r>
    </w:p>
    <w:p>
      <w:pPr>
        <w:spacing w:after="0" w:line="77" w:lineRule="exact"/>
        <w:rPr>
          <w:sz w:val="20"/>
          <w:szCs w:val="20"/>
          <w:color w:val="auto"/>
        </w:rPr>
      </w:pPr>
    </w:p>
    <w:p>
      <w:pPr>
        <w:ind w:left="900" w:right="480" w:hanging="446"/>
        <w:spacing w:after="0" w:line="370" w:lineRule="auto"/>
        <w:tabs>
          <w:tab w:leader="none" w:pos="900" w:val="left"/>
        </w:tabs>
        <w:numPr>
          <w:ilvl w:val="0"/>
          <w:numId w:val="147"/>
        </w:numPr>
        <w:rPr>
          <w:rFonts w:ascii="Arial" w:cs="Arial" w:eastAsia="Arial" w:hAnsi="Arial"/>
          <w:sz w:val="15"/>
          <w:szCs w:val="15"/>
          <w:i w:val="1"/>
          <w:iCs w:val="1"/>
          <w:color w:val="auto"/>
        </w:rPr>
      </w:pPr>
      <w:r>
        <w:rPr>
          <w:rFonts w:ascii="Arial" w:cs="Arial" w:eastAsia="Arial" w:hAnsi="Arial"/>
          <w:sz w:val="15"/>
          <w:szCs w:val="15"/>
          <w:i w:val="1"/>
          <w:iCs w:val="1"/>
          <w:color w:val="auto"/>
        </w:rPr>
        <w:t>We note your response to previous comment 49. Please tell us why you have not allocated a portion of proceeds to pay for the facility you are contractually committed to acquire by September of 2005. Please revise to include the estimated amounts intended to be used for this purpose.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15</w:t>
      </w:r>
    </w:p>
    <w:p>
      <w:pPr>
        <w:spacing w:after="0" w:line="77" w:lineRule="exact"/>
        <w:rPr>
          <w:sz w:val="20"/>
          <w:szCs w:val="20"/>
          <w:color w:val="auto"/>
        </w:rPr>
      </w:pPr>
    </w:p>
    <w:p>
      <w:pPr>
        <w:jc w:val="both"/>
        <w:ind w:right="520" w:firstLine="913"/>
        <w:spacing w:after="0" w:line="306" w:lineRule="auto"/>
        <w:rPr>
          <w:sz w:val="20"/>
          <w:szCs w:val="20"/>
          <w:color w:val="auto"/>
        </w:rPr>
      </w:pPr>
      <w:r>
        <w:rPr>
          <w:rFonts w:ascii="Arial" w:cs="Arial" w:eastAsia="Arial" w:hAnsi="Arial"/>
          <w:sz w:val="16"/>
          <w:szCs w:val="16"/>
          <w:color w:val="auto"/>
        </w:rPr>
        <w:t>The Company does not intend to use any of the proceeds from the offering to fund the facility that it is contractually committed to acquire by September 2005. Instead, the Company intends to fund that facility using cash flows generated from operations, as disclosed on page 40 of the Prospectus. Accordingly, the Company has not allocated any portion of the proceeds from the offering to fund this facility.</w:t>
      </w:r>
    </w:p>
    <w:p>
      <w:pPr>
        <w:spacing w:after="0" w:line="93" w:lineRule="exact"/>
        <w:rPr>
          <w:sz w:val="20"/>
          <w:szCs w:val="20"/>
          <w:color w:val="auto"/>
        </w:rPr>
      </w:pPr>
    </w:p>
    <w:p>
      <w:pPr>
        <w:ind w:right="4860"/>
        <w:spacing w:after="0" w:line="328" w:lineRule="auto"/>
        <w:rPr>
          <w:sz w:val="20"/>
          <w:szCs w:val="20"/>
          <w:color w:val="auto"/>
        </w:rPr>
      </w:pPr>
      <w:r>
        <w:rPr>
          <w:rFonts w:ascii="Arial" w:cs="Arial" w:eastAsia="Arial" w:hAnsi="Arial"/>
          <w:sz w:val="18"/>
          <w:szCs w:val="18"/>
          <w:b w:val="1"/>
          <w:bCs w:val="1"/>
          <w:i w:val="1"/>
          <w:iCs w:val="1"/>
          <w:color w:val="auto"/>
        </w:rPr>
        <w:t xml:space="preserve">Management’s Discussion and Analysis of Financial Condition and Results of Operations </w:t>
      </w:r>
      <w:r>
        <w:rPr>
          <w:rFonts w:ascii="Arial" w:cs="Arial" w:eastAsia="Arial" w:hAnsi="Arial"/>
          <w:sz w:val="18"/>
          <w:szCs w:val="18"/>
          <w:i w:val="1"/>
          <w:iCs w:val="1"/>
          <w:color w:val="auto"/>
        </w:rPr>
        <w:t>Results of Operations, page 36</w:t>
      </w:r>
    </w:p>
    <w:p>
      <w:pPr>
        <w:spacing w:after="0" w:line="1" w:lineRule="exact"/>
        <w:rPr>
          <w:sz w:val="20"/>
          <w:szCs w:val="20"/>
          <w:color w:val="auto"/>
        </w:rPr>
      </w:pPr>
    </w:p>
    <w:p>
      <w:pPr>
        <w:ind w:left="900" w:hanging="446"/>
        <w:spacing w:after="0" w:line="298" w:lineRule="auto"/>
        <w:tabs>
          <w:tab w:leader="none" w:pos="900" w:val="left"/>
        </w:tabs>
        <w:numPr>
          <w:ilvl w:val="0"/>
          <w:numId w:val="148"/>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reviewed your revisions in response to prior comment 54; however, we re-issue the comment. Please include a more robust explanation for the 126.8 percent increase in revenues from the nine months ended September 30, 2003 to the nine months ended September 30, 2004. It appears that the increase in the number of new clients did not have material effect on this increase. In light of the fact that your revenues are largely predictable as a result of the long-term nature of your agreements, it is not clear what caused the large increase presented here.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36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Stockholders—Page 75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Stockholder Agreement</w:t>
      </w:r>
    </w:p>
    <w:p>
      <w:pPr>
        <w:spacing w:after="0" w:line="77" w:lineRule="exact"/>
        <w:rPr>
          <w:sz w:val="20"/>
          <w:szCs w:val="20"/>
          <w:color w:val="auto"/>
        </w:rPr>
      </w:pPr>
    </w:p>
    <w:p>
      <w:pPr>
        <w:ind w:left="900" w:right="160" w:hanging="446"/>
        <w:spacing w:after="0" w:line="294" w:lineRule="auto"/>
        <w:tabs>
          <w:tab w:leader="none" w:pos="900" w:val="left"/>
        </w:tabs>
        <w:numPr>
          <w:ilvl w:val="0"/>
          <w:numId w:val="149"/>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previous comment 62. Do the indemnification provisions discussed in Section 8(d)-(f) of the Supplemental Stockholder Agreement dated December 3, 2004 extend indemnification protection to any of your directors and executive officers beyond that which you have provided and disclosed on page II-1 of your originally filed registration statement? If so, please discuss the differences in your document. We note that the Stockholder Agreement indemnifies the purchasers, as well as any partners, members, directors, officers, affiliates, legal counsel and each person who controls the purchasers, and that some of your officer and directors serve as partners to the purchasers.</w:t>
      </w:r>
    </w:p>
    <w:p>
      <w:pPr>
        <w:sectPr>
          <w:pgSz w:w="11900" w:h="16838" w:orient="portrait"/>
          <w:cols w:equalWidth="0" w:num="1">
            <w:col w:w="11380"/>
          </w:cols>
          <w:pgMar w:left="240" w:top="280" w:right="279" w:bottom="1440" w:gutter="0" w:footer="0" w:header="0"/>
        </w:sectPr>
      </w:pPr>
    </w:p>
    <w:bookmarkStart w:id="178" w:name="page179"/>
    <w:bookmarkEnd w:id="17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17</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confirms that the indemnification provisions contained in the Supplemental Stockholder Agreement do not extend the indemnification of the Company’s directors and officers beyond the indemnification provisions described in Part II of the Company’s originally filed registration statement. The indemnification obligations contained in the Supplemental Stockholder Agreement flow to TCV V, L.P. and TCV V Member Fund, L.P. (the “TCV Entities”) and certain of their related parties. None of the Company’s officers or directors are affiliated with or employed by the TCV Entities.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77"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6"/>
          <w:szCs w:val="16"/>
          <w:i w:val="1"/>
          <w:iCs w:val="1"/>
          <w:color w:val="auto"/>
        </w:rPr>
      </w:pPr>
      <w:r>
        <w:rPr>
          <w:rFonts w:ascii="Arial" w:cs="Arial" w:eastAsia="Arial" w:hAnsi="Arial"/>
          <w:sz w:val="16"/>
          <w:szCs w:val="16"/>
          <w:i w:val="1"/>
          <w:iCs w:val="1"/>
          <w:color w:val="auto"/>
        </w:rPr>
        <w:t>Please supplementally confirm that the i-Deal materials have not changed since you obtained clearance from the Office of Chief Counsel.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18</w:t>
      </w:r>
    </w:p>
    <w:p>
      <w:pPr>
        <w:spacing w:after="0" w:line="7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Citigroup Global Markets Inc. has informed the Company that the i-Deal materials have not changed since Citigroup Global Markets Inc. received clearance from the Office of Chief Counsel.</w:t>
      </w:r>
    </w:p>
    <w:p>
      <w:pPr>
        <w:spacing w:after="0" w:line="37" w:lineRule="exact"/>
        <w:rPr>
          <w:sz w:val="20"/>
          <w:szCs w:val="20"/>
          <w:color w:val="auto"/>
        </w:rPr>
      </w:pPr>
    </w:p>
    <w:p>
      <w:pPr>
        <w:ind w:left="900" w:right="140" w:hanging="446"/>
        <w:spacing w:after="0" w:line="259" w:lineRule="auto"/>
        <w:tabs>
          <w:tab w:leader="none" w:pos="90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Supplementally tell us who falls within the category of “friends and family” of directors. For example, are Oak Hill Partners and FTV Ventures parties that may participate in the directed share program as “friends and family members?” We note that some of your directors are partners with Oak Hill and FTV Ventures.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19</w:t>
      </w:r>
    </w:p>
    <w:p>
      <w:pPr>
        <w:spacing w:after="0" w:line="7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Company supplementally advises the Staff that except for Messrs. Talwar and Kapoor, none of the Company’s directors will be inviting “friends and family” members to participate in the Company’s directed share program. In addition, Oak Hill Partners and FT Ventures will not be participating in the directed share program. Messrs. Talwar and Kapoor have indicated to the Company that they expect to invite only social acquaintances, relatives and personal friends to participate in the Company’s directed share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1-Organization, Basis of Presentation and Business Combinations</w:t>
      </w:r>
    </w:p>
    <w:p>
      <w:pPr>
        <w:spacing w:after="0" w:line="77" w:lineRule="exact"/>
        <w:rPr>
          <w:sz w:val="20"/>
          <w:szCs w:val="20"/>
          <w:color w:val="auto"/>
        </w:rPr>
      </w:pPr>
    </w:p>
    <w:p>
      <w:pPr>
        <w:ind w:left="900" w:right="120" w:hanging="446"/>
        <w:spacing w:after="0" w:line="332" w:lineRule="auto"/>
        <w:tabs>
          <w:tab w:leader="none" w:pos="900"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comment 71, however, your disclosure indicates that Conseco’s waiver of $11 million in advances to the Company, as well as Conseco’s $1 million contribution to the Company were “key transactions” of the acquisition. Please explain to us in further detail the</w:t>
      </w:r>
    </w:p>
    <w:p>
      <w:pPr>
        <w:sectPr>
          <w:pgSz w:w="11900" w:h="16838" w:orient="portrait"/>
          <w:cols w:equalWidth="0" w:num="1">
            <w:col w:w="11400"/>
          </w:cols>
          <w:pgMar w:left="240" w:top="280" w:right="259" w:bottom="1440" w:gutter="0" w:footer="0" w:header="0"/>
        </w:sectPr>
      </w:pPr>
    </w:p>
    <w:bookmarkStart w:id="179" w:name="page180"/>
    <w:bookmarkEnd w:id="17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920" w:right="140"/>
        <w:spacing w:after="0" w:line="332" w:lineRule="auto"/>
        <w:rPr>
          <w:sz w:val="20"/>
          <w:szCs w:val="20"/>
          <w:color w:val="auto"/>
        </w:rPr>
      </w:pPr>
      <w:r>
        <w:rPr>
          <w:rFonts w:ascii="Arial" w:cs="Arial" w:eastAsia="Arial" w:hAnsi="Arial"/>
          <w:sz w:val="16"/>
          <w:szCs w:val="16"/>
          <w:i w:val="1"/>
          <w:iCs w:val="1"/>
          <w:color w:val="auto"/>
        </w:rPr>
        <w:t>timing of these transactions as they appear to have occurred in contemplation of the acquisition and provide us with more substantive reasons why you do not believe they should be factored into your purchase price calculation. Refer to paragraphs 44 and 45 of SFAS No. 141.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20</w:t>
      </w:r>
    </w:p>
    <w:p>
      <w:pPr>
        <w:spacing w:after="0" w:line="77"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Company supplementally advises the Staff that as of November 14, 2002, Exl Inc had received advances aggregating $12 million from its parent, Conseco. However, prior to the acquisition of Exl Inc by Exl Holdings it was known by both parties that these advances would not have to be repaid nor would the Company have to perform any services to earn this money. The $12 million did not represent a legal obligation assumed by the acquiring corporation. Accordingly, such advances were recorded as capital contributions by the predecessor entity.</w:t>
      </w:r>
    </w:p>
    <w:p>
      <w:pPr>
        <w:spacing w:after="0" w:line="99" w:lineRule="exact"/>
        <w:rPr>
          <w:sz w:val="20"/>
          <w:szCs w:val="20"/>
          <w:color w:val="auto"/>
        </w:rPr>
      </w:pPr>
    </w:p>
    <w:p>
      <w:pPr>
        <w:ind w:right="20" w:firstLine="913"/>
        <w:spacing w:after="0" w:line="323" w:lineRule="auto"/>
        <w:rPr>
          <w:sz w:val="20"/>
          <w:szCs w:val="20"/>
          <w:color w:val="auto"/>
        </w:rPr>
      </w:pPr>
      <w:r>
        <w:rPr>
          <w:rFonts w:ascii="Arial" w:cs="Arial" w:eastAsia="Arial" w:hAnsi="Arial"/>
          <w:sz w:val="15"/>
          <w:szCs w:val="15"/>
          <w:color w:val="auto"/>
        </w:rPr>
        <w:t>The Company recorded the acquisition in accordance with paragraphs 44 and 45 of SFAS No. 141. The liability to Conseco was not assumed by the Company. The sum of the amounts assigned to assets acquired and liabilities assumed exceeded the cost of the acquired entity (excess over cost or excess) and that excess was allocated as a pro rata reduction of the amounts that otherwise would have been assigned to all of the acquired non-current assets. The excess that remained after reducing to zero the amounts that otherwise would have been assigned to those assets was recognized as an extraordinary gain.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3 – Restatement</w:t>
      </w:r>
    </w:p>
    <w:p>
      <w:pPr>
        <w:spacing w:after="0" w:line="77" w:lineRule="exact"/>
        <w:rPr>
          <w:sz w:val="20"/>
          <w:szCs w:val="20"/>
          <w:color w:val="auto"/>
        </w:rPr>
      </w:pPr>
    </w:p>
    <w:p>
      <w:pPr>
        <w:ind w:left="900" w:hanging="446"/>
        <w:spacing w:after="0" w:line="256" w:lineRule="auto"/>
        <w:tabs>
          <w:tab w:leader="none" w:pos="900" w:val="left"/>
        </w:tabs>
        <w:numPr>
          <w:ilvl w:val="0"/>
          <w:numId w:val="153"/>
        </w:numPr>
        <w:rPr>
          <w:rFonts w:ascii="Arial" w:cs="Arial" w:eastAsia="Arial" w:hAnsi="Arial"/>
          <w:sz w:val="18"/>
          <w:szCs w:val="18"/>
          <w:i w:val="1"/>
          <w:iCs w:val="1"/>
          <w:color w:val="auto"/>
        </w:rPr>
      </w:pPr>
      <w:r>
        <w:rPr>
          <w:rFonts w:ascii="Arial" w:cs="Arial" w:eastAsia="Arial" w:hAnsi="Arial"/>
          <w:sz w:val="18"/>
          <w:szCs w:val="18"/>
          <w:i w:val="1"/>
          <w:iCs w:val="1"/>
          <w:color w:val="auto"/>
        </w:rPr>
        <w:t>Related to prior comment 75, please supplementally explain the nature of the services provided by Oak Hill. Specifically, tell us whether the amounts due to Oak Hill were contractually based or determined in some other manner. In addition, please clarify the facts and circumstances that resulted in the error and how the error was detected. Finally, please explain why you had disclosed the change as a renegotiation in your prior filing instead of as an error.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21</w:t>
      </w:r>
    </w:p>
    <w:p>
      <w:pPr>
        <w:spacing w:after="0" w:line="7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Company supplementally advises the Staff that the $500,000 fee paid by the Company to Oak Hill was a fee paid in connection with the acquisition of Exl Inc. and its subsidiaries from Conseco in 2002 (the “Acquisition”). The fee represented compensation for the work performed by Oak Hill in structuring and providing other</w:t>
      </w:r>
    </w:p>
    <w:p>
      <w:pPr>
        <w:sectPr>
          <w:pgSz w:w="11900" w:h="16838" w:orient="portrait"/>
          <w:cols w:equalWidth="0" w:num="1">
            <w:col w:w="11380"/>
          </w:cols>
          <w:pgMar w:left="240" w:top="280" w:right="279" w:bottom="1440" w:gutter="0" w:footer="0" w:header="0"/>
        </w:sectPr>
      </w:pPr>
    </w:p>
    <w:bookmarkStart w:id="180" w:name="page181"/>
    <w:bookmarkEnd w:id="18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advisory services to the Company in connection with the Acquisition. The fee amount was originally set at $1 million at the onset of the negotiations for the Acquisition. During the course of the negotiations and as the terms of the Acquisition were being finalized, this deal fee amount was renegotiated down in 2002 and finally agreed to at $500,000 based on the final terms of the Acquisition. The Company had however initially recorded the fee at $1 million in its accounts and did not reduce it to the correct amount in 2002. This error was discovered by the Company in 2003 during its financial statement closing process when it began to analyze certain balance sheet accounts. The Company noted that a liability remained on the books for $500,000 that was not actually owed.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 – Capital Structure</w:t>
      </w:r>
    </w:p>
    <w:p>
      <w:pPr>
        <w:spacing w:after="0" w:line="77" w:lineRule="exact"/>
        <w:rPr>
          <w:sz w:val="20"/>
          <w:szCs w:val="20"/>
          <w:color w:val="auto"/>
        </w:rPr>
      </w:pPr>
    </w:p>
    <w:p>
      <w:pPr>
        <w:jc w:val="both"/>
        <w:ind w:left="900" w:right="160" w:hanging="446"/>
        <w:spacing w:after="0" w:line="335" w:lineRule="auto"/>
        <w:tabs>
          <w:tab w:leader="none" w:pos="900" w:val="left"/>
        </w:tabs>
        <w:numPr>
          <w:ilvl w:val="0"/>
          <w:numId w:val="154"/>
        </w:numPr>
        <w:rPr>
          <w:rFonts w:ascii="Arial" w:cs="Arial" w:eastAsia="Arial" w:hAnsi="Arial"/>
          <w:sz w:val="15"/>
          <w:szCs w:val="15"/>
          <w:i w:val="1"/>
          <w:iCs w:val="1"/>
          <w:color w:val="auto"/>
        </w:rPr>
      </w:pPr>
      <w:r>
        <w:rPr>
          <w:rFonts w:ascii="Arial" w:cs="Arial" w:eastAsia="Arial" w:hAnsi="Arial"/>
          <w:sz w:val="15"/>
          <w:szCs w:val="15"/>
          <w:i w:val="1"/>
          <w:iCs w:val="1"/>
          <w:color w:val="auto"/>
        </w:rPr>
        <w:t>In your response to comment 76, you indicate that mandatory redemption events include “if either or both Vikram Talwar or Rohit Kapoor resign from or are terminated or are otherwise no longer employed by the Company or any of its subsidiaries for any reason.” These appear to be events that are certain to occur and would require classification as a liability in accordance with paragraphs 9 and A6 of SFAS No. 150. Please advise.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22</w:t>
      </w:r>
    </w:p>
    <w:p>
      <w:pPr>
        <w:spacing w:after="0" w:line="77"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Company supplementally advises the Staff that it has reviewed paragraph A6 of SFAS No. 150 which states that “an entity may issue shares of stock that are required to be redeemed upon the death of the holder for a proportionate share of the book value of the entity. The death of the holder is an event that is certain to occur. Therefore, the stock is classified as a liability.” Based on its interpretation of this paragraph and discussions with the Staff, the Company concurs that one of the mandatory redemption features that states “if either or both Vikram Talwar or Rohit Kapoor resign from or are terminated or otherwise no longer employed by the Company or any of its subsidiaries for any reason” is an event certain to occur.</w:t>
      </w:r>
    </w:p>
    <w:p>
      <w:pPr>
        <w:spacing w:after="0" w:line="102"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The Company has therefore classified the preferred stock as a liability in its balance sheets and beginning July 1, 2003 it has classified dividends on the redeemable preferred stock and accretion of issuance costs as interest expense – redeemable preferred stock in its statement of operations.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 * * *</w:t>
      </w:r>
    </w:p>
    <w:p>
      <w:pPr>
        <w:sectPr>
          <w:pgSz w:w="11900" w:h="16838" w:orient="portrait"/>
          <w:cols w:equalWidth="0" w:num="1">
            <w:col w:w="11340"/>
          </w:cols>
          <w:pgMar w:left="240" w:top="280" w:right="319" w:bottom="1440" w:gutter="0" w:footer="0" w:header="0"/>
        </w:sectPr>
      </w:pPr>
    </w:p>
    <w:bookmarkStart w:id="181" w:name="page182"/>
    <w:bookmarkEnd w:id="18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10</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If you have any questions concerning the above responses, please do not hesitate to contact either the undersigned at (212) 373-3076 or John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Kennedy at (212) 373-3025.</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Valérie M. Demont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Valérie M. Demont</w:t>
      </w:r>
    </w:p>
    <w:p>
      <w:pPr>
        <w:spacing w:after="0" w:line="171" w:lineRule="exact"/>
        <w:rPr>
          <w:sz w:val="20"/>
          <w:szCs w:val="20"/>
          <w:color w:val="auto"/>
        </w:rPr>
      </w:pPr>
    </w:p>
    <w:p>
      <w:pPr>
        <w:ind w:left="360" w:right="7660" w:hanging="352"/>
        <w:spacing w:after="0" w:line="284" w:lineRule="auto"/>
        <w:tabs>
          <w:tab w:leader="none" w:pos="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Vikram Talwar, ExlService Holdings, Inc. Rohit Kapoor, ExlService Holdings, Inc. Amit Shashank, ExlService Holdings, Inc.</w:t>
      </w:r>
    </w:p>
    <w:p>
      <w:pPr>
        <w:spacing w:after="0" w:line="1" w:lineRule="exact"/>
        <w:rPr>
          <w:rFonts w:ascii="Arial" w:cs="Arial" w:eastAsia="Arial" w:hAnsi="Arial"/>
          <w:sz w:val="16"/>
          <w:szCs w:val="16"/>
          <w:color w:val="auto"/>
        </w:rPr>
      </w:pPr>
    </w:p>
    <w:p>
      <w:pPr>
        <w:ind w:left="360" w:right="6020"/>
        <w:spacing w:after="0" w:line="281" w:lineRule="auto"/>
        <w:rPr>
          <w:rFonts w:ascii="Arial" w:cs="Arial" w:eastAsia="Arial" w:hAnsi="Arial"/>
          <w:sz w:val="16"/>
          <w:szCs w:val="16"/>
          <w:color w:val="auto"/>
        </w:rPr>
      </w:pPr>
      <w:r>
        <w:rPr>
          <w:rFonts w:ascii="Arial" w:cs="Arial" w:eastAsia="Arial" w:hAnsi="Arial"/>
          <w:sz w:val="16"/>
          <w:szCs w:val="16"/>
          <w:color w:val="auto"/>
        </w:rPr>
        <w:t>John C. Kennedy, Paul, Weiss, Rifkind, Wharton &amp; Garrison LLP Janet L. Fisher, Cleary Gottlieb Steen &amp; Hamilton LLP</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Vishal Bakshi, Goldman, Sachs &amp; Co.</w:t>
      </w:r>
    </w:p>
    <w:p>
      <w:pPr>
        <w:spacing w:after="0" w:line="9" w:lineRule="exact"/>
        <w:rPr>
          <w:rFonts w:ascii="Arial" w:cs="Arial" w:eastAsia="Arial" w:hAnsi="Arial"/>
          <w:sz w:val="16"/>
          <w:szCs w:val="16"/>
          <w:color w:val="auto"/>
        </w:rPr>
      </w:pPr>
    </w:p>
    <w:p>
      <w:pPr>
        <w:ind w:left="360" w:right="7280"/>
        <w:spacing w:after="0" w:line="261" w:lineRule="auto"/>
        <w:rPr>
          <w:rFonts w:ascii="Arial" w:cs="Arial" w:eastAsia="Arial" w:hAnsi="Arial"/>
          <w:sz w:val="16"/>
          <w:szCs w:val="16"/>
          <w:color w:val="auto"/>
        </w:rPr>
      </w:pPr>
      <w:r>
        <w:rPr>
          <w:rFonts w:ascii="Arial" w:cs="Arial" w:eastAsia="Arial" w:hAnsi="Arial"/>
          <w:sz w:val="18"/>
          <w:szCs w:val="18"/>
          <w:color w:val="auto"/>
        </w:rPr>
        <w:t>David Goldstein, Citigroup Global Markets Inc. Kapil Jain, Ernst &amp; Young, LLP</w:t>
      </w:r>
    </w:p>
    <w:sectPr>
      <w:pgSz w:w="11900" w:h="16838" w:orient="portrait"/>
      <w:cols w:equalWidth="0" w:num="1">
        <w:col w:w="11000"/>
      </w:cols>
      <w:pgMar w:left="240" w:top="2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1"/>
    </w:lvl>
  </w:abstractNum>
  <w:abstractNum w:abstractNumId="1">
    <w:nsid w:val="8F2B15E"/>
    <w:multiLevelType w:val="hybridMultilevel"/>
    <w:lvl w:ilvl="0">
      <w:lvlJc w:val="left"/>
      <w:lvlText w:val="%1."/>
      <w:numFmt w:val="decimal"/>
      <w:start w:val="10"/>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lvl w:ilvl="1">
      <w:lvlJc w:val="left"/>
      <w:lvlText w:val="•"/>
      <w:numFmt w:val="bullet"/>
      <w:start w:val="1"/>
    </w:lvl>
  </w:abstractNum>
  <w:abstractNum w:abstractNumId="5">
    <w:nsid w:val="4962813B"/>
    <w:multiLevelType w:val="hybridMultilevel"/>
    <w:lvl w:ilvl="0">
      <w:lvlJc w:val="left"/>
      <w:lvlText w:val="(%1)"/>
      <w:numFmt w:val="decimal"/>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lvl w:ilvl="1">
      <w:lvlJc w:val="left"/>
      <w:lvlText w:val="•"/>
      <w:numFmt w:val="bullet"/>
      <w:start w:val="1"/>
    </w:lvl>
  </w:abstractNum>
  <w:abstractNum w:abstractNumId="13">
    <w:nsid w:val="7FB7E0AA"/>
    <w:multiLevelType w:val="hybridMultilevel"/>
    <w:lvl w:ilvl="0">
      <w:lvlJc w:val="left"/>
      <w:lvlText w:val="(%1)"/>
      <w:numFmt w:val="decimal"/>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1)"/>
      <w:numFmt w:val="decimal"/>
      <w:start w:val="1"/>
    </w:lvl>
  </w:abstractNum>
  <w:abstractNum w:abstractNumId="16">
    <w:nsid w:val="94211F2"/>
    <w:multiLevelType w:val="hybridMultilevel"/>
    <w:lvl w:ilvl="0">
      <w:lvlJc w:val="left"/>
      <w:lvlText w:val="%1."/>
      <w:numFmt w:val="decimal"/>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1)"/>
      <w:numFmt w:val="decimal"/>
      <w:start w:val="1"/>
    </w:lvl>
  </w:abstractNum>
  <w:abstractNum w:abstractNumId="42">
    <w:nsid w:val="7672BD23"/>
    <w:multiLevelType w:val="hybridMultilevel"/>
    <w:lvl w:ilvl="0">
      <w:lvlJc w:val="left"/>
      <w:lvlText w:val="(%1)"/>
      <w:numFmt w:val="decimal"/>
      <w:start w:val="1"/>
    </w:lvl>
  </w:abstractNum>
  <w:abstractNum w:abstractNumId="43">
    <w:nsid w:val="6FC75AF8"/>
    <w:multiLevelType w:val="hybridMultilevel"/>
    <w:lvl w:ilvl="0">
      <w:lvlJc w:val="left"/>
      <w:lvlText w:val="(%1)"/>
      <w:numFmt w:val="decimal"/>
      <w:start w:val="1"/>
    </w:lvl>
  </w:abstractNum>
  <w:abstractNum w:abstractNumId="44">
    <w:nsid w:val="6A5F7029"/>
    <w:multiLevelType w:val="hybridMultilevel"/>
    <w:lvl w:ilvl="0">
      <w:lvlJc w:val="left"/>
      <w:lvlText w:val="(%1)"/>
      <w:numFmt w:val="decimal"/>
      <w:start w:val="1"/>
    </w:lvl>
  </w:abstractNum>
  <w:abstractNum w:abstractNumId="45">
    <w:nsid w:val="7D5E18F8"/>
    <w:multiLevelType w:val="hybridMultilevel"/>
    <w:lvl w:ilvl="0">
      <w:lvlJc w:val="left"/>
      <w:lvlText w:val="•"/>
      <w:numFmt w:val="bullet"/>
      <w:start w:val="1"/>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1)"/>
      <w:numFmt w:val="decimal"/>
      <w:start w:val="1"/>
    </w:lvl>
  </w:abstractNum>
  <w:abstractNum w:abstractNumId="49">
    <w:nsid w:val="555C55B5"/>
    <w:multiLevelType w:val="hybridMultilevel"/>
    <w:lvl w:ilvl="0">
      <w:lvlJc w:val="left"/>
      <w:lvlText w:val="(%1)"/>
      <w:numFmt w:val="decimal"/>
      <w:start w:val="2"/>
    </w:lvl>
  </w:abstractNum>
  <w:abstractNum w:abstractNumId="50">
    <w:nsid w:val="3FA62ACA"/>
    <w:multiLevelType w:val="hybridMultilevel"/>
    <w:lvl w:ilvl="0">
      <w:lvlJc w:val="left"/>
      <w:lvlText w:val="(%1)"/>
      <w:numFmt w:val="decimal"/>
      <w:start w:val="6"/>
    </w:lvl>
  </w:abstractNum>
  <w:abstractNum w:abstractNumId="51">
    <w:nsid w:val="14FCE74E"/>
    <w:multiLevelType w:val="hybridMultilevel"/>
    <w:lvl w:ilvl="0">
      <w:lvlJc w:val="left"/>
      <w:lvlText w:val="•"/>
      <w:numFmt w:val="bullet"/>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
      <w:numFmt w:val="bullet"/>
      <w:start w:val="1"/>
    </w:lvl>
  </w:abstractNum>
  <w:abstractNum w:abstractNumId="55">
    <w:nsid w:val="53299938"/>
    <w:multiLevelType w:val="hybridMultilevel"/>
    <w:lvl w:ilvl="0">
      <w:lvlJc w:val="left"/>
      <w:lvlText w:val="•"/>
      <w:numFmt w:val="bullet"/>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
      <w:numFmt w:val="bullet"/>
      <w:start w:val="1"/>
    </w:lvl>
  </w:abstractNum>
  <w:abstractNum w:abstractNumId="60">
    <w:nsid w:val="288F1A34"/>
    <w:multiLevelType w:val="hybridMultilevel"/>
    <w:lvl w:ilvl="0">
      <w:lvlJc w:val="left"/>
      <w:lvlText w:val="•"/>
      <w:numFmt w:val="bullet"/>
      <w:start w:val="1"/>
    </w:lvl>
  </w:abstractNum>
  <w:abstractNum w:abstractNumId="61">
    <w:nsid w:val="2A155DBC"/>
    <w:multiLevelType w:val="hybridMultilevel"/>
    <w:lvl w:ilvl="0">
      <w:lvlJc w:val="left"/>
      <w:lvlText w:val="•"/>
      <w:numFmt w:val="bullet"/>
      <w:start w:val="1"/>
    </w:lvl>
  </w:abstractNum>
  <w:abstractNum w:abstractNumId="62">
    <w:nsid w:val="1D9F6E5F"/>
    <w:multiLevelType w:val="hybridMultilevel"/>
    <w:lvl w:ilvl="0">
      <w:lvlJc w:val="left"/>
      <w:lvlText w:val="(%1)"/>
      <w:numFmt w:val="decimal"/>
      <w:start w:val="1"/>
    </w:lvl>
  </w:abstractNum>
  <w:abstractNum w:abstractNumId="63">
    <w:nsid w:val="97E1B4E"/>
    <w:multiLevelType w:val="hybridMultilevel"/>
    <w:lvl w:ilvl="0">
      <w:lvlJc w:val="left"/>
      <w:lvlText w:val="%1."/>
      <w:numFmt w:val="decimal"/>
      <w:start w:val="1"/>
    </w:lvl>
  </w:abstractNum>
  <w:abstractNum w:abstractNumId="64">
    <w:nsid w:val="51088277"/>
    <w:multiLevelType w:val="hybridMultilevel"/>
    <w:lvl w:ilvl="0">
      <w:lvlJc w:val="left"/>
      <w:lvlText w:val="%1."/>
      <w:numFmt w:val="lowerRoman"/>
      <w:start w:val="2"/>
    </w:lvl>
  </w:abstractNum>
  <w:abstractNum w:abstractNumId="65">
    <w:nsid w:val="1CA0C5FA"/>
    <w:multiLevelType w:val="hybridMultilevel"/>
    <w:lvl w:ilvl="0">
      <w:lvlJc w:val="left"/>
      <w:lvlText w:val="%1."/>
      <w:numFmt w:val="decimal"/>
      <w:start w:val="2"/>
    </w:lvl>
  </w:abstractNum>
  <w:abstractNum w:abstractNumId="66">
    <w:nsid w:val="53584BCB"/>
    <w:multiLevelType w:val="hybridMultilevel"/>
    <w:lvl w:ilvl="0">
      <w:lvlJc w:val="left"/>
      <w:lvlText w:val="%1."/>
      <w:numFmt w:val="decimal"/>
      <w:start w:val="1"/>
    </w:lvl>
  </w:abstractNum>
  <w:abstractNum w:abstractNumId="67">
    <w:nsid w:val="415E286C"/>
    <w:multiLevelType w:val="hybridMultilevel"/>
    <w:lvl w:ilvl="0">
      <w:lvlJc w:val="left"/>
      <w:lvlText w:val="%1."/>
      <w:numFmt w:val="decimal"/>
      <w:start w:val="7"/>
    </w:lvl>
  </w:abstractNum>
  <w:abstractNum w:abstractNumId="68">
    <w:nsid w:val="7C58FD05"/>
    <w:multiLevelType w:val="hybridMultilevel"/>
    <w:lvl w:ilvl="0">
      <w:lvlJc w:val="left"/>
      <w:lvlText w:val="•"/>
      <w:numFmt w:val="bullet"/>
      <w:start w:val="1"/>
    </w:lvl>
  </w:abstractNum>
  <w:abstractNum w:abstractNumId="69">
    <w:nsid w:val="23D86AAC"/>
    <w:multiLevelType w:val="hybridMultilevel"/>
    <w:lvl w:ilvl="0">
      <w:lvlJc w:val="left"/>
      <w:lvlText w:val="%1."/>
      <w:numFmt w:val="decimal"/>
      <w:start w:val="14"/>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5"/>
    </w:lvl>
  </w:abstractNum>
  <w:abstractNum w:abstractNumId="72">
    <w:nsid w:val="E7FFA2B"/>
    <w:multiLevelType w:val="hybridMultilevel"/>
    <w:lvl w:ilvl="0">
      <w:lvlJc w:val="left"/>
      <w:lvlText w:val="(%1)"/>
      <w:numFmt w:val="lowerLetter"/>
      <w:start w:val="7"/>
    </w:lvl>
  </w:abstractNum>
  <w:abstractNum w:abstractNumId="73">
    <w:nsid w:val="3C5991AA"/>
    <w:multiLevelType w:val="hybridMultilevel"/>
    <w:lvl w:ilvl="0">
      <w:lvlJc w:val="left"/>
      <w:lvlText w:val="(%1)"/>
      <w:numFmt w:val="decimal"/>
      <w:start w:val="1"/>
    </w:lvl>
  </w:abstractNum>
  <w:abstractNum w:abstractNumId="74">
    <w:nsid w:val="4BD8591A"/>
    <w:multiLevelType w:val="hybridMultilevel"/>
    <w:lvl w:ilvl="0">
      <w:lvlJc w:val="left"/>
      <w:lvlText w:val="**"/>
      <w:numFmt w:val="bullet"/>
      <w:start w:val="1"/>
    </w:lvl>
  </w:abstractNum>
  <w:abstractNum w:abstractNumId="75">
    <w:nsid w:val="78DF6A55"/>
    <w:multiLevelType w:val="hybridMultilevel"/>
    <w:lvl w:ilvl="0">
      <w:lvlJc w:val="left"/>
      <w:lvlText w:val="†"/>
      <w:numFmt w:val="bullet"/>
      <w:start w:val="1"/>
    </w:lvl>
  </w:abstractNum>
  <w:abstractNum w:abstractNumId="76">
    <w:nsid w:val="39B7AAA2"/>
    <w:multiLevelType w:val="hybridMultilevel"/>
    <w:lvl w:ilvl="0">
      <w:lvlJc w:val="left"/>
      <w:lvlText w:val="(%1)"/>
      <w:numFmt w:val="lowerLetter"/>
      <w:start w:val="1"/>
    </w:lvl>
    <w:lvl w:ilvl="1">
      <w:lvlJc w:val="left"/>
      <w:lvlText w:val="(%2)"/>
      <w:numFmt w:val="decimal"/>
      <w:start w:val="1"/>
    </w:lvl>
  </w:abstractNum>
  <w:abstractNum w:abstractNumId="77">
    <w:nsid w:val="2B0D8DBE"/>
    <w:multiLevelType w:val="hybridMultilevel"/>
    <w:lvl w:ilvl="0">
      <w:lvlJc w:val="left"/>
      <w:lvlText w:val="%1"/>
      <w:numFmt w:val="lowerLetter"/>
      <w:start w:val="1"/>
    </w:lvl>
    <w:lvl w:ilvl="1">
      <w:lvlJc w:val="left"/>
      <w:lvlText w:val="(%2)"/>
      <w:numFmt w:val="decimal"/>
      <w:start w:val="2"/>
    </w:lvl>
  </w:abstractNum>
  <w:abstractNum w:abstractNumId="78">
    <w:nsid w:val="6C80EC70"/>
    <w:multiLevelType w:val="hybridMultilevel"/>
    <w:lvl w:ilvl="0">
      <w:lvlJc w:val="left"/>
      <w:lvlText w:val="(%1)"/>
      <w:numFmt w:val="lowerLetter"/>
      <w:start w:val="2"/>
    </w:lvl>
    <w:lvl w:ilvl="1">
      <w:lvlJc w:val="left"/>
      <w:lvlText w:val="%2"/>
      <w:numFmt w:val="decimal"/>
      <w:start w:val="1"/>
    </w:lvl>
  </w:abstractNum>
  <w:abstractNum w:abstractNumId="79">
    <w:nsid w:val="379E21B5"/>
    <w:multiLevelType w:val="hybridMultilevel"/>
    <w:lvl w:ilvl="0">
      <w:lvlJc w:val="left"/>
      <w:lvlText w:val="**"/>
      <w:numFmt w:val="bullet"/>
      <w:start w:val="1"/>
    </w:lvl>
  </w:abstractNum>
  <w:abstractNum w:abstractNumId="80">
    <w:nsid w:val="69E373"/>
    <w:multiLevelType w:val="hybridMultilevel"/>
    <w:lvl w:ilvl="0">
      <w:lvlJc w:val="left"/>
      <w:lvlText w:val="†"/>
      <w:numFmt w:val="bullet"/>
      <w:start w:val="1"/>
    </w:lvl>
  </w:abstractNum>
  <w:abstractNum w:abstractNumId="81">
    <w:nsid w:val="2C27173B"/>
    <w:multiLevelType w:val="hybridMultilevel"/>
    <w:lvl w:ilvl="0">
      <w:lvlJc w:val="left"/>
      <w:lvlText w:val="%1."/>
      <w:numFmt w:val="decimal"/>
      <w:start w:val="1"/>
    </w:lvl>
  </w:abstractNum>
  <w:abstractNum w:abstractNumId="82">
    <w:nsid w:val="4C9B0904"/>
    <w:multiLevelType w:val="hybridMultilevel"/>
    <w:lvl w:ilvl="0">
      <w:lvlJc w:val="left"/>
      <w:lvlText w:val="%1."/>
      <w:numFmt w:val="decimal"/>
      <w:start w:val="2"/>
    </w:lvl>
  </w:abstractNum>
  <w:abstractNum w:abstractNumId="83">
    <w:nsid w:val="6AA7B75C"/>
    <w:multiLevelType w:val="hybridMultilevel"/>
    <w:lvl w:ilvl="0">
      <w:lvlJc w:val="left"/>
      <w:lvlText w:val="%1."/>
      <w:numFmt w:val="decimal"/>
      <w:start w:val="3"/>
    </w:lvl>
  </w:abstractNum>
  <w:abstractNum w:abstractNumId="84">
    <w:nsid w:val="1DF029D3"/>
    <w:multiLevelType w:val="hybridMultilevel"/>
    <w:lvl w:ilvl="0">
      <w:lvlJc w:val="left"/>
      <w:lvlText w:val="%1."/>
      <w:numFmt w:val="decimal"/>
      <w:start w:val="4"/>
    </w:lvl>
  </w:abstractNum>
  <w:abstractNum w:abstractNumId="85">
    <w:nsid w:val="5675FF36"/>
    <w:multiLevelType w:val="hybridMultilevel"/>
    <w:lvl w:ilvl="0">
      <w:lvlJc w:val="left"/>
      <w:lvlText w:val="(%1)"/>
      <w:numFmt w:val="lowerLetter"/>
      <w:start w:val="1"/>
    </w:lvl>
  </w:abstractNum>
  <w:abstractNum w:abstractNumId="86">
    <w:nsid w:val="3DD15094"/>
    <w:multiLevelType w:val="hybridMultilevel"/>
    <w:lvl w:ilvl="0">
      <w:lvlJc w:val="left"/>
      <w:lvlText w:val="%1."/>
      <w:numFmt w:val="decimal"/>
      <w:start w:val="5"/>
    </w:lvl>
  </w:abstractNum>
  <w:abstractNum w:abstractNumId="87">
    <w:nsid w:val="3DB012B3"/>
    <w:multiLevelType w:val="hybridMultilevel"/>
    <w:lvl w:ilvl="0">
      <w:lvlJc w:val="left"/>
      <w:lvlText w:val="(%1)"/>
      <w:numFmt w:val="lowerRoman"/>
      <w:start w:val="1"/>
    </w:lvl>
  </w:abstractNum>
  <w:abstractNum w:abstractNumId="88">
    <w:nsid w:val="2708C9AF"/>
    <w:multiLevelType w:val="hybridMultilevel"/>
    <w:lvl w:ilvl="0">
      <w:lvlJc w:val="left"/>
      <w:lvlText w:val="%1."/>
      <w:numFmt w:val="decimal"/>
      <w:start w:val="6"/>
    </w:lvl>
  </w:abstractNum>
  <w:abstractNum w:abstractNumId="89">
    <w:nsid w:val="5B25ACE2"/>
    <w:multiLevelType w:val="hybridMultilevel"/>
    <w:lvl w:ilvl="0">
      <w:lvlJc w:val="left"/>
      <w:lvlText w:val="%1."/>
      <w:numFmt w:val="decimal"/>
      <w:start w:val="7"/>
    </w:lvl>
  </w:abstractNum>
  <w:abstractNum w:abstractNumId="90">
    <w:nsid w:val="175DFCF0"/>
    <w:multiLevelType w:val="hybridMultilevel"/>
    <w:lvl w:ilvl="0">
      <w:lvlJc w:val="left"/>
      <w:lvlText w:val="%1."/>
      <w:numFmt w:val="decimal"/>
      <w:start w:val="8"/>
    </w:lvl>
  </w:abstractNum>
  <w:abstractNum w:abstractNumId="91">
    <w:nsid w:val="4F97E3E4"/>
    <w:multiLevelType w:val="hybridMultilevel"/>
    <w:lvl w:ilvl="0">
      <w:lvlJc w:val="left"/>
      <w:lvlText w:val="%1:"/>
      <w:numFmt w:val="lowerLetter"/>
      <w:start w:val="29"/>
    </w:lvl>
  </w:abstractNum>
  <w:abstractNum w:abstractNumId="92">
    <w:nsid w:val="53B0A9E"/>
    <w:multiLevelType w:val="hybridMultilevel"/>
    <w:lvl w:ilvl="0">
      <w:lvlJc w:val="left"/>
      <w:lvlText w:val="%1)"/>
      <w:numFmt w:val="decimal"/>
      <w:start w:val="1"/>
    </w:lvl>
    <w:lvl w:ilvl="1">
      <w:lvlJc w:val="left"/>
      <w:lvlText w:val="%2)"/>
      <w:numFmt w:val="lowerLetter"/>
      <w:start w:val="1"/>
    </w:lvl>
  </w:abstractNum>
  <w:abstractNum w:abstractNumId="93">
    <w:nsid w:val="34FD6B4F"/>
    <w:multiLevelType w:val="hybridMultilevel"/>
    <w:lvl w:ilvl="0">
      <w:lvlJc w:val="left"/>
      <w:lvlText w:val="%1)"/>
      <w:numFmt w:val="lowerLetter"/>
      <w:start w:val="25"/>
    </w:lvl>
  </w:abstractNum>
  <w:abstractNum w:abstractNumId="94">
    <w:nsid w:val="5915FF32"/>
    <w:multiLevelType w:val="hybridMultilevel"/>
    <w:lvl w:ilvl="0">
      <w:lvlJc w:val="left"/>
      <w:lvlText w:val="%1"/>
      <w:numFmt w:val="decimal"/>
      <w:start w:val="1"/>
    </w:lvl>
    <w:lvl w:ilvl="1">
      <w:lvlJc w:val="left"/>
      <w:lvlText w:val="%2)"/>
      <w:numFmt w:val="lowerLetter"/>
      <w:start w:val="27"/>
    </w:lvl>
  </w:abstractNum>
  <w:abstractNum w:abstractNumId="95">
    <w:nsid w:val="56438D15"/>
    <w:multiLevelType w:val="hybridMultilevel"/>
    <w:lvl w:ilvl="0">
      <w:lvlJc w:val="left"/>
      <w:lvlText w:val="%1)"/>
      <w:numFmt w:val="decimal"/>
      <w:start w:val="2"/>
    </w:lvl>
    <w:lvl w:ilvl="1">
      <w:lvlJc w:val="left"/>
      <w:lvlText w:val="%2)"/>
      <w:numFmt w:val="lowerLetter"/>
      <w:start w:val="1"/>
    </w:lvl>
  </w:abstractNum>
  <w:abstractNum w:abstractNumId="96">
    <w:nsid w:val="519E3149"/>
    <w:multiLevelType w:val="hybridMultilevel"/>
    <w:lvl w:ilvl="0">
      <w:lvlJc w:val="left"/>
      <w:lvlText w:val="[*]"/>
      <w:numFmt w:val="bullet"/>
      <w:start w:val="1"/>
    </w:lvl>
  </w:abstractNum>
  <w:abstractNum w:abstractNumId="97">
    <w:nsid w:val="2C6E4AFD"/>
    <w:multiLevelType w:val="hybridMultilevel"/>
    <w:lvl w:ilvl="0">
      <w:lvlJc w:val="left"/>
      <w:lvlText w:val="*"/>
      <w:numFmt w:val="bullet"/>
      <w:start w:val="1"/>
    </w:lvl>
    <w:lvl w:ilvl="1">
      <w:lvlJc w:val="left"/>
      <w:lvlText w:val="%2)"/>
      <w:numFmt w:val="lowerLetter"/>
      <w:start w:val="2"/>
    </w:lvl>
  </w:abstractNum>
  <w:abstractNum w:abstractNumId="98">
    <w:nsid w:val="17A1B582"/>
    <w:multiLevelType w:val="hybridMultilevel"/>
    <w:lvl w:ilvl="0">
      <w:lvlJc w:val="left"/>
      <w:lvlText w:val="%1)"/>
      <w:numFmt w:val="decimal"/>
      <w:start w:val="4"/>
    </w:lvl>
    <w:lvl w:ilvl="1">
      <w:lvlJc w:val="left"/>
      <w:lvlText w:val="%2)"/>
      <w:numFmt w:val="lowerLetter"/>
      <w:start w:val="1"/>
    </w:lvl>
  </w:abstractNum>
  <w:abstractNum w:abstractNumId="99">
    <w:nsid w:val="4DF72E4E"/>
    <w:multiLevelType w:val="hybridMultilevel"/>
    <w:lvl w:ilvl="0">
      <w:lvlJc w:val="left"/>
      <w:lvlText w:val="%1)"/>
      <w:numFmt w:val="lowerLetter"/>
      <w:start w:val="5"/>
    </w:lvl>
  </w:abstractNum>
  <w:abstractNum w:abstractNumId="100">
    <w:nsid w:val="5046B5A9"/>
    <w:multiLevelType w:val="hybridMultilevel"/>
    <w:lvl w:ilvl="0">
      <w:lvlJc w:val="left"/>
      <w:lvlText w:val="%1)"/>
      <w:numFmt w:val="decimal"/>
      <w:start w:val="5"/>
    </w:lvl>
    <w:lvl w:ilvl="1">
      <w:lvlJc w:val="left"/>
      <w:lvlText w:val="%2)"/>
      <w:numFmt w:val="lowerLetter"/>
      <w:start w:val="1"/>
    </w:lvl>
  </w:abstractNum>
  <w:abstractNum w:abstractNumId="101">
    <w:nsid w:val="5D888A08"/>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02">
    <w:nsid w:val="2A082C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03">
    <w:nsid w:val="5EC6AFD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04">
    <w:nsid w:val="19E21BB2"/>
    <w:multiLevelType w:val="hybridMultilevel"/>
    <w:lvl w:ilvl="0">
      <w:lvlJc w:val="left"/>
      <w:lvlText w:val="*"/>
      <w:numFmt w:val="bullet"/>
      <w:start w:val="1"/>
    </w:lvl>
    <w:lvl w:ilvl="1">
      <w:lvlJc w:val="left"/>
      <w:lvlText w:val="(%2)"/>
      <w:numFmt w:val="lowerLetter"/>
      <w:start w:val="4"/>
    </w:lvl>
  </w:abstractNum>
  <w:abstractNum w:abstractNumId="105">
    <w:nsid w:val="75E0858A"/>
    <w:multiLevelType w:val="hybridMultilevel"/>
    <w:lvl w:ilvl="0">
      <w:lvlJc w:val="left"/>
      <w:lvlText w:val="%1"/>
      <w:numFmt w:val="decimal"/>
      <w:start w:val="1"/>
    </w:lvl>
    <w:lvl w:ilvl="1">
      <w:lvlJc w:val="left"/>
      <w:lvlText w:val="%2)"/>
      <w:numFmt w:val="lowerLetter"/>
      <w:start w:val="5"/>
    </w:lvl>
  </w:abstractNum>
  <w:abstractNum w:abstractNumId="106">
    <w:nsid w:val="57A61A29"/>
    <w:multiLevelType w:val="hybridMultilevel"/>
    <w:lvl w:ilvl="0">
      <w:lvlJc w:val="left"/>
      <w:lvlText w:val="%1)"/>
      <w:numFmt w:val="decimal"/>
      <w:start w:val="7"/>
    </w:lvl>
    <w:lvl w:ilvl="1">
      <w:lvlJc w:val="left"/>
      <w:lvlText w:val="%2)"/>
      <w:numFmt w:val="lowerLetter"/>
      <w:start w:val="1"/>
    </w:lvl>
  </w:abstractNum>
  <w:abstractNum w:abstractNumId="107">
    <w:nsid w:val="5399C654"/>
    <w:multiLevelType w:val="hybridMultilevel"/>
    <w:lvl w:ilvl="0">
      <w:lvlJc w:val="left"/>
      <w:lvlText w:val="*"/>
      <w:numFmt w:val="bullet"/>
      <w:start w:val="1"/>
    </w:lvl>
  </w:abstractNum>
  <w:abstractNum w:abstractNumId="108">
    <w:nsid w:val="20EE1348"/>
    <w:multiLevelType w:val="hybridMultilevel"/>
    <w:lvl w:ilvl="0">
      <w:lvlJc w:val="left"/>
      <w:lvlText w:val="%1."/>
      <w:numFmt w:val="decimal"/>
      <w:start w:val="1"/>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decimal"/>
      <w:start w:val="1"/>
    </w:lvl>
  </w:abstractNum>
  <w:abstractNum w:abstractNumId="111">
    <w:nsid w:val="2157F6B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12">
    <w:nsid w:val="704E1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113">
    <w:nsid w:val="57D2F10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114">
    <w:nsid w:val="BFFAE18"/>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lvl w:ilvl="3">
      <w:lvlJc w:val="left"/>
      <w:lvlText w:val="%4"/>
      <w:numFmt w:val="lowerLetter"/>
      <w:start w:val="1"/>
    </w:lvl>
  </w:abstractNum>
  <w:abstractNum w:abstractNumId="115">
    <w:nsid w:val="E3E47A8"/>
    <w:multiLevelType w:val="hybridMultilevel"/>
    <w:lvl w:ilvl="0">
      <w:lvlJc w:val="left"/>
      <w:lvlText w:val="(%1)"/>
      <w:numFmt w:val="lowerLetter"/>
      <w:start w:val="2"/>
    </w:lvl>
    <w:lvl w:ilvl="1">
      <w:lvlJc w:val="left"/>
      <w:lvlText w:val="(%2)"/>
      <w:numFmt w:val="lowerRoman"/>
      <w:start w:val="1"/>
    </w:lvl>
  </w:abstractNum>
  <w:abstractNum w:abstractNumId="116">
    <w:nsid w:val="2E48F044"/>
    <w:multiLevelType w:val="hybridMultilevel"/>
    <w:lvl w:ilvl="0">
      <w:lvlJc w:val="left"/>
      <w:lvlText w:val="(%1)"/>
      <w:numFmt w:val="lowerLetter"/>
      <w:start w:val="6"/>
    </w:lvl>
    <w:lvl w:ilvl="1">
      <w:lvlJc w:val="left"/>
      <w:lvlText w:val="(%2)"/>
      <w:numFmt w:val="lowerRoman"/>
      <w:start w:val="1"/>
    </w:lvl>
  </w:abstractNum>
  <w:abstractNum w:abstractNumId="117">
    <w:nsid w:val="49D0FEAC"/>
    <w:multiLevelType w:val="hybridMultilevel"/>
    <w:lvl w:ilvl="0">
      <w:lvlJc w:val="left"/>
      <w:lvlText w:val="(%1)"/>
      <w:numFmt w:val="lowerRoman"/>
      <w:start w:val="1"/>
    </w:lvl>
  </w:abstractNum>
  <w:abstractNum w:abstractNumId="118">
    <w:nsid w:val="4BEE5A5B"/>
    <w:multiLevelType w:val="hybridMultilevel"/>
    <w:lvl w:ilvl="0">
      <w:lvlJc w:val="left"/>
      <w:lvlText w:val="(%1)"/>
      <w:numFmt w:val="lowerLetter"/>
      <w:start w:val="10"/>
    </w:lvl>
  </w:abstractNum>
  <w:abstractNum w:abstractNumId="119">
    <w:nsid w:val="5551B9F3"/>
    <w:multiLevelType w:val="hybridMultilevel"/>
    <w:lvl w:ilvl="0">
      <w:lvlJc w:val="left"/>
      <w:lvlText w:val="%1."/>
      <w:numFmt w:val="decimal"/>
      <w:start w:val="6"/>
    </w:lvl>
    <w:lvl w:ilvl="1">
      <w:lvlJc w:val="left"/>
      <w:lvlText w:val="(%2)"/>
      <w:numFmt w:val="lowerLetter"/>
      <w:start w:val="1"/>
    </w:lvl>
  </w:abstractNum>
  <w:abstractNum w:abstractNumId="120">
    <w:nsid w:val="24F6AB8E"/>
    <w:multiLevelType w:val="hybridMultilevel"/>
    <w:lvl w:ilvl="0">
      <w:lvlJc w:val="left"/>
      <w:lvlText w:val="(%1)"/>
      <w:numFmt w:val="lowerLetter"/>
      <w:start w:val="5"/>
    </w:lvl>
  </w:abstractNum>
  <w:abstractNum w:abstractNumId="121">
    <w:nsid w:val="634C574C"/>
    <w:multiLevelType w:val="hybridMultilevel"/>
    <w:lvl w:ilvl="0">
      <w:lvlJc w:val="left"/>
      <w:lvlText w:val="%1."/>
      <w:numFmt w:val="decimal"/>
      <w:start w:val="1"/>
    </w:lvl>
  </w:abstractNum>
  <w:abstractNum w:abstractNumId="122">
    <w:nsid w:val="24E99DD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3">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4">
    <w:nsid w:val="1849C29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5">
    <w:nsid w:val="7DFF9D0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26">
    <w:nsid w:val="754342"/>
    <w:multiLevelType w:val="hybridMultilevel"/>
    <w:lvl w:ilvl="0">
      <w:lvlJc w:val="left"/>
      <w:lvlText w:val="(%1)"/>
      <w:numFmt w:val="lowerLetter"/>
      <w:start w:val="2"/>
    </w:lvl>
    <w:lvl w:ilvl="1">
      <w:lvlJc w:val="left"/>
      <w:lvlText w:val="(%2)"/>
      <w:numFmt w:val="lowerRoman"/>
      <w:start w:val="1"/>
    </w:lvl>
  </w:abstractNum>
  <w:abstractNum w:abstractNumId="127">
    <w:nsid w:val="69E7F3E5"/>
    <w:multiLevelType w:val="hybridMultilevel"/>
    <w:lvl w:ilvl="0">
      <w:lvlJc w:val="left"/>
      <w:lvlText w:val="(%1)"/>
      <w:numFmt w:val="lowerLetter"/>
      <w:start w:val="6"/>
    </w:lvl>
    <w:lvl w:ilvl="1">
      <w:lvlJc w:val="left"/>
      <w:lvlText w:val="(%2)"/>
      <w:numFmt w:val="lowerRoman"/>
      <w:start w:val="1"/>
    </w:lvl>
  </w:abstractNum>
  <w:abstractNum w:abstractNumId="128">
    <w:nsid w:val="2A6DE806"/>
    <w:multiLevelType w:val="hybridMultilevel"/>
    <w:lvl w:ilvl="0">
      <w:lvlJc w:val="left"/>
      <w:lvlText w:val="(%1)"/>
      <w:numFmt w:val="lowerRoman"/>
      <w:start w:val="1"/>
    </w:lvl>
  </w:abstractNum>
  <w:abstractNum w:abstractNumId="129">
    <w:nsid w:val="1816F8C4"/>
    <w:multiLevelType w:val="hybridMultilevel"/>
    <w:lvl w:ilvl="0">
      <w:lvlJc w:val="left"/>
      <w:lvlText w:val="(%1)"/>
      <w:numFmt w:val="lowerLetter"/>
      <w:start w:val="10"/>
    </w:lvl>
  </w:abstractNum>
  <w:abstractNum w:abstractNumId="130">
    <w:nsid w:val="37DF2233"/>
    <w:multiLevelType w:val="hybridMultilevel"/>
    <w:lvl w:ilvl="0">
      <w:lvlJc w:val="left"/>
      <w:lvlText w:val="%1."/>
      <w:numFmt w:val="decimal"/>
      <w:start w:val="6"/>
    </w:lvl>
    <w:lvl w:ilvl="1">
      <w:lvlJc w:val="left"/>
      <w:lvlText w:val="(%2)"/>
      <w:numFmt w:val="lowerLetter"/>
      <w:start w:val="1"/>
    </w:lvl>
  </w:abstractNum>
  <w:abstractNum w:abstractNumId="131">
    <w:nsid w:val="7AB49DAF"/>
    <w:multiLevelType w:val="hybridMultilevel"/>
    <w:lvl w:ilvl="0">
      <w:lvlJc w:val="left"/>
      <w:lvlText w:val="(%1)"/>
      <w:numFmt w:val="lowerLetter"/>
      <w:start w:val="5"/>
    </w:lvl>
  </w:abstractNum>
  <w:abstractNum w:abstractNumId="132">
    <w:nsid w:val="759F82CD"/>
    <w:multiLevelType w:val="hybridMultilevel"/>
    <w:lvl w:ilvl="0">
      <w:lvlJc w:val="left"/>
      <w:lvlText w:val="%1."/>
      <w:numFmt w:val="decimal"/>
      <w:start w:val="1"/>
    </w:lvl>
  </w:abstractNum>
  <w:abstractNum w:abstractNumId="133">
    <w:nsid w:val="61E74EA3"/>
    <w:multiLevelType w:val="hybridMultilevel"/>
    <w:lvl w:ilvl="0">
      <w:lvlJc w:val="left"/>
      <w:lvlText w:val="%1."/>
      <w:numFmt w:val="decimal"/>
      <w:start w:val="2"/>
    </w:lvl>
  </w:abstractNum>
  <w:abstractNum w:abstractNumId="134">
    <w:nsid w:val="597B4D84"/>
    <w:multiLevelType w:val="hybridMultilevel"/>
    <w:lvl w:ilvl="0">
      <w:lvlJc w:val="left"/>
      <w:lvlText w:val="%1."/>
      <w:numFmt w:val="decimal"/>
      <w:start w:val="3"/>
    </w:lvl>
  </w:abstractNum>
  <w:abstractNum w:abstractNumId="135">
    <w:nsid w:val="F819E7F"/>
    <w:multiLevelType w:val="hybridMultilevel"/>
    <w:lvl w:ilvl="0">
      <w:lvlJc w:val="left"/>
      <w:lvlText w:val="%1."/>
      <w:numFmt w:val="decimal"/>
      <w:start w:val="4"/>
    </w:lvl>
  </w:abstractNum>
  <w:abstractNum w:abstractNumId="136">
    <w:nsid w:val="57C7D42D"/>
    <w:multiLevelType w:val="hybridMultilevel"/>
    <w:lvl w:ilvl="0">
      <w:lvlJc w:val="left"/>
      <w:lvlText w:val="%1."/>
      <w:numFmt w:val="decimal"/>
      <w:start w:val="5"/>
    </w:lvl>
  </w:abstractNum>
  <w:abstractNum w:abstractNumId="137">
    <w:nsid w:val="312167AD"/>
    <w:multiLevelType w:val="hybridMultilevel"/>
    <w:lvl w:ilvl="0">
      <w:lvlJc w:val="left"/>
      <w:lvlText w:val="%1."/>
      <w:numFmt w:val="decimal"/>
      <w:start w:val="6"/>
    </w:lvl>
  </w:abstractNum>
  <w:abstractNum w:abstractNumId="138">
    <w:nsid w:val="631B64D4"/>
    <w:multiLevelType w:val="hybridMultilevel"/>
    <w:lvl w:ilvl="0">
      <w:lvlJc w:val="left"/>
      <w:lvlText w:val="%1."/>
      <w:numFmt w:val="decimal"/>
      <w:start w:val="7"/>
    </w:lvl>
  </w:abstractNum>
  <w:abstractNum w:abstractNumId="139">
    <w:nsid w:val="78B5E776"/>
    <w:multiLevelType w:val="hybridMultilevel"/>
    <w:lvl w:ilvl="0">
      <w:lvlJc w:val="left"/>
      <w:lvlText w:val="%1."/>
      <w:numFmt w:val="decimal"/>
      <w:start w:val="8"/>
    </w:lvl>
  </w:abstractNum>
  <w:abstractNum w:abstractNumId="140">
    <w:nsid w:val="75486E47"/>
    <w:multiLevelType w:val="hybridMultilevel"/>
    <w:lvl w:ilvl="0">
      <w:lvlJc w:val="left"/>
      <w:lvlText w:val="%1."/>
      <w:numFmt w:val="decimal"/>
      <w:start w:val="9"/>
    </w:lvl>
  </w:abstractNum>
  <w:abstractNum w:abstractNumId="141">
    <w:nsid w:val="6E534CDE"/>
    <w:multiLevelType w:val="hybridMultilevel"/>
    <w:lvl w:ilvl="0">
      <w:lvlJc w:val="left"/>
      <w:lvlText w:val="%1."/>
      <w:numFmt w:val="decimal"/>
      <w:start w:val="10"/>
    </w:lvl>
  </w:abstractNum>
  <w:abstractNum w:abstractNumId="142">
    <w:nsid w:val="1A0DDE32"/>
    <w:multiLevelType w:val="hybridMultilevel"/>
    <w:lvl w:ilvl="0">
      <w:lvlJc w:val="left"/>
      <w:lvlText w:val="%1."/>
      <w:numFmt w:val="decimal"/>
      <w:start w:val="11"/>
    </w:lvl>
  </w:abstractNum>
  <w:abstractNum w:abstractNumId="143">
    <w:nsid w:val="65968C1C"/>
    <w:multiLevelType w:val="hybridMultilevel"/>
    <w:lvl w:ilvl="0">
      <w:lvlJc w:val="left"/>
      <w:lvlText w:val="%1."/>
      <w:numFmt w:val="decimal"/>
      <w:start w:val="12"/>
    </w:lvl>
  </w:abstractNum>
  <w:abstractNum w:abstractNumId="144">
    <w:nsid w:val="46263DEC"/>
    <w:multiLevelType w:val="hybridMultilevel"/>
    <w:lvl w:ilvl="0">
      <w:lvlJc w:val="left"/>
      <w:lvlText w:val="%1."/>
      <w:numFmt w:val="decimal"/>
      <w:start w:val="13"/>
    </w:lvl>
  </w:abstractNum>
  <w:abstractNum w:abstractNumId="145">
    <w:nsid w:val="260D8C4A"/>
    <w:multiLevelType w:val="hybridMultilevel"/>
    <w:lvl w:ilvl="0">
      <w:lvlJc w:val="left"/>
      <w:lvlText w:val="%1."/>
      <w:numFmt w:val="decimal"/>
      <w:start w:val="14"/>
    </w:lvl>
  </w:abstractNum>
  <w:abstractNum w:abstractNumId="146">
    <w:nsid w:val="73D4D3C4"/>
    <w:multiLevelType w:val="hybridMultilevel"/>
    <w:lvl w:ilvl="0">
      <w:lvlJc w:val="left"/>
      <w:lvlText w:val="%1."/>
      <w:numFmt w:val="decimal"/>
      <w:start w:val="15"/>
    </w:lvl>
  </w:abstractNum>
  <w:abstractNum w:abstractNumId="147">
    <w:nsid w:val="746F2E30"/>
    <w:multiLevelType w:val="hybridMultilevel"/>
    <w:lvl w:ilvl="0">
      <w:lvlJc w:val="left"/>
      <w:lvlText w:val="%1."/>
      <w:numFmt w:val="decimal"/>
      <w:start w:val="16"/>
    </w:lvl>
  </w:abstractNum>
  <w:abstractNum w:abstractNumId="148">
    <w:nsid w:val="6FDE8AF6"/>
    <w:multiLevelType w:val="hybridMultilevel"/>
    <w:lvl w:ilvl="0">
      <w:lvlJc w:val="left"/>
      <w:lvlText w:val="%1."/>
      <w:numFmt w:val="decimal"/>
      <w:start w:val="17"/>
    </w:lvl>
  </w:abstractNum>
  <w:abstractNum w:abstractNumId="149">
    <w:nsid w:val="3FC32E20"/>
    <w:multiLevelType w:val="hybridMultilevel"/>
    <w:lvl w:ilvl="0">
      <w:lvlJc w:val="left"/>
      <w:lvlText w:val="%1."/>
      <w:numFmt w:val="decimal"/>
      <w:start w:val="18"/>
    </w:lvl>
  </w:abstractNum>
  <w:abstractNum w:abstractNumId="150">
    <w:nsid w:val="49C0E823"/>
    <w:multiLevelType w:val="hybridMultilevel"/>
    <w:lvl w:ilvl="0">
      <w:lvlJc w:val="left"/>
      <w:lvlText w:val="%1."/>
      <w:numFmt w:val="decimal"/>
      <w:start w:val="19"/>
    </w:lvl>
  </w:abstractNum>
  <w:abstractNum w:abstractNumId="151">
    <w:nsid w:val="14D53685"/>
    <w:multiLevelType w:val="hybridMultilevel"/>
    <w:lvl w:ilvl="0">
      <w:lvlJc w:val="left"/>
      <w:lvlText w:val="%1."/>
      <w:numFmt w:val="decimal"/>
      <w:start w:val="20"/>
    </w:lvl>
  </w:abstractNum>
  <w:abstractNum w:abstractNumId="152">
    <w:nsid w:val="230F856C"/>
    <w:multiLevelType w:val="hybridMultilevel"/>
    <w:lvl w:ilvl="0">
      <w:lvlJc w:val="left"/>
      <w:lvlText w:val="%1."/>
      <w:numFmt w:val="decimal"/>
      <w:start w:val="21"/>
    </w:lvl>
  </w:abstractNum>
  <w:abstractNum w:abstractNumId="153">
    <w:nsid w:val="6EAA85FB"/>
    <w:multiLevelType w:val="hybridMultilevel"/>
    <w:lvl w:ilvl="0">
      <w:lvlJc w:val="left"/>
      <w:lvlText w:val="%1."/>
      <w:numFmt w:val="decimal"/>
      <w:start w:val="22"/>
    </w:lvl>
  </w:abstractNum>
  <w:abstractNum w:abstractNumId="154">
    <w:nsid w:val="3F06ECB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2019-12-12T04:21:22Z</dcterms:created>
  <dcterms:modified xsi:type="dcterms:W3CDTF">2019-12-12T04:21:22Z</dcterms:modified>
</cp:coreProperties>
</file>