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Vice Chairman and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640" w:type="dxa"/>
            <w:vAlign w:val="bottom"/>
            <w:gridSpan w:val="5"/>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5"/>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38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80" w:type="dxa"/>
            <w:vAlign w:val="bottom"/>
          </w:tcPr>
          <w:p>
            <w:pPr>
              <w:ind w:left="560"/>
              <w:spacing w:after="0"/>
              <w:rPr>
                <w:sz w:val="20"/>
                <w:szCs w:val="20"/>
                <w:color w:val="auto"/>
              </w:rPr>
            </w:pPr>
            <w:r>
              <w:rPr>
                <w:rFonts w:ascii="Arial" w:cs="Arial" w:eastAsia="Arial" w:hAnsi="Arial"/>
                <w:sz w:val="18"/>
                <w:szCs w:val="18"/>
                <w:color w:val="0000FF"/>
                <w:w w:val="99"/>
              </w:rPr>
              <w:t>10017</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60" w:type="dxa"/>
            <w:vAlign w:val="bottom"/>
            <w:gridSpan w:val="5"/>
          </w:tcPr>
          <w:p>
            <w:pPr>
              <w:ind w:left="7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0" w:type="dxa"/>
            <w:vAlign w:val="bottom"/>
            <w:gridSpan w:val="4"/>
            <w:vMerge w:val="restart"/>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ind w:left="20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6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vMerge w:val="restart"/>
          </w:tcPr>
          <w:p>
            <w:pPr>
              <w:jc w:val="right"/>
              <w:ind w:right="40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10/11/2012</w:t>
            </w:r>
          </w:p>
        </w:tc>
        <w:tc>
          <w:tcPr>
            <w:tcW w:w="114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00" w:type="dxa"/>
            <w:vAlign w:val="bottom"/>
            <w:vMerge w:val="restart"/>
          </w:tcPr>
          <w:p>
            <w:pPr>
              <w:jc w:val="right"/>
              <w:ind w:right="92"/>
              <w:spacing w:after="0"/>
              <w:rPr>
                <w:sz w:val="20"/>
                <w:szCs w:val="20"/>
                <w:color w:val="auto"/>
              </w:rPr>
            </w:pPr>
            <w:r>
              <w:rPr>
                <w:rFonts w:ascii="Arial" w:cs="Arial" w:eastAsia="Arial" w:hAnsi="Arial"/>
                <w:sz w:val="18"/>
                <w:szCs w:val="18"/>
                <w:color w:val="0000FF"/>
              </w:rPr>
              <w:t>500</w:t>
            </w:r>
          </w:p>
        </w:tc>
        <w:tc>
          <w:tcPr>
            <w:tcW w:w="600" w:type="dxa"/>
            <w:vAlign w:val="bottom"/>
            <w:vMerge w:val="restart"/>
          </w:tcPr>
          <w:p>
            <w:pPr>
              <w:ind w:left="300"/>
              <w:spacing w:after="0"/>
              <w:rPr>
                <w:sz w:val="20"/>
                <w:szCs w:val="20"/>
                <w:color w:val="auto"/>
              </w:rPr>
            </w:pPr>
            <w:r>
              <w:rPr>
                <w:rFonts w:ascii="Arial" w:cs="Arial" w:eastAsia="Arial" w:hAnsi="Arial"/>
                <w:sz w:val="18"/>
                <w:szCs w:val="18"/>
                <w:color w:val="0000FF"/>
              </w:rPr>
              <w:t>D</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29.951</w:t>
            </w:r>
            <w:r>
              <w:rPr>
                <w:rFonts w:ascii="Arial" w:cs="Arial" w:eastAsia="Arial" w:hAnsi="Arial"/>
                <w:sz w:val="22"/>
                <w:szCs w:val="22"/>
                <w:color w:val="008000"/>
                <w:w w:val="93"/>
                <w:vertAlign w:val="superscript"/>
              </w:rPr>
              <w:t>(2)</w:t>
            </w:r>
          </w:p>
        </w:tc>
        <w:tc>
          <w:tcPr>
            <w:tcW w:w="1160" w:type="dxa"/>
            <w:vAlign w:val="bottom"/>
            <w:vMerge w:val="restart"/>
          </w:tcPr>
          <w:p>
            <w:pPr>
              <w:ind w:left="240"/>
              <w:spacing w:after="0"/>
              <w:rPr>
                <w:sz w:val="20"/>
                <w:szCs w:val="20"/>
                <w:color w:val="auto"/>
              </w:rPr>
            </w:pPr>
            <w:r>
              <w:rPr>
                <w:rFonts w:ascii="Arial" w:cs="Arial" w:eastAsia="Arial" w:hAnsi="Arial"/>
                <w:sz w:val="18"/>
                <w:szCs w:val="18"/>
                <w:color w:val="0000FF"/>
              </w:rPr>
              <w:t>1,292,337</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144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9"/>
              </w:rPr>
              <w:t>177,134</w:t>
            </w:r>
          </w:p>
        </w:tc>
        <w:tc>
          <w:tcPr>
            <w:tcW w:w="70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(4)</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90"/>
              </w:rPr>
              <w:t>84,000</w:t>
            </w:r>
          </w:p>
        </w:tc>
        <w:tc>
          <w:tcPr>
            <w:tcW w:w="70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90"/>
              </w:rPr>
              <w:t>84,000</w:t>
            </w:r>
          </w:p>
        </w:tc>
        <w:tc>
          <w:tcPr>
            <w:tcW w:w="70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8000" w:space="720"/>
            <w:col w:w="2700"/>
          </w:cols>
          <w:pgMar w:left="240" w:top="226"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$29.95 to $29.955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10/15/2012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2019-12-16T13:43:10Z</dcterms:created>
  <dcterms:modified xsi:type="dcterms:W3CDTF">2019-12-16T13:43:10Z</dcterms:modified>
</cp:coreProperties>
</file>