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255905</wp:posOffset>
            </wp:positionV>
            <wp:extent cx="714883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225425</wp:posOffset>
            </wp:positionV>
            <wp:extent cx="71488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3360"/>
        <w:spacing w:after="0"/>
        <w:rPr>
          <w:sz w:val="20"/>
          <w:szCs w:val="20"/>
          <w:color w:val="auto"/>
        </w:rPr>
      </w:pPr>
      <w:r>
        <w:rPr>
          <w:rFonts w:ascii="Arial" w:cs="Arial" w:eastAsia="Arial" w:hAnsi="Arial"/>
          <w:sz w:val="16"/>
          <w:szCs w:val="16"/>
          <w:b w:val="1"/>
          <w:bCs w:val="1"/>
          <w:color w:val="auto"/>
        </w:rPr>
        <w:t>_________________________________________________________</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9" w:lineRule="exact"/>
        <w:rPr>
          <w:sz w:val="24"/>
          <w:szCs w:val="24"/>
          <w:color w:val="auto"/>
        </w:rPr>
      </w:pPr>
    </w:p>
    <w:p>
      <w:pPr>
        <w:ind w:left="3400"/>
        <w:spacing w:after="0"/>
        <w:rPr>
          <w:sz w:val="20"/>
          <w:szCs w:val="20"/>
          <w:color w:val="auto"/>
        </w:rPr>
      </w:pPr>
      <w:r>
        <w:rPr>
          <w:rFonts w:ascii="Arial" w:cs="Arial" w:eastAsia="Arial" w:hAnsi="Arial"/>
          <w:sz w:val="16"/>
          <w:szCs w:val="16"/>
          <w:b w:val="1"/>
          <w:bCs w:val="1"/>
          <w:color w:val="auto"/>
        </w:rPr>
        <w:t>________________________________________________________</w:t>
      </w:r>
    </w:p>
    <w:p>
      <w:pPr>
        <w:spacing w:after="0" w:line="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7" w:lineRule="exact"/>
        <w:rPr>
          <w:sz w:val="24"/>
          <w:szCs w:val="24"/>
          <w:color w:val="auto"/>
        </w:rPr>
      </w:pPr>
    </w:p>
    <w:p>
      <w:pPr>
        <w:ind w:left="280" w:hanging="269"/>
        <w:spacing w:after="0"/>
        <w:tabs>
          <w:tab w:leader="none" w:pos="2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93"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FOR THE QUARTERLY PERIOD ENDED MARCH 31, 2022</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20" w:lineRule="exact"/>
        <w:rPr>
          <w:sz w:val="24"/>
          <w:szCs w:val="24"/>
          <w:color w:val="auto"/>
        </w:rPr>
      </w:pPr>
    </w:p>
    <w:p>
      <w:pPr>
        <w:ind w:left="280" w:hanging="269"/>
        <w:spacing w:after="0"/>
        <w:tabs>
          <w:tab w:leader="none" w:pos="2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1" w:lineRule="exact"/>
        <w:rPr>
          <w:sz w:val="24"/>
          <w:szCs w:val="24"/>
          <w:color w:val="auto"/>
        </w:rPr>
      </w:pPr>
    </w:p>
    <w:p>
      <w:pPr>
        <w:ind w:left="3440"/>
        <w:spacing w:after="0"/>
        <w:tabs>
          <w:tab w:leader="none" w:pos="68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3879850</wp:posOffset>
            </wp:positionH>
            <wp:positionV relativeFrom="paragraph">
              <wp:posOffset>-3175</wp:posOffset>
            </wp:positionV>
            <wp:extent cx="10788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8865" cy="762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001-33089</w:t>
      </w:r>
    </w:p>
    <w:p>
      <w:pPr>
        <w:spacing w:after="0" w:line="19" w:lineRule="exact"/>
        <w:rPr>
          <w:sz w:val="24"/>
          <w:szCs w:val="24"/>
          <w:color w:val="auto"/>
        </w:rPr>
      </w:pPr>
    </w:p>
    <w:p>
      <w:pPr>
        <w:ind w:left="3360"/>
        <w:spacing w:after="0"/>
        <w:rPr>
          <w:sz w:val="20"/>
          <w:szCs w:val="20"/>
          <w:color w:val="auto"/>
        </w:rPr>
      </w:pPr>
      <w:r>
        <w:rPr>
          <w:rFonts w:ascii="Arial" w:cs="Arial" w:eastAsia="Arial" w:hAnsi="Arial"/>
          <w:sz w:val="16"/>
          <w:szCs w:val="16"/>
          <w:b w:val="1"/>
          <w:bCs w:val="1"/>
          <w:color w:val="auto"/>
        </w:rPr>
        <w:t>_________________________________________________________</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EXLSERVICE HOLDINGS,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 w:lineRule="exact"/>
        <w:rPr>
          <w:sz w:val="24"/>
          <w:szCs w:val="24"/>
          <w:color w:val="auto"/>
        </w:rPr>
      </w:pPr>
    </w:p>
    <w:p>
      <w:pPr>
        <w:ind w:left="3360"/>
        <w:spacing w:after="0"/>
        <w:rPr>
          <w:sz w:val="20"/>
          <w:szCs w:val="20"/>
          <w:color w:val="auto"/>
        </w:rPr>
      </w:pPr>
      <w:r>
        <w:rPr>
          <w:rFonts w:ascii="Arial" w:cs="Arial" w:eastAsia="Arial" w:hAnsi="Arial"/>
          <w:sz w:val="16"/>
          <w:szCs w:val="16"/>
          <w:b w:val="1"/>
          <w:bCs w:val="1"/>
          <w:color w:val="auto"/>
        </w:rPr>
        <w:t>_________________________________________________________</w:t>
      </w:r>
    </w:p>
    <w:p>
      <w:pPr>
        <w:spacing w:after="0" w:line="28" w:lineRule="exact"/>
        <w:rPr>
          <w:sz w:val="24"/>
          <w:szCs w:val="24"/>
          <w:color w:val="auto"/>
        </w:rPr>
      </w:pPr>
    </w:p>
    <w:tbl>
      <w:tblPr>
        <w:tblLayout w:type="fixed"/>
        <w:tblInd w:w="330" w:type="dxa"/>
        <w:tblCellMar>
          <w:top w:w="0" w:type="dxa"/>
          <w:left w:w="0" w:type="dxa"/>
          <w:bottom w:w="0" w:type="dxa"/>
          <w:right w:w="0" w:type="dxa"/>
        </w:tblCellMar>
      </w:tblPr>
      <w:tr>
        <w:trPr>
          <w:trHeight w:val="182"/>
        </w:trPr>
        <w:tc>
          <w:tcPr>
            <w:tcW w:w="1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jc w:val="center"/>
              <w:ind w:right="449"/>
              <w:spacing w:after="0"/>
              <w:rPr>
                <w:sz w:val="20"/>
                <w:szCs w:val="20"/>
                <w:color w:val="auto"/>
              </w:rPr>
            </w:pPr>
            <w:r>
              <w:rPr>
                <w:rFonts w:ascii="Arial" w:cs="Arial" w:eastAsia="Arial" w:hAnsi="Arial"/>
                <w:sz w:val="14"/>
                <w:szCs w:val="14"/>
                <w:b w:val="1"/>
                <w:bCs w:val="1"/>
                <w:color w:val="auto"/>
                <w:w w:val="94"/>
              </w:rPr>
              <w:t>Delaware</w:t>
            </w: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20" w:type="dxa"/>
            <w:vAlign w:val="bottom"/>
            <w:gridSpan w:val="2"/>
          </w:tcPr>
          <w:p>
            <w:pPr>
              <w:jc w:val="right"/>
              <w:ind w:right="1893"/>
              <w:spacing w:after="0"/>
              <w:rPr>
                <w:sz w:val="20"/>
                <w:szCs w:val="20"/>
                <w:color w:val="auto"/>
              </w:rPr>
            </w:pPr>
            <w:r>
              <w:rPr>
                <w:rFonts w:ascii="Arial" w:cs="Arial" w:eastAsia="Arial" w:hAnsi="Arial"/>
                <w:sz w:val="14"/>
                <w:szCs w:val="14"/>
                <w:b w:val="1"/>
                <w:bCs w:val="1"/>
                <w:color w:val="auto"/>
              </w:rPr>
              <w:t>82-0572194</w:t>
            </w:r>
          </w:p>
        </w:tc>
        <w:tc>
          <w:tcPr>
            <w:tcW w:w="760" w:type="dxa"/>
            <w:vAlign w:val="bottom"/>
          </w:tcPr>
          <w:p>
            <w:pPr>
              <w:spacing w:after="0"/>
              <w:rPr>
                <w:sz w:val="15"/>
                <w:szCs w:val="15"/>
                <w:color w:val="auto"/>
              </w:rPr>
            </w:pPr>
          </w:p>
        </w:tc>
      </w:tr>
      <w:tr>
        <w:trPr>
          <w:trHeight w:val="127"/>
        </w:trPr>
        <w:tc>
          <w:tcPr>
            <w:tcW w:w="1400" w:type="dxa"/>
            <w:vAlign w:val="bottom"/>
          </w:tcPr>
          <w:p>
            <w:pPr>
              <w:spacing w:after="0"/>
              <w:rPr>
                <w:sz w:val="11"/>
                <w:szCs w:val="11"/>
                <w:color w:val="auto"/>
              </w:rPr>
            </w:pPr>
          </w:p>
        </w:tc>
        <w:tc>
          <w:tcPr>
            <w:tcW w:w="2460" w:type="dxa"/>
            <w:vAlign w:val="bottom"/>
            <w:gridSpan w:val="2"/>
          </w:tcPr>
          <w:p>
            <w:pPr>
              <w:jc w:val="center"/>
              <w:ind w:left="455"/>
              <w:spacing w:after="0" w:line="127" w:lineRule="exact"/>
              <w:rPr>
                <w:sz w:val="20"/>
                <w:szCs w:val="20"/>
                <w:color w:val="auto"/>
              </w:rPr>
            </w:pPr>
            <w:r>
              <w:rPr>
                <w:rFonts w:ascii="Arial" w:cs="Arial" w:eastAsia="Arial" w:hAnsi="Arial"/>
                <w:sz w:val="13"/>
                <w:szCs w:val="13"/>
                <w:b w:val="1"/>
                <w:bCs w:val="1"/>
                <w:color w:val="auto"/>
                <w:w w:val="88"/>
              </w:rPr>
              <w:t>(State or other jurisdiction of</w:t>
            </w: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580" w:type="dxa"/>
            <w:vAlign w:val="bottom"/>
            <w:gridSpan w:val="3"/>
          </w:tcPr>
          <w:p>
            <w:pPr>
              <w:jc w:val="center"/>
              <w:ind w:right="2580"/>
              <w:spacing w:after="0" w:line="127" w:lineRule="exact"/>
              <w:rPr>
                <w:sz w:val="20"/>
                <w:szCs w:val="20"/>
                <w:color w:val="auto"/>
              </w:rPr>
            </w:pPr>
            <w:r>
              <w:rPr>
                <w:rFonts w:ascii="Arial" w:cs="Arial" w:eastAsia="Arial" w:hAnsi="Arial"/>
                <w:sz w:val="13"/>
                <w:szCs w:val="13"/>
                <w:b w:val="1"/>
                <w:bCs w:val="1"/>
                <w:color w:val="auto"/>
                <w:w w:val="92"/>
              </w:rPr>
              <w:t>(I.R.S. Employer</w:t>
            </w:r>
          </w:p>
        </w:tc>
      </w:tr>
      <w:tr>
        <w:trPr>
          <w:trHeight w:val="165"/>
        </w:trPr>
        <w:tc>
          <w:tcPr>
            <w:tcW w:w="1400" w:type="dxa"/>
            <w:vAlign w:val="bottom"/>
          </w:tcPr>
          <w:p>
            <w:pPr>
              <w:spacing w:after="0"/>
              <w:rPr>
                <w:sz w:val="14"/>
                <w:szCs w:val="14"/>
                <w:color w:val="auto"/>
              </w:rPr>
            </w:pPr>
          </w:p>
        </w:tc>
        <w:tc>
          <w:tcPr>
            <w:tcW w:w="2460" w:type="dxa"/>
            <w:vAlign w:val="bottom"/>
            <w:gridSpan w:val="2"/>
          </w:tcPr>
          <w:p>
            <w:pPr>
              <w:jc w:val="center"/>
              <w:ind w:left="455"/>
              <w:spacing w:after="0"/>
              <w:rPr>
                <w:sz w:val="20"/>
                <w:szCs w:val="20"/>
                <w:color w:val="auto"/>
              </w:rPr>
            </w:pPr>
            <w:r>
              <w:rPr>
                <w:rFonts w:ascii="Arial" w:cs="Arial" w:eastAsia="Arial" w:hAnsi="Arial"/>
                <w:sz w:val="13"/>
                <w:szCs w:val="13"/>
                <w:b w:val="1"/>
                <w:bCs w:val="1"/>
                <w:color w:val="auto"/>
                <w:w w:val="89"/>
              </w:rPr>
              <w:t>incorporation or organization)</w:t>
            </w: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80" w:type="dxa"/>
            <w:vAlign w:val="bottom"/>
            <w:gridSpan w:val="3"/>
          </w:tcPr>
          <w:p>
            <w:pPr>
              <w:jc w:val="center"/>
              <w:ind w:right="2560"/>
              <w:spacing w:after="0"/>
              <w:rPr>
                <w:sz w:val="20"/>
                <w:szCs w:val="20"/>
                <w:color w:val="auto"/>
              </w:rPr>
            </w:pPr>
            <w:r>
              <w:rPr>
                <w:rFonts w:ascii="Arial" w:cs="Arial" w:eastAsia="Arial" w:hAnsi="Arial"/>
                <w:sz w:val="13"/>
                <w:szCs w:val="13"/>
                <w:b w:val="1"/>
                <w:bCs w:val="1"/>
                <w:color w:val="auto"/>
                <w:w w:val="89"/>
              </w:rPr>
              <w:t>Identification No.)</w:t>
            </w:r>
          </w:p>
        </w:tc>
      </w:tr>
      <w:tr>
        <w:trPr>
          <w:trHeight w:val="239"/>
        </w:trPr>
        <w:tc>
          <w:tcPr>
            <w:tcW w:w="1400" w:type="dxa"/>
            <w:vAlign w:val="bottom"/>
          </w:tcPr>
          <w:p>
            <w:pPr>
              <w:spacing w:after="0"/>
              <w:rPr>
                <w:sz w:val="20"/>
                <w:szCs w:val="20"/>
                <w:color w:val="auto"/>
              </w:rPr>
            </w:pPr>
          </w:p>
        </w:tc>
        <w:tc>
          <w:tcPr>
            <w:tcW w:w="2460" w:type="dxa"/>
            <w:vAlign w:val="bottom"/>
            <w:gridSpan w:val="2"/>
          </w:tcPr>
          <w:p>
            <w:pPr>
              <w:jc w:val="center"/>
              <w:ind w:left="475"/>
              <w:spacing w:after="0"/>
              <w:rPr>
                <w:sz w:val="20"/>
                <w:szCs w:val="20"/>
                <w:color w:val="auto"/>
              </w:rPr>
            </w:pPr>
            <w:r>
              <w:rPr>
                <w:rFonts w:ascii="Arial" w:cs="Arial" w:eastAsia="Arial" w:hAnsi="Arial"/>
                <w:sz w:val="14"/>
                <w:szCs w:val="14"/>
                <w:b w:val="1"/>
                <w:bCs w:val="1"/>
                <w:color w:val="auto"/>
                <w:w w:val="90"/>
              </w:rPr>
              <w:t>320 Park Avenue, 29</w:t>
            </w:r>
            <w:r>
              <w:rPr>
                <w:rFonts w:ascii="Arial" w:cs="Arial" w:eastAsia="Arial" w:hAnsi="Arial"/>
                <w:sz w:val="18"/>
                <w:szCs w:val="18"/>
                <w:b w:val="1"/>
                <w:bCs w:val="1"/>
                <w:color w:val="auto"/>
                <w:w w:val="90"/>
                <w:vertAlign w:val="superscript"/>
              </w:rPr>
              <w:t>th</w:t>
            </w:r>
            <w:r>
              <w:rPr>
                <w:rFonts w:ascii="Arial" w:cs="Arial" w:eastAsia="Arial" w:hAnsi="Arial"/>
                <w:sz w:val="14"/>
                <w:szCs w:val="14"/>
                <w:b w:val="1"/>
                <w:bCs w:val="1"/>
                <w:color w:val="auto"/>
                <w:w w:val="90"/>
              </w:rPr>
              <w:t xml:space="preserve"> Floor,</w:t>
            </w: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82"/>
        </w:trPr>
        <w:tc>
          <w:tcPr>
            <w:tcW w:w="1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ind w:left="40"/>
              <w:spacing w:after="0"/>
              <w:rPr>
                <w:sz w:val="20"/>
                <w:szCs w:val="20"/>
                <w:color w:val="auto"/>
              </w:rPr>
            </w:pPr>
            <w:r>
              <w:rPr>
                <w:rFonts w:ascii="Arial" w:cs="Arial" w:eastAsia="Arial" w:hAnsi="Arial"/>
                <w:sz w:val="14"/>
                <w:szCs w:val="14"/>
                <w:b w:val="1"/>
                <w:bCs w:val="1"/>
                <w:color w:val="auto"/>
                <w:w w:val="98"/>
              </w:rPr>
              <w:t>New York, New York</w:t>
            </w: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20" w:type="dxa"/>
            <w:vAlign w:val="bottom"/>
            <w:gridSpan w:val="2"/>
          </w:tcPr>
          <w:p>
            <w:pPr>
              <w:jc w:val="right"/>
              <w:ind w:right="2073"/>
              <w:spacing w:after="0"/>
              <w:rPr>
                <w:sz w:val="20"/>
                <w:szCs w:val="20"/>
                <w:color w:val="auto"/>
              </w:rPr>
            </w:pPr>
            <w:r>
              <w:rPr>
                <w:rFonts w:ascii="Arial" w:cs="Arial" w:eastAsia="Arial" w:hAnsi="Arial"/>
                <w:sz w:val="14"/>
                <w:szCs w:val="14"/>
                <w:b w:val="1"/>
                <w:bCs w:val="1"/>
                <w:color w:val="auto"/>
              </w:rPr>
              <w:t>10022</w:t>
            </w:r>
          </w:p>
        </w:tc>
        <w:tc>
          <w:tcPr>
            <w:tcW w:w="760" w:type="dxa"/>
            <w:vAlign w:val="bottom"/>
          </w:tcPr>
          <w:p>
            <w:pPr>
              <w:spacing w:after="0"/>
              <w:rPr>
                <w:sz w:val="15"/>
                <w:szCs w:val="15"/>
                <w:color w:val="auto"/>
              </w:rPr>
            </w:pPr>
          </w:p>
        </w:tc>
      </w:tr>
      <w:tr>
        <w:trPr>
          <w:trHeight w:val="165"/>
        </w:trPr>
        <w:tc>
          <w:tcPr>
            <w:tcW w:w="1400" w:type="dxa"/>
            <w:vAlign w:val="bottom"/>
          </w:tcPr>
          <w:p>
            <w:pPr>
              <w:spacing w:after="0"/>
              <w:rPr>
                <w:sz w:val="14"/>
                <w:szCs w:val="14"/>
                <w:color w:val="auto"/>
              </w:rPr>
            </w:pPr>
          </w:p>
        </w:tc>
        <w:tc>
          <w:tcPr>
            <w:tcW w:w="5660" w:type="dxa"/>
            <w:vAlign w:val="bottom"/>
            <w:gridSpan w:val="6"/>
          </w:tcPr>
          <w:p>
            <w:pPr>
              <w:jc w:val="center"/>
              <w:ind w:right="268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3580" w:type="dxa"/>
            <w:vAlign w:val="bottom"/>
            <w:gridSpan w:val="3"/>
          </w:tcPr>
          <w:p>
            <w:pPr>
              <w:jc w:val="center"/>
              <w:ind w:right="2560"/>
              <w:spacing w:after="0"/>
              <w:rPr>
                <w:sz w:val="20"/>
                <w:szCs w:val="20"/>
                <w:color w:val="auto"/>
              </w:rPr>
            </w:pPr>
            <w:r>
              <w:rPr>
                <w:rFonts w:ascii="Arial" w:cs="Arial" w:eastAsia="Arial" w:hAnsi="Arial"/>
                <w:sz w:val="13"/>
                <w:szCs w:val="13"/>
                <w:b w:val="1"/>
                <w:bCs w:val="1"/>
                <w:color w:val="auto"/>
                <w:w w:val="86"/>
              </w:rPr>
              <w:t>(Zip code)</w:t>
            </w:r>
          </w:p>
        </w:tc>
      </w:tr>
      <w:tr>
        <w:trPr>
          <w:trHeight w:val="265"/>
        </w:trPr>
        <w:tc>
          <w:tcPr>
            <w:tcW w:w="1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920" w:type="dxa"/>
            <w:vAlign w:val="bottom"/>
            <w:gridSpan w:val="2"/>
          </w:tcPr>
          <w:p>
            <w:pPr>
              <w:jc w:val="center"/>
              <w:ind w:left="893"/>
              <w:spacing w:after="0"/>
              <w:rPr>
                <w:sz w:val="20"/>
                <w:szCs w:val="20"/>
                <w:color w:val="auto"/>
              </w:rPr>
            </w:pPr>
            <w:r>
              <w:rPr>
                <w:rFonts w:ascii="Arial" w:cs="Arial" w:eastAsia="Arial" w:hAnsi="Arial"/>
                <w:sz w:val="14"/>
                <w:szCs w:val="14"/>
                <w:b w:val="1"/>
                <w:bCs w:val="1"/>
                <w:color w:val="auto"/>
                <w:w w:val="91"/>
              </w:rPr>
              <w:t>(212) 277-7100</w:t>
            </w: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86"/>
        </w:trPr>
        <w:tc>
          <w:tcPr>
            <w:tcW w:w="1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69"/>
        </w:trPr>
        <w:tc>
          <w:tcPr>
            <w:tcW w:w="14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gridSpan w:val="2"/>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gridSpan w:val="2"/>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r>
        <w:trPr>
          <w:trHeight w:val="179"/>
        </w:trPr>
        <w:tc>
          <w:tcPr>
            <w:tcW w:w="1400" w:type="dxa"/>
            <w:vAlign w:val="bottom"/>
            <w:tcBorders>
              <w:left w:val="single" w:sz="8" w:color="auto"/>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620" w:type="dxa"/>
            <w:vAlign w:val="bottom"/>
            <w:tcBorders>
              <w:bottom w:val="single" w:sz="8" w:color="auto"/>
            </w:tcBorders>
            <w:gridSpan w:val="5"/>
          </w:tcPr>
          <w:p>
            <w:pPr>
              <w:jc w:val="center"/>
              <w:ind w:left="1049"/>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r>
      <w:tr>
        <w:trPr>
          <w:trHeight w:val="149"/>
        </w:trPr>
        <w:tc>
          <w:tcPr>
            <w:tcW w:w="1400" w:type="dxa"/>
            <w:vAlign w:val="bottom"/>
            <w:tcBorders>
              <w:left w:val="single" w:sz="8" w:color="auto"/>
            </w:tcBorders>
          </w:tcPr>
          <w:p>
            <w:pPr>
              <w:spacing w:after="0"/>
              <w:rPr>
                <w:sz w:val="12"/>
                <w:szCs w:val="12"/>
                <w:color w:val="auto"/>
              </w:rPr>
            </w:pPr>
          </w:p>
        </w:tc>
        <w:tc>
          <w:tcPr>
            <w:tcW w:w="2460" w:type="dxa"/>
            <w:vAlign w:val="bottom"/>
            <w:tcBorders>
              <w:right w:val="single" w:sz="8" w:color="auto"/>
            </w:tcBorders>
            <w:gridSpan w:val="2"/>
          </w:tcPr>
          <w:p>
            <w:pPr>
              <w:jc w:val="center"/>
              <w:ind w:right="1349"/>
              <w:spacing w:after="0"/>
              <w:rPr>
                <w:sz w:val="20"/>
                <w:szCs w:val="20"/>
                <w:color w:val="auto"/>
              </w:rPr>
            </w:pPr>
            <w:r>
              <w:rPr>
                <w:rFonts w:ascii="Arial" w:cs="Arial" w:eastAsia="Arial" w:hAnsi="Arial"/>
                <w:sz w:val="13"/>
                <w:szCs w:val="13"/>
                <w:b w:val="1"/>
                <w:bCs w:val="1"/>
                <w:color w:val="auto"/>
                <w:w w:val="86"/>
              </w:rPr>
              <w:t>Title of Each Class:</w:t>
            </w:r>
          </w:p>
        </w:tc>
        <w:tc>
          <w:tcPr>
            <w:tcW w:w="820" w:type="dxa"/>
            <w:vAlign w:val="bottom"/>
          </w:tcPr>
          <w:p>
            <w:pPr>
              <w:spacing w:after="0"/>
              <w:rPr>
                <w:sz w:val="12"/>
                <w:szCs w:val="12"/>
                <w:color w:val="auto"/>
              </w:rPr>
            </w:pPr>
          </w:p>
        </w:tc>
        <w:tc>
          <w:tcPr>
            <w:tcW w:w="1980" w:type="dxa"/>
            <w:vAlign w:val="bottom"/>
            <w:tcBorders>
              <w:right w:val="single" w:sz="8" w:color="auto"/>
            </w:tcBorders>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0"/>
              </w:rPr>
              <w:t>Trading symbol(s)</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80" w:type="dxa"/>
            <w:vAlign w:val="bottom"/>
            <w:tcBorders>
              <w:right w:val="single" w:sz="8" w:color="auto"/>
            </w:tcBorders>
            <w:gridSpan w:val="2"/>
          </w:tcPr>
          <w:p>
            <w:pPr>
              <w:jc w:val="center"/>
              <w:ind w:right="760"/>
              <w:spacing w:after="0"/>
              <w:rPr>
                <w:sz w:val="20"/>
                <w:szCs w:val="20"/>
                <w:color w:val="auto"/>
              </w:rPr>
            </w:pPr>
            <w:r>
              <w:rPr>
                <w:rFonts w:ascii="Arial" w:cs="Arial" w:eastAsia="Arial" w:hAnsi="Arial"/>
                <w:sz w:val="13"/>
                <w:szCs w:val="13"/>
                <w:b w:val="1"/>
                <w:bCs w:val="1"/>
                <w:color w:val="auto"/>
                <w:w w:val="87"/>
              </w:rPr>
              <w:t>Name of Each Exchange on Which Registered:</w:t>
            </w:r>
          </w:p>
        </w:tc>
      </w:tr>
      <w:tr>
        <w:trPr>
          <w:trHeight w:val="20"/>
        </w:trPr>
        <w:tc>
          <w:tcPr>
            <w:tcW w:w="1400" w:type="dxa"/>
            <w:vAlign w:val="bottom"/>
            <w:tcBorders>
              <w:left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r>
      <w:tr>
        <w:trPr>
          <w:trHeight w:val="175"/>
        </w:trPr>
        <w:tc>
          <w:tcPr>
            <w:tcW w:w="38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color w:val="auto"/>
                <w:w w:val="91"/>
              </w:rPr>
              <w:t>Common Stock, par value $0.001 per share</w:t>
            </w:r>
          </w:p>
        </w:tc>
        <w:tc>
          <w:tcPr>
            <w:tcW w:w="820" w:type="dxa"/>
            <w:vAlign w:val="bottom"/>
            <w:tcBorders>
              <w:bottom w:val="single" w:sz="8" w:color="auto"/>
            </w:tcBorders>
          </w:tcPr>
          <w:p>
            <w:pPr>
              <w:spacing w:after="0"/>
              <w:rPr>
                <w:sz w:val="15"/>
                <w:szCs w:val="15"/>
                <w:color w:val="auto"/>
              </w:rPr>
            </w:pPr>
          </w:p>
        </w:tc>
        <w:tc>
          <w:tcPr>
            <w:tcW w:w="1980" w:type="dxa"/>
            <w:vAlign w:val="bottom"/>
            <w:tcBorders>
              <w:bottom w:val="single" w:sz="8" w:color="auto"/>
              <w:right w:val="single" w:sz="8" w:color="auto"/>
            </w:tcBorders>
            <w:gridSpan w:val="2"/>
          </w:tcPr>
          <w:p>
            <w:pPr>
              <w:jc w:val="center"/>
              <w:ind w:right="840"/>
              <w:spacing w:after="0"/>
              <w:rPr>
                <w:sz w:val="20"/>
                <w:szCs w:val="20"/>
                <w:color w:val="auto"/>
              </w:rPr>
            </w:pPr>
            <w:r>
              <w:rPr>
                <w:rFonts w:ascii="Arial" w:cs="Arial" w:eastAsia="Arial" w:hAnsi="Arial"/>
                <w:sz w:val="13"/>
                <w:szCs w:val="13"/>
                <w:color w:val="auto"/>
                <w:w w:val="90"/>
              </w:rPr>
              <w:t>EXLS</w:t>
            </w:r>
          </w:p>
        </w:tc>
        <w:tc>
          <w:tcPr>
            <w:tcW w:w="4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80" w:type="dxa"/>
            <w:vAlign w:val="bottom"/>
            <w:tcBorders>
              <w:bottom w:val="single" w:sz="8" w:color="auto"/>
              <w:right w:val="single" w:sz="8" w:color="auto"/>
            </w:tcBorders>
            <w:gridSpan w:val="2"/>
          </w:tcPr>
          <w:p>
            <w:pPr>
              <w:jc w:val="center"/>
              <w:ind w:right="760"/>
              <w:spacing w:after="0"/>
              <w:rPr>
                <w:sz w:val="20"/>
                <w:szCs w:val="20"/>
                <w:color w:val="auto"/>
              </w:rPr>
            </w:pPr>
            <w:r>
              <w:rPr>
                <w:rFonts w:ascii="Arial" w:cs="Arial" w:eastAsia="Arial" w:hAnsi="Arial"/>
                <w:sz w:val="14"/>
                <w:szCs w:val="14"/>
                <w:color w:val="auto"/>
              </w:rPr>
              <w:t>NASDAQ</w:t>
            </w:r>
          </w:p>
        </w:tc>
      </w:tr>
    </w:tbl>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None</w:t>
      </w:r>
    </w:p>
    <w:p>
      <w:pPr>
        <w:spacing w:after="0"/>
        <w:rPr>
          <w:sz w:val="20"/>
          <w:szCs w:val="20"/>
          <w:color w:val="auto"/>
        </w:rPr>
      </w:pPr>
      <w:r>
        <w:rPr>
          <w:rFonts w:ascii="Arial" w:cs="Arial" w:eastAsia="Arial" w:hAnsi="Arial"/>
          <w:sz w:val="16"/>
          <w:szCs w:val="16"/>
          <w:b w:val="1"/>
          <w:bCs w:val="1"/>
          <w:color w:val="auto"/>
        </w:rPr>
        <w:t>________________________________________________________</w:t>
      </w:r>
    </w:p>
    <w:p>
      <w:pPr>
        <w:spacing w:after="0" w:line="186" w:lineRule="exact"/>
        <w:rPr>
          <w:sz w:val="24"/>
          <w:szCs w:val="24"/>
          <w:color w:val="auto"/>
        </w:rPr>
      </w:pPr>
    </w:p>
    <w:p>
      <w:pPr>
        <w:ind w:firstLine="285"/>
        <w:spacing w:after="0" w:line="24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196" w:lineRule="exact"/>
        <w:tabs>
          <w:tab w:leader="none" w:pos="4540" w:val="left"/>
        </w:tabs>
        <w:rPr>
          <w:sz w:val="20"/>
          <w:szCs w:val="20"/>
          <w:color w:val="auto"/>
        </w:rPr>
      </w:pPr>
      <w:r>
        <w:rPr>
          <w:rFonts w:ascii="Arial" w:cs="Arial" w:eastAsia="Arial" w:hAnsi="Arial"/>
          <w:sz w:val="14"/>
          <w:szCs w:val="14"/>
          <w:color w:val="auto"/>
        </w:rPr>
        <w:t xml:space="preserve">(2)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219" w:lineRule="exact"/>
        <w:rPr>
          <w:sz w:val="24"/>
          <w:szCs w:val="24"/>
          <w:color w:val="auto"/>
        </w:rPr>
      </w:pPr>
    </w:p>
    <w:p>
      <w:pPr>
        <w:ind w:firstLine="285"/>
        <w:spacing w:after="0" w:line="20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ind w:firstLine="285"/>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580" w:type="dxa"/>
        <w:tblCellMar>
          <w:top w:w="0" w:type="dxa"/>
          <w:left w:w="0" w:type="dxa"/>
          <w:bottom w:w="0" w:type="dxa"/>
          <w:right w:w="0" w:type="dxa"/>
        </w:tblCellMar>
      </w:tblPr>
      <w:tr>
        <w:trPr>
          <w:trHeight w:val="224"/>
        </w:trPr>
        <w:tc>
          <w:tcPr>
            <w:tcW w:w="20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2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480"/>
              <w:spacing w:after="0"/>
              <w:rPr>
                <w:sz w:val="20"/>
                <w:szCs w:val="20"/>
                <w:color w:val="auto"/>
              </w:rPr>
            </w:pPr>
            <w:r>
              <w:rPr>
                <w:rFonts w:ascii="Arial" w:cs="Arial" w:eastAsia="Arial" w:hAnsi="Arial"/>
                <w:sz w:val="14"/>
                <w:szCs w:val="14"/>
                <w:color w:val="auto"/>
              </w:rPr>
              <w:t>Accelerated filer</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1"/>
        </w:trPr>
        <w:tc>
          <w:tcPr>
            <w:tcW w:w="2060" w:type="dxa"/>
            <w:vAlign w:val="bottom"/>
          </w:tcPr>
          <w:p>
            <w:pPr>
              <w:spacing w:after="0"/>
              <w:rPr>
                <w:sz w:val="20"/>
                <w:szCs w:val="20"/>
                <w:color w:val="auto"/>
              </w:rPr>
            </w:pPr>
            <w:r>
              <w:rPr>
                <w:rFonts w:ascii="Arial" w:cs="Arial" w:eastAsia="Arial" w:hAnsi="Arial"/>
                <w:sz w:val="14"/>
                <w:szCs w:val="14"/>
                <w:color w:val="auto"/>
              </w:rPr>
              <w:t>Non-accelerated filer</w:t>
            </w:r>
          </w:p>
        </w:tc>
        <w:tc>
          <w:tcPr>
            <w:tcW w:w="312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480"/>
              <w:spacing w:after="0"/>
              <w:rPr>
                <w:sz w:val="20"/>
                <w:szCs w:val="20"/>
                <w:color w:val="auto"/>
              </w:rPr>
            </w:pPr>
            <w:r>
              <w:rPr>
                <w:rFonts w:ascii="Arial" w:cs="Arial" w:eastAsia="Arial" w:hAnsi="Arial"/>
                <w:sz w:val="14"/>
                <w:szCs w:val="14"/>
                <w:color w:val="auto"/>
              </w:rPr>
              <w:t>Smaller reporting company</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8"/>
        </w:trPr>
        <w:tc>
          <w:tcPr>
            <w:tcW w:w="20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12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52" w:lineRule="exact"/>
        <w:rPr>
          <w:sz w:val="24"/>
          <w:szCs w:val="24"/>
          <w:color w:val="auto"/>
        </w:rPr>
      </w:pPr>
    </w:p>
    <w:p>
      <w:pPr>
        <w:ind w:right="400" w:firstLine="285"/>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5" w:lineRule="exact"/>
        <w:rPr>
          <w:sz w:val="24"/>
          <w:szCs w:val="24"/>
          <w:color w:val="auto"/>
        </w:rPr>
      </w:pPr>
    </w:p>
    <w:p>
      <w:pPr>
        <w:spacing w:after="0" w:line="196" w:lineRule="exact"/>
        <w:tabs>
          <w:tab w:leader="none" w:pos="704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7"/>
          <w:szCs w:val="17"/>
          <w:color w:val="auto"/>
        </w:rPr>
        <w:t>☒</w:t>
      </w:r>
    </w:p>
    <w:p>
      <w:pPr>
        <w:spacing w:after="0" w:line="307" w:lineRule="exact"/>
        <w:rPr>
          <w:sz w:val="24"/>
          <w:szCs w:val="24"/>
          <w:color w:val="auto"/>
        </w:rPr>
      </w:pPr>
    </w:p>
    <w:p>
      <w:pPr>
        <w:ind w:left="280"/>
        <w:spacing w:after="0"/>
        <w:rPr>
          <w:sz w:val="20"/>
          <w:szCs w:val="20"/>
          <w:color w:val="auto"/>
        </w:rPr>
      </w:pPr>
      <w:r>
        <w:rPr>
          <w:rFonts w:ascii="Arial" w:cs="Arial" w:eastAsia="Arial" w:hAnsi="Arial"/>
          <w:sz w:val="14"/>
          <w:szCs w:val="14"/>
          <w:color w:val="auto"/>
        </w:rPr>
        <w:t>As of April 26, 2022, there were 33,286,190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214630</wp:posOffset>
            </wp:positionV>
            <wp:extent cx="717423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230"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106680</wp:posOffset>
            </wp:positionV>
            <wp:extent cx="714883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76200</wp:posOffset>
            </wp:positionV>
            <wp:extent cx="71488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Arial" w:cs="Arial" w:eastAsia="Arial" w:hAnsi="Arial"/>
                <w:sz w:val="16"/>
                <w:szCs w:val="16"/>
                <w:color w:val="auto"/>
              </w:rPr>
              <w:t>ITEM</w:t>
            </w:r>
          </w:p>
        </w:tc>
        <w:tc>
          <w:tcPr>
            <w:tcW w:w="9060" w:type="dxa"/>
            <w:vAlign w:val="bottom"/>
            <w:gridSpan w:val="20"/>
            <w:vMerge w:val="restart"/>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Part I. Financial Information</w:t>
              </w:r>
            </w:hyperlink>
          </w:p>
        </w:tc>
        <w:tc>
          <w:tcPr>
            <w:tcW w:w="640" w:type="dxa"/>
            <w:vAlign w:val="bottom"/>
            <w:vMerge w:val="restart"/>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60" w:type="dxa"/>
            <w:vAlign w:val="bottom"/>
            <w:gridSpan w:val="20"/>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80" w:type="dxa"/>
            <w:vAlign w:val="bottom"/>
            <w:gridSpan w:val="2"/>
          </w:tcPr>
          <w:p>
            <w:pPr>
              <w:ind w:left="20"/>
              <w:spacing w:after="0"/>
              <w:rPr>
                <w:sz w:val="20"/>
                <w:szCs w:val="20"/>
                <w:color w:val="auto"/>
              </w:rPr>
            </w:pPr>
            <w:r>
              <w:rPr>
                <w:rFonts w:ascii="Arial" w:cs="Arial" w:eastAsia="Arial" w:hAnsi="Arial"/>
                <w:sz w:val="16"/>
                <w:szCs w:val="16"/>
                <w:color w:val="auto"/>
              </w:rPr>
              <w:t>1.</w:t>
            </w:r>
          </w:p>
        </w:tc>
        <w:tc>
          <w:tcPr>
            <w:tcW w:w="880" w:type="dxa"/>
            <w:vAlign w:val="bottom"/>
          </w:tcPr>
          <w:p>
            <w:pPr>
              <w:spacing w:after="0"/>
              <w:rPr>
                <w:sz w:val="19"/>
                <w:szCs w:val="19"/>
                <w:color w:val="auto"/>
              </w:rPr>
            </w:pPr>
          </w:p>
        </w:tc>
        <w:tc>
          <w:tcPr>
            <w:tcW w:w="9060" w:type="dxa"/>
            <w:vAlign w:val="bottom"/>
            <w:gridSpan w:val="20"/>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 (UNAUDITED)</w:t>
              </w:r>
            </w:hyperlink>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780" w:type="dxa"/>
            <w:vAlign w:val="bottom"/>
            <w:tcBorders>
              <w:bottom w:val="single" w:sz="8" w:color="0000FF"/>
            </w:tcBorders>
            <w:gridSpan w:val="12"/>
          </w:tcPr>
          <w:p>
            <w:pPr>
              <w:spacing w:after="0" w:line="182" w:lineRule="exact"/>
              <w:rPr>
                <w:rFonts w:ascii="Arial" w:cs="Arial" w:eastAsia="Arial" w:hAnsi="Arial"/>
                <w:sz w:val="16"/>
                <w:szCs w:val="16"/>
                <w:color w:val="0000FF"/>
                <w:w w:val="88"/>
              </w:rPr>
            </w:pPr>
            <w:hyperlink w:anchor="page3">
              <w:r>
                <w:rPr>
                  <w:rFonts w:ascii="Arial" w:cs="Arial" w:eastAsia="Arial" w:hAnsi="Arial"/>
                  <w:sz w:val="16"/>
                  <w:szCs w:val="16"/>
                  <w:color w:val="0000FF"/>
                  <w:w w:val="88"/>
                </w:rPr>
                <w:t>Consolidated Balance Sheets as of March 31, 2022 and December 31, 2021</w:t>
              </w:r>
            </w:hyperlink>
          </w:p>
        </w:tc>
        <w:tc>
          <w:tcPr>
            <w:tcW w:w="4100" w:type="dxa"/>
            <w:vAlign w:val="bottom"/>
            <w:gridSpan w:val="6"/>
          </w:tcPr>
          <w:p>
            <w:pPr>
              <w:spacing w:after="0"/>
              <w:rPr>
                <w:sz w:val="15"/>
                <w:szCs w:val="15"/>
                <w:color w:val="auto"/>
              </w:rPr>
            </w:pPr>
          </w:p>
        </w:tc>
        <w:tc>
          <w:tcPr>
            <w:tcW w:w="640" w:type="dxa"/>
            <w:vAlign w:val="bottom"/>
          </w:tcPr>
          <w:p>
            <w:pPr>
              <w:spacing w:after="0" w:line="182" w:lineRule="exact"/>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5760" w:type="dxa"/>
            <w:vAlign w:val="bottom"/>
            <w:tcBorders>
              <w:bottom w:val="single" w:sz="8" w:color="0000FF"/>
            </w:tcBorders>
            <w:gridSpan w:val="15"/>
          </w:tcPr>
          <w:p>
            <w:pPr>
              <w:spacing w:after="0" w:line="182" w:lineRule="exact"/>
              <w:rPr>
                <w:rFonts w:ascii="Arial" w:cs="Arial" w:eastAsia="Arial" w:hAnsi="Arial"/>
                <w:sz w:val="16"/>
                <w:szCs w:val="16"/>
                <w:color w:val="0000FF"/>
                <w:w w:val="89"/>
              </w:rPr>
            </w:pPr>
            <w:hyperlink w:anchor="page4">
              <w:r>
                <w:rPr>
                  <w:rFonts w:ascii="Arial" w:cs="Arial" w:eastAsia="Arial" w:hAnsi="Arial"/>
                  <w:sz w:val="16"/>
                  <w:szCs w:val="16"/>
                  <w:color w:val="0000FF"/>
                  <w:w w:val="89"/>
                </w:rPr>
                <w:t>Consolidated Statements of Income for the Three Months Ended March 31, 2022 and 2021</w:t>
              </w:r>
            </w:hyperlink>
          </w:p>
        </w:tc>
        <w:tc>
          <w:tcPr>
            <w:tcW w:w="3120" w:type="dxa"/>
            <w:vAlign w:val="bottom"/>
            <w:gridSpan w:val="3"/>
          </w:tcPr>
          <w:p>
            <w:pPr>
              <w:spacing w:after="0"/>
              <w:rPr>
                <w:sz w:val="15"/>
                <w:szCs w:val="15"/>
                <w:color w:val="auto"/>
              </w:rPr>
            </w:pPr>
          </w:p>
        </w:tc>
        <w:tc>
          <w:tcPr>
            <w:tcW w:w="640" w:type="dxa"/>
            <w:vAlign w:val="bottom"/>
          </w:tcPr>
          <w:p>
            <w:pPr>
              <w:spacing w:after="0" w:line="182" w:lineRule="exact"/>
              <w:rPr>
                <w:rFonts w:ascii="Arial" w:cs="Arial" w:eastAsia="Arial" w:hAnsi="Arial"/>
                <w:sz w:val="16"/>
                <w:szCs w:val="16"/>
                <w:color w:val="0000FF"/>
              </w:rPr>
            </w:pPr>
            <w:hyperlink w:anchor="page4">
              <w:r>
                <w:rPr>
                  <w:rFonts w:ascii="Arial" w:cs="Arial" w:eastAsia="Arial" w:hAnsi="Arial"/>
                  <w:sz w:val="16"/>
                  <w:szCs w:val="16"/>
                  <w:color w:val="0000FF"/>
                </w:rPr>
                <w:t>5</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80" w:type="dxa"/>
            <w:vAlign w:val="bottom"/>
            <w:gridSpan w:val="18"/>
          </w:tcPr>
          <w:p>
            <w:pPr>
              <w:spacing w:after="0" w:line="182" w:lineRule="exact"/>
              <w:rPr>
                <w:rFonts w:ascii="Arial" w:cs="Arial" w:eastAsia="Arial" w:hAnsi="Arial"/>
                <w:sz w:val="16"/>
                <w:szCs w:val="16"/>
                <w:color w:val="0000FF"/>
              </w:rPr>
            </w:pPr>
            <w:hyperlink w:anchor="page5">
              <w:r>
                <w:rPr>
                  <w:rFonts w:ascii="Arial" w:cs="Arial" w:eastAsia="Arial" w:hAnsi="Arial"/>
                  <w:sz w:val="16"/>
                  <w:szCs w:val="16"/>
                  <w:color w:val="0000FF"/>
                </w:rPr>
                <w:t>Consolidated Statements of Comprehensive Income for the Three Months Ended March 31, 2022 and 2021</w:t>
              </w:r>
            </w:hyperlink>
          </w:p>
        </w:tc>
        <w:tc>
          <w:tcPr>
            <w:tcW w:w="640" w:type="dxa"/>
            <w:vAlign w:val="bottom"/>
          </w:tcPr>
          <w:p>
            <w:pPr>
              <w:spacing w:after="0" w:line="182" w:lineRule="exact"/>
              <w:rPr>
                <w:rFonts w:ascii="Arial" w:cs="Arial" w:eastAsia="Arial" w:hAnsi="Arial"/>
                <w:sz w:val="16"/>
                <w:szCs w:val="16"/>
                <w:color w:val="0000FF"/>
              </w:rPr>
            </w:pPr>
            <w:hyperlink w:anchor="page5">
              <w:r>
                <w:rPr>
                  <w:rFonts w:ascii="Arial" w:cs="Arial" w:eastAsia="Arial" w:hAnsi="Arial"/>
                  <w:sz w:val="16"/>
                  <w:szCs w:val="16"/>
                  <w:color w:val="0000FF"/>
                </w:rPr>
                <w:t>6</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5700" w:type="dxa"/>
            <w:vAlign w:val="bottom"/>
            <w:tcBorders>
              <w:top w:val="single" w:sz="8" w:color="0000FF"/>
              <w:bottom w:val="single" w:sz="8" w:color="0000FF"/>
            </w:tcBorders>
            <w:gridSpan w:val="14"/>
          </w:tcPr>
          <w:p>
            <w:pPr>
              <w:spacing w:after="0" w:line="182" w:lineRule="exact"/>
              <w:rPr>
                <w:rFonts w:ascii="Arial" w:cs="Arial" w:eastAsia="Arial" w:hAnsi="Arial"/>
                <w:sz w:val="16"/>
                <w:szCs w:val="16"/>
                <w:color w:val="0000FF"/>
                <w:w w:val="89"/>
              </w:rPr>
            </w:pPr>
            <w:hyperlink w:anchor="page6">
              <w:r>
                <w:rPr>
                  <w:rFonts w:ascii="Arial" w:cs="Arial" w:eastAsia="Arial" w:hAnsi="Arial"/>
                  <w:sz w:val="16"/>
                  <w:szCs w:val="16"/>
                  <w:color w:val="0000FF"/>
                  <w:w w:val="89"/>
                </w:rPr>
                <w:t>Consolidated Statements of Equity for the Three Months Ended March 31, 2022 and 2021</w:t>
              </w:r>
            </w:hyperlink>
          </w:p>
        </w:tc>
        <w:tc>
          <w:tcPr>
            <w:tcW w:w="1080" w:type="dxa"/>
            <w:vAlign w:val="bottom"/>
            <w:tcBorders>
              <w:top w:val="single" w:sz="8" w:color="0000FF"/>
            </w:tcBorders>
            <w:gridSpan w:val="3"/>
          </w:tcPr>
          <w:p>
            <w:pPr>
              <w:spacing w:after="0"/>
              <w:rPr>
                <w:sz w:val="15"/>
                <w:szCs w:val="15"/>
                <w:color w:val="auto"/>
              </w:rPr>
            </w:pPr>
          </w:p>
        </w:tc>
        <w:tc>
          <w:tcPr>
            <w:tcW w:w="2100" w:type="dxa"/>
            <w:vAlign w:val="bottom"/>
          </w:tcPr>
          <w:p>
            <w:pPr>
              <w:spacing w:after="0"/>
              <w:rPr>
                <w:sz w:val="15"/>
                <w:szCs w:val="15"/>
                <w:color w:val="auto"/>
              </w:rPr>
            </w:pPr>
          </w:p>
        </w:tc>
        <w:tc>
          <w:tcPr>
            <w:tcW w:w="640" w:type="dxa"/>
            <w:vAlign w:val="bottom"/>
          </w:tcPr>
          <w:p>
            <w:pPr>
              <w:spacing w:after="0" w:line="182" w:lineRule="exact"/>
              <w:rPr>
                <w:rFonts w:ascii="Arial" w:cs="Arial" w:eastAsia="Arial" w:hAnsi="Arial"/>
                <w:sz w:val="16"/>
                <w:szCs w:val="16"/>
                <w:color w:val="0000FF"/>
              </w:rPr>
            </w:pPr>
            <w:hyperlink w:anchor="page6">
              <w:r>
                <w:rPr>
                  <w:rFonts w:ascii="Arial" w:cs="Arial" w:eastAsia="Arial" w:hAnsi="Arial"/>
                  <w:sz w:val="16"/>
                  <w:szCs w:val="16"/>
                  <w:color w:val="0000FF"/>
                </w:rPr>
                <w:t>7</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20" w:type="dxa"/>
            <w:vAlign w:val="bottom"/>
            <w:tcBorders>
              <w:bottom w:val="single" w:sz="8" w:color="0000FF"/>
            </w:tcBorders>
            <w:gridSpan w:val="16"/>
          </w:tcPr>
          <w:p>
            <w:pPr>
              <w:spacing w:after="0" w:line="182" w:lineRule="exact"/>
              <w:rPr>
                <w:rFonts w:ascii="Arial" w:cs="Arial" w:eastAsia="Arial" w:hAnsi="Arial"/>
                <w:sz w:val="16"/>
                <w:szCs w:val="16"/>
                <w:color w:val="0000FF"/>
                <w:w w:val="88"/>
              </w:rPr>
            </w:pPr>
            <w:hyperlink w:anchor="page7">
              <w:r>
                <w:rPr>
                  <w:rFonts w:ascii="Arial" w:cs="Arial" w:eastAsia="Arial" w:hAnsi="Arial"/>
                  <w:sz w:val="16"/>
                  <w:szCs w:val="16"/>
                  <w:color w:val="0000FF"/>
                  <w:w w:val="88"/>
                </w:rPr>
                <w:t>Consolidated Statements of Cash Flows for the Three Months Ended March 31, 2022 and 2021</w:t>
              </w:r>
            </w:hyperlink>
          </w:p>
        </w:tc>
        <w:tc>
          <w:tcPr>
            <w:tcW w:w="2860" w:type="dxa"/>
            <w:vAlign w:val="bottom"/>
            <w:gridSpan w:val="2"/>
          </w:tcPr>
          <w:p>
            <w:pPr>
              <w:spacing w:after="0"/>
              <w:rPr>
                <w:sz w:val="15"/>
                <w:szCs w:val="15"/>
                <w:color w:val="auto"/>
              </w:rPr>
            </w:pPr>
          </w:p>
        </w:tc>
        <w:tc>
          <w:tcPr>
            <w:tcW w:w="640" w:type="dxa"/>
            <w:vAlign w:val="bottom"/>
          </w:tcPr>
          <w:p>
            <w:pPr>
              <w:spacing w:after="0" w:line="182" w:lineRule="exact"/>
              <w:rPr>
                <w:rFonts w:ascii="Arial" w:cs="Arial" w:eastAsia="Arial" w:hAnsi="Arial"/>
                <w:sz w:val="16"/>
                <w:szCs w:val="16"/>
                <w:color w:val="0000FF"/>
              </w:rPr>
            </w:pPr>
            <w:hyperlink w:anchor="page7">
              <w:r>
                <w:rPr>
                  <w:rFonts w:ascii="Arial" w:cs="Arial" w:eastAsia="Arial" w:hAnsi="Arial"/>
                  <w:sz w:val="16"/>
                  <w:szCs w:val="16"/>
                  <w:color w:val="0000FF"/>
                </w:rPr>
                <w:t>8</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80" w:type="dxa"/>
            <w:vAlign w:val="bottom"/>
            <w:gridSpan w:val="18"/>
          </w:tcPr>
          <w:p>
            <w:pPr>
              <w:spacing w:after="0" w:line="182" w:lineRule="exact"/>
              <w:rPr>
                <w:rFonts w:ascii="Arial" w:cs="Arial" w:eastAsia="Arial" w:hAnsi="Arial"/>
                <w:sz w:val="16"/>
                <w:szCs w:val="16"/>
                <w:color w:val="0000FF"/>
              </w:rPr>
            </w:pPr>
            <w:hyperlink w:anchor="page8">
              <w:r>
                <w:rPr>
                  <w:rFonts w:ascii="Arial" w:cs="Arial" w:eastAsia="Arial" w:hAnsi="Arial"/>
                  <w:sz w:val="16"/>
                  <w:szCs w:val="16"/>
                  <w:color w:val="0000FF"/>
                </w:rPr>
                <w:t>Notes to Consolidated Financial Statements</w:t>
              </w:r>
            </w:hyperlink>
          </w:p>
        </w:tc>
        <w:tc>
          <w:tcPr>
            <w:tcW w:w="640" w:type="dxa"/>
            <w:vAlign w:val="bottom"/>
          </w:tcPr>
          <w:p>
            <w:pPr>
              <w:spacing w:after="0" w:line="182" w:lineRule="exact"/>
              <w:rPr>
                <w:rFonts w:ascii="Arial" w:cs="Arial" w:eastAsia="Arial" w:hAnsi="Arial"/>
                <w:sz w:val="16"/>
                <w:szCs w:val="16"/>
                <w:color w:val="0000FF"/>
              </w:rPr>
            </w:pPr>
            <w:hyperlink w:anchor="page8">
              <w:r>
                <w:rPr>
                  <w:rFonts w:ascii="Arial" w:cs="Arial" w:eastAsia="Arial" w:hAnsi="Arial"/>
                  <w:sz w:val="16"/>
                  <w:szCs w:val="16"/>
                  <w:color w:val="0000FF"/>
                </w:rPr>
                <w:t>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80" w:type="dxa"/>
            <w:vAlign w:val="bottom"/>
            <w:gridSpan w:val="2"/>
          </w:tcPr>
          <w:p>
            <w:pPr>
              <w:ind w:left="20"/>
              <w:spacing w:after="0"/>
              <w:rPr>
                <w:sz w:val="20"/>
                <w:szCs w:val="20"/>
                <w:color w:val="auto"/>
              </w:rPr>
            </w:pPr>
            <w:r>
              <w:rPr>
                <w:rFonts w:ascii="Arial" w:cs="Arial" w:eastAsia="Arial" w:hAnsi="Arial"/>
                <w:sz w:val="16"/>
                <w:szCs w:val="16"/>
                <w:color w:val="auto"/>
              </w:rPr>
              <w:t>2.</w:t>
            </w:r>
          </w:p>
        </w:tc>
        <w:tc>
          <w:tcPr>
            <w:tcW w:w="880" w:type="dxa"/>
            <w:vAlign w:val="bottom"/>
          </w:tcPr>
          <w:p>
            <w:pPr>
              <w:spacing w:after="0"/>
              <w:rPr>
                <w:sz w:val="19"/>
                <w:szCs w:val="19"/>
                <w:color w:val="auto"/>
              </w:rPr>
            </w:pPr>
          </w:p>
        </w:tc>
        <w:tc>
          <w:tcPr>
            <w:tcW w:w="5680" w:type="dxa"/>
            <w:vAlign w:val="bottom"/>
            <w:tcBorders>
              <w:bottom w:val="single" w:sz="8" w:color="0000FF"/>
            </w:tcBorders>
            <w:gridSpan w:val="15"/>
          </w:tcPr>
          <w:p>
            <w:pPr>
              <w:spacing w:after="0"/>
              <w:rPr>
                <w:rFonts w:ascii="Arial" w:cs="Arial" w:eastAsia="Arial" w:hAnsi="Arial"/>
                <w:sz w:val="16"/>
                <w:szCs w:val="16"/>
                <w:color w:val="0000FF"/>
                <w:w w:val="89"/>
              </w:rPr>
            </w:pPr>
            <w:hyperlink w:anchor="page37">
              <w:r>
                <w:rPr>
                  <w:rFonts w:ascii="Arial" w:cs="Arial" w:eastAsia="Arial" w:hAnsi="Arial"/>
                  <w:sz w:val="16"/>
                  <w:szCs w:val="16"/>
                  <w:color w:val="0000FF"/>
                  <w:w w:val="89"/>
                </w:rPr>
                <w:t>Management’s Discussion and Analysis of Financial Condition and Results of Operations</w:t>
              </w:r>
            </w:hyperlink>
          </w:p>
        </w:tc>
        <w:tc>
          <w:tcPr>
            <w:tcW w:w="3380" w:type="dxa"/>
            <w:vAlign w:val="bottom"/>
            <w:gridSpan w:val="5"/>
          </w:tcPr>
          <w:p>
            <w:pPr>
              <w:spacing w:after="0"/>
              <w:rPr>
                <w:sz w:val="19"/>
                <w:szCs w:val="19"/>
                <w:color w:val="auto"/>
              </w:rPr>
            </w:pPr>
          </w:p>
        </w:tc>
        <w:tc>
          <w:tcPr>
            <w:tcW w:w="640" w:type="dxa"/>
            <w:vAlign w:val="bottom"/>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38</w:t>
              </w:r>
            </w:hyperlink>
          </w:p>
        </w:tc>
        <w:tc>
          <w:tcPr>
            <w:tcW w:w="0" w:type="dxa"/>
            <w:vAlign w:val="bottom"/>
          </w:tcPr>
          <w:p>
            <w:pPr>
              <w:spacing w:after="0"/>
              <w:rPr>
                <w:sz w:val="1"/>
                <w:szCs w:val="1"/>
                <w:color w:val="auto"/>
              </w:rPr>
            </w:pPr>
          </w:p>
        </w:tc>
      </w:tr>
      <w:tr>
        <w:trPr>
          <w:trHeight w:val="229"/>
        </w:trPr>
        <w:tc>
          <w:tcPr>
            <w:tcW w:w="680" w:type="dxa"/>
            <w:vAlign w:val="bottom"/>
            <w:gridSpan w:val="2"/>
          </w:tcPr>
          <w:p>
            <w:pPr>
              <w:ind w:left="20"/>
              <w:spacing w:after="0"/>
              <w:rPr>
                <w:sz w:val="20"/>
                <w:szCs w:val="20"/>
                <w:color w:val="auto"/>
              </w:rPr>
            </w:pPr>
            <w:r>
              <w:rPr>
                <w:rFonts w:ascii="Arial" w:cs="Arial" w:eastAsia="Arial" w:hAnsi="Arial"/>
                <w:sz w:val="16"/>
                <w:szCs w:val="16"/>
                <w:color w:val="auto"/>
              </w:rPr>
              <w:t>3.</w:t>
            </w:r>
          </w:p>
        </w:tc>
        <w:tc>
          <w:tcPr>
            <w:tcW w:w="880" w:type="dxa"/>
            <w:vAlign w:val="bottom"/>
          </w:tcPr>
          <w:p>
            <w:pPr>
              <w:spacing w:after="0"/>
              <w:rPr>
                <w:sz w:val="19"/>
                <w:szCs w:val="19"/>
                <w:color w:val="auto"/>
              </w:rPr>
            </w:pPr>
          </w:p>
        </w:tc>
        <w:tc>
          <w:tcPr>
            <w:tcW w:w="3840" w:type="dxa"/>
            <w:vAlign w:val="bottom"/>
            <w:tcBorders>
              <w:bottom w:val="single" w:sz="8" w:color="0000FF"/>
            </w:tcBorders>
            <w:gridSpan w:val="13"/>
          </w:tcPr>
          <w:p>
            <w:pPr>
              <w:spacing w:after="0"/>
              <w:rPr>
                <w:rFonts w:ascii="Arial" w:cs="Arial" w:eastAsia="Arial" w:hAnsi="Arial"/>
                <w:sz w:val="16"/>
                <w:szCs w:val="16"/>
                <w:color w:val="0000FF"/>
                <w:w w:val="91"/>
              </w:rPr>
            </w:pPr>
            <w:hyperlink w:anchor="page49">
              <w:r>
                <w:rPr>
                  <w:rFonts w:ascii="Arial" w:cs="Arial" w:eastAsia="Arial" w:hAnsi="Arial"/>
                  <w:sz w:val="16"/>
                  <w:szCs w:val="16"/>
                  <w:color w:val="0000FF"/>
                  <w:w w:val="91"/>
                </w:rPr>
                <w:t>Quantitative and Qualitative Disclosures About Market Risk</w:t>
              </w:r>
            </w:hyperlink>
          </w:p>
        </w:tc>
        <w:tc>
          <w:tcPr>
            <w:tcW w:w="5220" w:type="dxa"/>
            <w:vAlign w:val="bottom"/>
            <w:gridSpan w:val="7"/>
          </w:tcPr>
          <w:p>
            <w:pPr>
              <w:spacing w:after="0"/>
              <w:rPr>
                <w:sz w:val="19"/>
                <w:szCs w:val="19"/>
                <w:color w:val="auto"/>
              </w:rPr>
            </w:pPr>
          </w:p>
        </w:tc>
        <w:tc>
          <w:tcPr>
            <w:tcW w:w="640" w:type="dxa"/>
            <w:vAlign w:val="bottom"/>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50</w:t>
              </w:r>
            </w:hyperlink>
          </w:p>
        </w:tc>
        <w:tc>
          <w:tcPr>
            <w:tcW w:w="0" w:type="dxa"/>
            <w:vAlign w:val="bottom"/>
          </w:tcPr>
          <w:p>
            <w:pPr>
              <w:spacing w:after="0"/>
              <w:rPr>
                <w:sz w:val="1"/>
                <w:szCs w:val="1"/>
                <w:color w:val="auto"/>
              </w:rPr>
            </w:pPr>
          </w:p>
        </w:tc>
      </w:tr>
      <w:tr>
        <w:trPr>
          <w:trHeight w:val="229"/>
        </w:trPr>
        <w:tc>
          <w:tcPr>
            <w:tcW w:w="680" w:type="dxa"/>
            <w:vAlign w:val="bottom"/>
            <w:gridSpan w:val="2"/>
          </w:tcPr>
          <w:p>
            <w:pPr>
              <w:ind w:left="20"/>
              <w:spacing w:after="0"/>
              <w:rPr>
                <w:sz w:val="20"/>
                <w:szCs w:val="20"/>
                <w:color w:val="auto"/>
              </w:rPr>
            </w:pPr>
            <w:r>
              <w:rPr>
                <w:rFonts w:ascii="Arial" w:cs="Arial" w:eastAsia="Arial" w:hAnsi="Arial"/>
                <w:sz w:val="16"/>
                <w:szCs w:val="16"/>
                <w:color w:val="auto"/>
              </w:rPr>
              <w:t>4.</w:t>
            </w:r>
          </w:p>
        </w:tc>
        <w:tc>
          <w:tcPr>
            <w:tcW w:w="880" w:type="dxa"/>
            <w:vAlign w:val="bottom"/>
          </w:tcPr>
          <w:p>
            <w:pPr>
              <w:spacing w:after="0"/>
              <w:rPr>
                <w:sz w:val="19"/>
                <w:szCs w:val="19"/>
                <w:color w:val="auto"/>
              </w:rPr>
            </w:pPr>
          </w:p>
        </w:tc>
        <w:tc>
          <w:tcPr>
            <w:tcW w:w="1560" w:type="dxa"/>
            <w:vAlign w:val="bottom"/>
            <w:tcBorders>
              <w:bottom w:val="single" w:sz="8" w:color="0000FF"/>
            </w:tcBorders>
            <w:gridSpan w:val="7"/>
          </w:tcPr>
          <w:p>
            <w:pPr>
              <w:spacing w:after="0"/>
              <w:rPr>
                <w:rFonts w:ascii="Arial" w:cs="Arial" w:eastAsia="Arial" w:hAnsi="Arial"/>
                <w:sz w:val="16"/>
                <w:szCs w:val="16"/>
                <w:color w:val="0000FF"/>
                <w:w w:val="86"/>
              </w:rPr>
            </w:pPr>
            <w:hyperlink w:anchor="page50">
              <w:r>
                <w:rPr>
                  <w:rFonts w:ascii="Arial" w:cs="Arial" w:eastAsia="Arial" w:hAnsi="Arial"/>
                  <w:sz w:val="16"/>
                  <w:szCs w:val="16"/>
                  <w:color w:val="0000FF"/>
                  <w:w w:val="86"/>
                </w:rPr>
                <w:t>Controls and Procedures</w:t>
              </w:r>
            </w:hyperlink>
          </w:p>
        </w:tc>
        <w:tc>
          <w:tcPr>
            <w:tcW w:w="7500" w:type="dxa"/>
            <w:vAlign w:val="bottom"/>
            <w:gridSpan w:val="13"/>
          </w:tcPr>
          <w:p>
            <w:pPr>
              <w:spacing w:after="0"/>
              <w:rPr>
                <w:sz w:val="19"/>
                <w:szCs w:val="19"/>
                <w:color w:val="auto"/>
              </w:rPr>
            </w:pPr>
          </w:p>
        </w:tc>
        <w:tc>
          <w:tcPr>
            <w:tcW w:w="640" w:type="dxa"/>
            <w:vAlign w:val="bottom"/>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60" w:type="dxa"/>
            <w:vAlign w:val="bottom"/>
            <w:gridSpan w:val="20"/>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Part II. Other Information</w:t>
              </w:r>
            </w:hyperlink>
          </w:p>
        </w:tc>
        <w:tc>
          <w:tcPr>
            <w:tcW w:w="640" w:type="dxa"/>
            <w:vAlign w:val="bottom"/>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c>
          <w:tcPr>
            <w:tcW w:w="0" w:type="dxa"/>
            <w:vAlign w:val="bottom"/>
          </w:tcPr>
          <w:p>
            <w:pPr>
              <w:spacing w:after="0"/>
              <w:rPr>
                <w:sz w:val="1"/>
                <w:szCs w:val="1"/>
                <w:color w:val="auto"/>
              </w:rPr>
            </w:pPr>
          </w:p>
        </w:tc>
      </w:tr>
      <w:tr>
        <w:trPr>
          <w:trHeight w:val="229"/>
        </w:trPr>
        <w:tc>
          <w:tcPr>
            <w:tcW w:w="680" w:type="dxa"/>
            <w:vAlign w:val="bottom"/>
            <w:gridSpan w:val="2"/>
          </w:tcPr>
          <w:p>
            <w:pPr>
              <w:ind w:left="20"/>
              <w:spacing w:after="0"/>
              <w:rPr>
                <w:sz w:val="20"/>
                <w:szCs w:val="20"/>
                <w:color w:val="auto"/>
              </w:rPr>
            </w:pPr>
            <w:r>
              <w:rPr>
                <w:rFonts w:ascii="Arial" w:cs="Arial" w:eastAsia="Arial" w:hAnsi="Arial"/>
                <w:sz w:val="16"/>
                <w:szCs w:val="16"/>
                <w:color w:val="auto"/>
              </w:rPr>
              <w:t>1.</w:t>
            </w:r>
          </w:p>
        </w:tc>
        <w:tc>
          <w:tcPr>
            <w:tcW w:w="880" w:type="dxa"/>
            <w:vAlign w:val="bottom"/>
          </w:tcPr>
          <w:p>
            <w:pPr>
              <w:spacing w:after="0"/>
              <w:rPr>
                <w:sz w:val="19"/>
                <w:szCs w:val="19"/>
                <w:color w:val="auto"/>
              </w:rPr>
            </w:pPr>
          </w:p>
        </w:tc>
        <w:tc>
          <w:tcPr>
            <w:tcW w:w="1180" w:type="dxa"/>
            <w:vAlign w:val="bottom"/>
            <w:tcBorders>
              <w:top w:val="single" w:sz="8" w:color="0000FF"/>
              <w:bottom w:val="single" w:sz="8" w:color="0000FF"/>
            </w:tcBorders>
            <w:gridSpan w:val="6"/>
          </w:tcPr>
          <w:p>
            <w:pPr>
              <w:spacing w:after="0"/>
              <w:rPr>
                <w:rFonts w:ascii="Arial" w:cs="Arial" w:eastAsia="Arial" w:hAnsi="Arial"/>
                <w:sz w:val="16"/>
                <w:szCs w:val="16"/>
                <w:color w:val="0000FF"/>
                <w:w w:val="87"/>
              </w:rPr>
            </w:pPr>
            <w:hyperlink w:anchor="page50">
              <w:r>
                <w:rPr>
                  <w:rFonts w:ascii="Arial" w:cs="Arial" w:eastAsia="Arial" w:hAnsi="Arial"/>
                  <w:sz w:val="16"/>
                  <w:szCs w:val="16"/>
                  <w:color w:val="0000FF"/>
                  <w:w w:val="87"/>
                </w:rPr>
                <w:t>Legal Proceedings</w:t>
              </w:r>
            </w:hyperlink>
          </w:p>
        </w:tc>
        <w:tc>
          <w:tcPr>
            <w:tcW w:w="440" w:type="dxa"/>
            <w:vAlign w:val="bottom"/>
            <w:tcBorders>
              <w:top w:val="single" w:sz="8" w:color="0000FF"/>
            </w:tcBorders>
            <w:gridSpan w:val="2"/>
          </w:tcPr>
          <w:p>
            <w:pPr>
              <w:spacing w:after="0"/>
              <w:rPr>
                <w:sz w:val="19"/>
                <w:szCs w:val="19"/>
                <w:color w:val="auto"/>
              </w:rPr>
            </w:pPr>
          </w:p>
        </w:tc>
        <w:tc>
          <w:tcPr>
            <w:tcW w:w="7440" w:type="dxa"/>
            <w:vAlign w:val="bottom"/>
            <w:gridSpan w:val="12"/>
          </w:tcPr>
          <w:p>
            <w:pPr>
              <w:spacing w:after="0"/>
              <w:rPr>
                <w:sz w:val="19"/>
                <w:szCs w:val="19"/>
                <w:color w:val="auto"/>
              </w:rPr>
            </w:pPr>
          </w:p>
        </w:tc>
        <w:tc>
          <w:tcPr>
            <w:tcW w:w="640" w:type="dxa"/>
            <w:vAlign w:val="bottom"/>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6"/>
                <w:szCs w:val="16"/>
                <w:color w:val="auto"/>
              </w:rPr>
              <w:t>1A.</w:t>
            </w:r>
          </w:p>
        </w:tc>
        <w:tc>
          <w:tcPr>
            <w:tcW w:w="800" w:type="dxa"/>
            <w:vAlign w:val="bottom"/>
            <w:tcBorders>
              <w:bottom w:val="single" w:sz="8" w:color="0000FF"/>
            </w:tcBorders>
            <w:gridSpan w:val="4"/>
          </w:tcPr>
          <w:p>
            <w:pPr>
              <w:spacing w:after="0"/>
              <w:rPr>
                <w:rFonts w:ascii="Arial" w:cs="Arial" w:eastAsia="Arial" w:hAnsi="Arial"/>
                <w:sz w:val="16"/>
                <w:szCs w:val="16"/>
                <w:color w:val="0000FF"/>
                <w:w w:val="87"/>
              </w:rPr>
            </w:pPr>
            <w:hyperlink w:anchor="page50">
              <w:r>
                <w:rPr>
                  <w:rFonts w:ascii="Arial" w:cs="Arial" w:eastAsia="Arial" w:hAnsi="Arial"/>
                  <w:sz w:val="16"/>
                  <w:szCs w:val="16"/>
                  <w:color w:val="0000FF"/>
                  <w:w w:val="87"/>
                </w:rPr>
                <w:t>Risk Factors</w:t>
              </w:r>
            </w:hyperlink>
          </w:p>
        </w:tc>
        <w:tc>
          <w:tcPr>
            <w:tcW w:w="8260" w:type="dxa"/>
            <w:vAlign w:val="bottom"/>
            <w:gridSpan w:val="16"/>
          </w:tcPr>
          <w:p>
            <w:pPr>
              <w:spacing w:after="0"/>
              <w:rPr>
                <w:sz w:val="19"/>
                <w:szCs w:val="19"/>
                <w:color w:val="auto"/>
              </w:rPr>
            </w:pPr>
          </w:p>
        </w:tc>
        <w:tc>
          <w:tcPr>
            <w:tcW w:w="640" w:type="dxa"/>
            <w:vAlign w:val="bottom"/>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c>
          <w:tcPr>
            <w:tcW w:w="0" w:type="dxa"/>
            <w:vAlign w:val="bottom"/>
          </w:tcPr>
          <w:p>
            <w:pPr>
              <w:spacing w:after="0"/>
              <w:rPr>
                <w:sz w:val="1"/>
                <w:szCs w:val="1"/>
                <w:color w:val="auto"/>
              </w:rPr>
            </w:pPr>
          </w:p>
        </w:tc>
      </w:tr>
      <w:tr>
        <w:trPr>
          <w:trHeight w:val="229"/>
        </w:trPr>
        <w:tc>
          <w:tcPr>
            <w:tcW w:w="680" w:type="dxa"/>
            <w:vAlign w:val="bottom"/>
            <w:gridSpan w:val="2"/>
          </w:tcPr>
          <w:p>
            <w:pPr>
              <w:ind w:left="20"/>
              <w:spacing w:after="0"/>
              <w:rPr>
                <w:sz w:val="20"/>
                <w:szCs w:val="20"/>
                <w:color w:val="auto"/>
              </w:rPr>
            </w:pPr>
            <w:r>
              <w:rPr>
                <w:rFonts w:ascii="Arial" w:cs="Arial" w:eastAsia="Arial" w:hAnsi="Arial"/>
                <w:sz w:val="16"/>
                <w:szCs w:val="16"/>
                <w:color w:val="auto"/>
              </w:rPr>
              <w:t>2.</w:t>
            </w:r>
          </w:p>
        </w:tc>
        <w:tc>
          <w:tcPr>
            <w:tcW w:w="880" w:type="dxa"/>
            <w:vAlign w:val="bottom"/>
          </w:tcPr>
          <w:p>
            <w:pPr>
              <w:spacing w:after="0"/>
              <w:rPr>
                <w:sz w:val="19"/>
                <w:szCs w:val="19"/>
                <w:color w:val="auto"/>
              </w:rPr>
            </w:pPr>
          </w:p>
        </w:tc>
        <w:tc>
          <w:tcPr>
            <w:tcW w:w="3820" w:type="dxa"/>
            <w:vAlign w:val="bottom"/>
            <w:tcBorders>
              <w:bottom w:val="single" w:sz="8" w:color="0000FF"/>
            </w:tcBorders>
            <w:gridSpan w:val="12"/>
          </w:tcPr>
          <w:p>
            <w:pPr>
              <w:spacing w:after="0"/>
              <w:rPr>
                <w:rFonts w:ascii="Arial" w:cs="Arial" w:eastAsia="Arial" w:hAnsi="Arial"/>
                <w:sz w:val="16"/>
                <w:szCs w:val="16"/>
                <w:color w:val="0000FF"/>
                <w:w w:val="88"/>
              </w:rPr>
            </w:pPr>
            <w:hyperlink w:anchor="page51">
              <w:r>
                <w:rPr>
                  <w:rFonts w:ascii="Arial" w:cs="Arial" w:eastAsia="Arial" w:hAnsi="Arial"/>
                  <w:sz w:val="16"/>
                  <w:szCs w:val="16"/>
                  <w:color w:val="0000FF"/>
                  <w:w w:val="88"/>
                </w:rPr>
                <w:t>Unregistered Sales of Equity Securities and Use of Proceeds</w:t>
              </w:r>
            </w:hyperlink>
          </w:p>
        </w:tc>
        <w:tc>
          <w:tcPr>
            <w:tcW w:w="5240" w:type="dxa"/>
            <w:vAlign w:val="bottom"/>
            <w:gridSpan w:val="8"/>
          </w:tcPr>
          <w:p>
            <w:pPr>
              <w:spacing w:after="0"/>
              <w:rPr>
                <w:sz w:val="19"/>
                <w:szCs w:val="19"/>
                <w:color w:val="auto"/>
              </w:rPr>
            </w:pPr>
          </w:p>
        </w:tc>
        <w:tc>
          <w:tcPr>
            <w:tcW w:w="640" w:type="dxa"/>
            <w:vAlign w:val="bottom"/>
          </w:tcPr>
          <w:p>
            <w:pPr>
              <w:spacing w:after="0"/>
              <w:rPr>
                <w:rFonts w:ascii="Arial" w:cs="Arial" w:eastAsia="Arial" w:hAnsi="Arial"/>
                <w:sz w:val="16"/>
                <w:szCs w:val="16"/>
                <w:color w:val="0000FF"/>
              </w:rPr>
            </w:pPr>
            <w:hyperlink w:anchor="page51">
              <w:r>
                <w:rPr>
                  <w:rFonts w:ascii="Arial" w:cs="Arial" w:eastAsia="Arial" w:hAnsi="Arial"/>
                  <w:sz w:val="16"/>
                  <w:szCs w:val="16"/>
                  <w:color w:val="0000FF"/>
                </w:rPr>
                <w:t>51</w:t>
              </w:r>
            </w:hyperlink>
          </w:p>
        </w:tc>
        <w:tc>
          <w:tcPr>
            <w:tcW w:w="0" w:type="dxa"/>
            <w:vAlign w:val="bottom"/>
          </w:tcPr>
          <w:p>
            <w:pPr>
              <w:spacing w:after="0"/>
              <w:rPr>
                <w:sz w:val="1"/>
                <w:szCs w:val="1"/>
                <w:color w:val="auto"/>
              </w:rPr>
            </w:pPr>
          </w:p>
        </w:tc>
      </w:tr>
      <w:tr>
        <w:trPr>
          <w:trHeight w:val="229"/>
        </w:trPr>
        <w:tc>
          <w:tcPr>
            <w:tcW w:w="680" w:type="dxa"/>
            <w:vAlign w:val="bottom"/>
            <w:gridSpan w:val="2"/>
          </w:tcPr>
          <w:p>
            <w:pPr>
              <w:ind w:left="20"/>
              <w:spacing w:after="0"/>
              <w:rPr>
                <w:sz w:val="20"/>
                <w:szCs w:val="20"/>
                <w:color w:val="auto"/>
              </w:rPr>
            </w:pPr>
            <w:r>
              <w:rPr>
                <w:rFonts w:ascii="Arial" w:cs="Arial" w:eastAsia="Arial" w:hAnsi="Arial"/>
                <w:sz w:val="16"/>
                <w:szCs w:val="16"/>
                <w:color w:val="auto"/>
              </w:rPr>
              <w:t>3.</w:t>
            </w:r>
          </w:p>
        </w:tc>
        <w:tc>
          <w:tcPr>
            <w:tcW w:w="880" w:type="dxa"/>
            <w:vAlign w:val="bottom"/>
          </w:tcPr>
          <w:p>
            <w:pPr>
              <w:spacing w:after="0"/>
              <w:rPr>
                <w:sz w:val="19"/>
                <w:szCs w:val="19"/>
                <w:color w:val="auto"/>
              </w:rPr>
            </w:pPr>
          </w:p>
        </w:tc>
        <w:tc>
          <w:tcPr>
            <w:tcW w:w="2040" w:type="dxa"/>
            <w:vAlign w:val="bottom"/>
            <w:tcBorders>
              <w:bottom w:val="single" w:sz="8" w:color="0000FF"/>
            </w:tcBorders>
            <w:gridSpan w:val="10"/>
          </w:tcPr>
          <w:p>
            <w:pPr>
              <w:spacing w:after="0"/>
              <w:rPr>
                <w:rFonts w:ascii="Arial" w:cs="Arial" w:eastAsia="Arial" w:hAnsi="Arial"/>
                <w:sz w:val="16"/>
                <w:szCs w:val="16"/>
                <w:color w:val="0000FF"/>
                <w:w w:val="89"/>
              </w:rPr>
            </w:pPr>
            <w:hyperlink w:anchor="page51">
              <w:r>
                <w:rPr>
                  <w:rFonts w:ascii="Arial" w:cs="Arial" w:eastAsia="Arial" w:hAnsi="Arial"/>
                  <w:sz w:val="16"/>
                  <w:szCs w:val="16"/>
                  <w:color w:val="0000FF"/>
                  <w:w w:val="89"/>
                </w:rPr>
                <w:t>Defaults Upon Senior Securities</w:t>
              </w:r>
            </w:hyperlink>
          </w:p>
        </w:tc>
        <w:tc>
          <w:tcPr>
            <w:tcW w:w="7020" w:type="dxa"/>
            <w:vAlign w:val="bottom"/>
            <w:gridSpan w:val="10"/>
          </w:tcPr>
          <w:p>
            <w:pPr>
              <w:spacing w:after="0"/>
              <w:rPr>
                <w:sz w:val="19"/>
                <w:szCs w:val="19"/>
                <w:color w:val="auto"/>
              </w:rPr>
            </w:pPr>
          </w:p>
        </w:tc>
        <w:tc>
          <w:tcPr>
            <w:tcW w:w="640" w:type="dxa"/>
            <w:vAlign w:val="bottom"/>
          </w:tcPr>
          <w:p>
            <w:pPr>
              <w:spacing w:after="0"/>
              <w:rPr>
                <w:rFonts w:ascii="Arial" w:cs="Arial" w:eastAsia="Arial" w:hAnsi="Arial"/>
                <w:sz w:val="16"/>
                <w:szCs w:val="16"/>
                <w:color w:val="0000FF"/>
              </w:rPr>
            </w:pPr>
            <w:hyperlink w:anchor="page51">
              <w:r>
                <w:rPr>
                  <w:rFonts w:ascii="Arial" w:cs="Arial" w:eastAsia="Arial" w:hAnsi="Arial"/>
                  <w:sz w:val="16"/>
                  <w:szCs w:val="16"/>
                  <w:color w:val="0000FF"/>
                </w:rPr>
                <w:t>51</w:t>
              </w:r>
            </w:hyperlink>
          </w:p>
        </w:tc>
        <w:tc>
          <w:tcPr>
            <w:tcW w:w="0" w:type="dxa"/>
            <w:vAlign w:val="bottom"/>
          </w:tcPr>
          <w:p>
            <w:pPr>
              <w:spacing w:after="0"/>
              <w:rPr>
                <w:sz w:val="1"/>
                <w:szCs w:val="1"/>
                <w:color w:val="auto"/>
              </w:rPr>
            </w:pPr>
          </w:p>
        </w:tc>
      </w:tr>
      <w:tr>
        <w:trPr>
          <w:trHeight w:val="229"/>
        </w:trPr>
        <w:tc>
          <w:tcPr>
            <w:tcW w:w="680" w:type="dxa"/>
            <w:vAlign w:val="bottom"/>
            <w:gridSpan w:val="2"/>
          </w:tcPr>
          <w:p>
            <w:pPr>
              <w:ind w:left="20"/>
              <w:spacing w:after="0"/>
              <w:rPr>
                <w:sz w:val="20"/>
                <w:szCs w:val="20"/>
                <w:color w:val="auto"/>
              </w:rPr>
            </w:pPr>
            <w:r>
              <w:rPr>
                <w:rFonts w:ascii="Arial" w:cs="Arial" w:eastAsia="Arial" w:hAnsi="Arial"/>
                <w:sz w:val="16"/>
                <w:szCs w:val="16"/>
                <w:color w:val="auto"/>
              </w:rPr>
              <w:t>4.</w:t>
            </w:r>
          </w:p>
        </w:tc>
        <w:tc>
          <w:tcPr>
            <w:tcW w:w="880" w:type="dxa"/>
            <w:vAlign w:val="bottom"/>
          </w:tcPr>
          <w:p>
            <w:pPr>
              <w:spacing w:after="0"/>
              <w:rPr>
                <w:sz w:val="19"/>
                <w:szCs w:val="19"/>
                <w:color w:val="auto"/>
              </w:rPr>
            </w:pPr>
          </w:p>
        </w:tc>
        <w:tc>
          <w:tcPr>
            <w:tcW w:w="1560" w:type="dxa"/>
            <w:vAlign w:val="bottom"/>
            <w:tcBorders>
              <w:bottom w:val="single" w:sz="8" w:color="0000FF"/>
            </w:tcBorders>
            <w:gridSpan w:val="7"/>
          </w:tcPr>
          <w:p>
            <w:pPr>
              <w:spacing w:after="0"/>
              <w:rPr>
                <w:rFonts w:ascii="Arial" w:cs="Arial" w:eastAsia="Arial" w:hAnsi="Arial"/>
                <w:sz w:val="16"/>
                <w:szCs w:val="16"/>
                <w:color w:val="0000FF"/>
                <w:w w:val="89"/>
              </w:rPr>
            </w:pPr>
            <w:hyperlink w:anchor="page51">
              <w:r>
                <w:rPr>
                  <w:rFonts w:ascii="Arial" w:cs="Arial" w:eastAsia="Arial" w:hAnsi="Arial"/>
                  <w:sz w:val="16"/>
                  <w:szCs w:val="16"/>
                  <w:color w:val="0000FF"/>
                  <w:w w:val="89"/>
                </w:rPr>
                <w:t>Mine Safety Disclosures</w:t>
              </w:r>
            </w:hyperlink>
          </w:p>
        </w:tc>
        <w:tc>
          <w:tcPr>
            <w:tcW w:w="7500" w:type="dxa"/>
            <w:vAlign w:val="bottom"/>
            <w:gridSpan w:val="13"/>
          </w:tcPr>
          <w:p>
            <w:pPr>
              <w:spacing w:after="0"/>
              <w:rPr>
                <w:sz w:val="19"/>
                <w:szCs w:val="19"/>
                <w:color w:val="auto"/>
              </w:rPr>
            </w:pPr>
          </w:p>
        </w:tc>
        <w:tc>
          <w:tcPr>
            <w:tcW w:w="640" w:type="dxa"/>
            <w:vAlign w:val="bottom"/>
          </w:tcPr>
          <w:p>
            <w:pPr>
              <w:spacing w:after="0"/>
              <w:rPr>
                <w:rFonts w:ascii="Arial" w:cs="Arial" w:eastAsia="Arial" w:hAnsi="Arial"/>
                <w:sz w:val="16"/>
                <w:szCs w:val="16"/>
                <w:color w:val="0000FF"/>
              </w:rPr>
            </w:pPr>
            <w:hyperlink w:anchor="page51">
              <w:r>
                <w:rPr>
                  <w:rFonts w:ascii="Arial" w:cs="Arial" w:eastAsia="Arial" w:hAnsi="Arial"/>
                  <w:sz w:val="16"/>
                  <w:szCs w:val="16"/>
                  <w:color w:val="0000FF"/>
                </w:rPr>
                <w:t>51</w:t>
              </w:r>
            </w:hyperlink>
          </w:p>
        </w:tc>
        <w:tc>
          <w:tcPr>
            <w:tcW w:w="0" w:type="dxa"/>
            <w:vAlign w:val="bottom"/>
          </w:tcPr>
          <w:p>
            <w:pPr>
              <w:spacing w:after="0"/>
              <w:rPr>
                <w:sz w:val="1"/>
                <w:szCs w:val="1"/>
                <w:color w:val="auto"/>
              </w:rPr>
            </w:pPr>
          </w:p>
        </w:tc>
      </w:tr>
      <w:tr>
        <w:trPr>
          <w:trHeight w:val="229"/>
        </w:trPr>
        <w:tc>
          <w:tcPr>
            <w:tcW w:w="680" w:type="dxa"/>
            <w:vAlign w:val="bottom"/>
            <w:gridSpan w:val="2"/>
          </w:tcPr>
          <w:p>
            <w:pPr>
              <w:ind w:left="20"/>
              <w:spacing w:after="0"/>
              <w:rPr>
                <w:sz w:val="20"/>
                <w:szCs w:val="20"/>
                <w:color w:val="auto"/>
              </w:rPr>
            </w:pPr>
            <w:r>
              <w:rPr>
                <w:rFonts w:ascii="Arial" w:cs="Arial" w:eastAsia="Arial" w:hAnsi="Arial"/>
                <w:sz w:val="16"/>
                <w:szCs w:val="16"/>
                <w:color w:val="auto"/>
              </w:rPr>
              <w:t>5.</w:t>
            </w:r>
          </w:p>
        </w:tc>
        <w:tc>
          <w:tcPr>
            <w:tcW w:w="880" w:type="dxa"/>
            <w:vAlign w:val="bottom"/>
          </w:tcPr>
          <w:p>
            <w:pPr>
              <w:spacing w:after="0"/>
              <w:rPr>
                <w:sz w:val="19"/>
                <w:szCs w:val="19"/>
                <w:color w:val="auto"/>
              </w:rPr>
            </w:pPr>
          </w:p>
        </w:tc>
        <w:tc>
          <w:tcPr>
            <w:tcW w:w="1160" w:type="dxa"/>
            <w:vAlign w:val="bottom"/>
            <w:tcBorders>
              <w:bottom w:val="single" w:sz="8" w:color="0000FF"/>
            </w:tcBorders>
            <w:gridSpan w:val="5"/>
          </w:tcPr>
          <w:p>
            <w:pPr>
              <w:spacing w:after="0"/>
              <w:rPr>
                <w:rFonts w:ascii="Arial" w:cs="Arial" w:eastAsia="Arial" w:hAnsi="Arial"/>
                <w:sz w:val="16"/>
                <w:szCs w:val="16"/>
                <w:color w:val="0000FF"/>
                <w:w w:val="91"/>
              </w:rPr>
            </w:pPr>
            <w:hyperlink w:anchor="page51">
              <w:r>
                <w:rPr>
                  <w:rFonts w:ascii="Arial" w:cs="Arial" w:eastAsia="Arial" w:hAnsi="Arial"/>
                  <w:sz w:val="16"/>
                  <w:szCs w:val="16"/>
                  <w:color w:val="0000FF"/>
                  <w:w w:val="91"/>
                </w:rPr>
                <w:t>Other Information</w:t>
              </w:r>
            </w:hyperlink>
          </w:p>
        </w:tc>
        <w:tc>
          <w:tcPr>
            <w:tcW w:w="7900" w:type="dxa"/>
            <w:vAlign w:val="bottom"/>
            <w:gridSpan w:val="15"/>
          </w:tcPr>
          <w:p>
            <w:pPr>
              <w:spacing w:after="0"/>
              <w:rPr>
                <w:sz w:val="19"/>
                <w:szCs w:val="19"/>
                <w:color w:val="auto"/>
              </w:rPr>
            </w:pPr>
          </w:p>
        </w:tc>
        <w:tc>
          <w:tcPr>
            <w:tcW w:w="640" w:type="dxa"/>
            <w:vAlign w:val="bottom"/>
          </w:tcPr>
          <w:p>
            <w:pPr>
              <w:spacing w:after="0"/>
              <w:rPr>
                <w:rFonts w:ascii="Arial" w:cs="Arial" w:eastAsia="Arial" w:hAnsi="Arial"/>
                <w:sz w:val="16"/>
                <w:szCs w:val="16"/>
                <w:color w:val="0000FF"/>
              </w:rPr>
            </w:pPr>
            <w:hyperlink w:anchor="page51">
              <w:r>
                <w:rPr>
                  <w:rFonts w:ascii="Arial" w:cs="Arial" w:eastAsia="Arial" w:hAnsi="Arial"/>
                  <w:sz w:val="16"/>
                  <w:szCs w:val="16"/>
                  <w:color w:val="0000FF"/>
                </w:rPr>
                <w:t>51</w:t>
              </w:r>
            </w:hyperlink>
          </w:p>
        </w:tc>
        <w:tc>
          <w:tcPr>
            <w:tcW w:w="0" w:type="dxa"/>
            <w:vAlign w:val="bottom"/>
          </w:tcPr>
          <w:p>
            <w:pPr>
              <w:spacing w:after="0"/>
              <w:rPr>
                <w:sz w:val="1"/>
                <w:szCs w:val="1"/>
                <w:color w:val="auto"/>
              </w:rPr>
            </w:pPr>
          </w:p>
        </w:tc>
      </w:tr>
      <w:tr>
        <w:trPr>
          <w:trHeight w:val="229"/>
        </w:trPr>
        <w:tc>
          <w:tcPr>
            <w:tcW w:w="680" w:type="dxa"/>
            <w:vAlign w:val="bottom"/>
            <w:gridSpan w:val="2"/>
          </w:tcPr>
          <w:p>
            <w:pPr>
              <w:ind w:left="20"/>
              <w:spacing w:after="0"/>
              <w:rPr>
                <w:sz w:val="20"/>
                <w:szCs w:val="20"/>
                <w:color w:val="auto"/>
              </w:rPr>
            </w:pPr>
            <w:r>
              <w:rPr>
                <w:rFonts w:ascii="Arial" w:cs="Arial" w:eastAsia="Arial" w:hAnsi="Arial"/>
                <w:sz w:val="16"/>
                <w:szCs w:val="16"/>
                <w:color w:val="auto"/>
              </w:rPr>
              <w:t>6.</w:t>
            </w:r>
          </w:p>
        </w:tc>
        <w:tc>
          <w:tcPr>
            <w:tcW w:w="880" w:type="dxa"/>
            <w:vAlign w:val="bottom"/>
          </w:tcPr>
          <w:p>
            <w:pPr>
              <w:spacing w:after="0"/>
              <w:rPr>
                <w:sz w:val="19"/>
                <w:szCs w:val="19"/>
                <w:color w:val="auto"/>
              </w:rPr>
            </w:pPr>
          </w:p>
        </w:tc>
        <w:tc>
          <w:tcPr>
            <w:tcW w:w="9060" w:type="dxa"/>
            <w:vAlign w:val="bottom"/>
            <w:gridSpan w:val="20"/>
          </w:tcPr>
          <w:p>
            <w:pPr>
              <w:spacing w:after="0"/>
              <w:rPr>
                <w:rFonts w:ascii="Arial" w:cs="Arial" w:eastAsia="Arial" w:hAnsi="Arial"/>
                <w:sz w:val="16"/>
                <w:szCs w:val="16"/>
                <w:color w:val="0000FF"/>
              </w:rPr>
            </w:pPr>
            <w:hyperlink w:anchor="page51">
              <w:r>
                <w:rPr>
                  <w:rFonts w:ascii="Arial" w:cs="Arial" w:eastAsia="Arial" w:hAnsi="Arial"/>
                  <w:sz w:val="16"/>
                  <w:szCs w:val="16"/>
                  <w:color w:val="0000FF"/>
                </w:rPr>
                <w:t>Exhibits</w:t>
              </w:r>
            </w:hyperlink>
          </w:p>
        </w:tc>
        <w:tc>
          <w:tcPr>
            <w:tcW w:w="640" w:type="dxa"/>
            <w:vAlign w:val="bottom"/>
          </w:tcPr>
          <w:p>
            <w:pPr>
              <w:spacing w:after="0"/>
              <w:rPr>
                <w:rFonts w:ascii="Arial" w:cs="Arial" w:eastAsia="Arial" w:hAnsi="Arial"/>
                <w:sz w:val="16"/>
                <w:szCs w:val="16"/>
                <w:color w:val="0000FF"/>
              </w:rPr>
            </w:pPr>
            <w:hyperlink w:anchor="page51">
              <w:r>
                <w:rPr>
                  <w:rFonts w:ascii="Arial" w:cs="Arial" w:eastAsia="Arial" w:hAnsi="Arial"/>
                  <w:sz w:val="16"/>
                  <w:szCs w:val="16"/>
                  <w:color w:val="0000FF"/>
                </w:rPr>
                <w:t>52</w:t>
              </w:r>
            </w:hyperlink>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540" w:type="dxa"/>
            <w:vAlign w:val="bottom"/>
            <w:gridSpan w:val="2"/>
          </w:tcPr>
          <w:p>
            <w:pPr>
              <w:spacing w:after="0"/>
              <w:rPr>
                <w:rFonts w:ascii="Arial" w:cs="Arial" w:eastAsia="Arial" w:hAnsi="Arial"/>
                <w:sz w:val="16"/>
                <w:szCs w:val="16"/>
                <w:color w:val="0000FF"/>
              </w:rPr>
            </w:pPr>
            <w:hyperlink w:anchor="page52">
              <w:r>
                <w:rPr>
                  <w:rFonts w:ascii="Arial" w:cs="Arial" w:eastAsia="Arial" w:hAnsi="Arial"/>
                  <w:sz w:val="16"/>
                  <w:szCs w:val="16"/>
                  <w:color w:val="0000FF"/>
                </w:rPr>
                <w:t>Signatures</w:t>
              </w:r>
            </w:hyperlink>
          </w:p>
        </w:tc>
        <w:tc>
          <w:tcPr>
            <w:tcW w:w="1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40" w:type="dxa"/>
            <w:vAlign w:val="bottom"/>
          </w:tcPr>
          <w:p>
            <w:pPr>
              <w:spacing w:after="0"/>
              <w:rPr>
                <w:rFonts w:ascii="Arial" w:cs="Arial" w:eastAsia="Arial" w:hAnsi="Arial"/>
                <w:sz w:val="16"/>
                <w:szCs w:val="16"/>
                <w:color w:val="0000FF"/>
              </w:rPr>
            </w:pPr>
            <w:hyperlink w:anchor="page52">
              <w:r>
                <w:rPr>
                  <w:rFonts w:ascii="Arial" w:cs="Arial" w:eastAsia="Arial" w:hAnsi="Arial"/>
                  <w:sz w:val="16"/>
                  <w:szCs w:val="16"/>
                  <w:color w:val="0000FF"/>
                </w:rPr>
                <w:t>53</w:t>
              </w:r>
            </w:hyperlink>
          </w:p>
        </w:tc>
        <w:tc>
          <w:tcPr>
            <w:tcW w:w="0" w:type="dxa"/>
            <w:vAlign w:val="bottom"/>
          </w:tcPr>
          <w:p>
            <w:pPr>
              <w:spacing w:after="0"/>
              <w:rPr>
                <w:sz w:val="1"/>
                <w:szCs w:val="1"/>
                <w:color w:val="auto"/>
              </w:rPr>
            </w:pPr>
          </w:p>
        </w:tc>
      </w:tr>
      <w:tr>
        <w:trPr>
          <w:trHeight w:val="798"/>
        </w:trPr>
        <w:tc>
          <w:tcPr>
            <w:tcW w:w="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80" w:type="dxa"/>
            <w:vAlign w:val="bottom"/>
          </w:tcPr>
          <w:p>
            <w:pPr>
              <w:spacing w:after="0"/>
              <w:rPr>
                <w:sz w:val="24"/>
                <w:szCs w:val="24"/>
                <w:color w:val="auto"/>
              </w:rPr>
            </w:pPr>
          </w:p>
        </w:tc>
        <w:tc>
          <w:tcPr>
            <w:tcW w:w="4960" w:type="dxa"/>
            <w:vAlign w:val="bottom"/>
            <w:gridSpan w:val="14"/>
          </w:tcPr>
          <w:p>
            <w:pPr>
              <w:ind w:left="4020"/>
              <w:spacing w:after="0"/>
              <w:rPr>
                <w:sz w:val="20"/>
                <w:szCs w:val="20"/>
                <w:color w:val="auto"/>
              </w:rPr>
            </w:pPr>
            <w:r>
              <w:rPr>
                <w:rFonts w:ascii="Arial" w:cs="Arial" w:eastAsia="Arial" w:hAnsi="Arial"/>
                <w:sz w:val="16"/>
                <w:szCs w:val="16"/>
                <w:color w:val="auto"/>
              </w:rPr>
              <w:t>2</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 w:name="page3"/>
    <w:bookmarkEnd w:id="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EXLSERVICE HOLDINGS, INC.</w:t>
      </w:r>
    </w:p>
    <w:p>
      <w:pPr>
        <w:spacing w:after="0" w:line="21"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CONSOLIDATED BALANCE SHEETS (UNAUDITED)</w:t>
      </w:r>
    </w:p>
    <w:p>
      <w:pPr>
        <w:spacing w:after="0" w:line="6"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5"/>
                <w:szCs w:val="15"/>
                <w:color w:val="auto"/>
              </w:rPr>
            </w:pPr>
          </w:p>
        </w:tc>
        <w:tc>
          <w:tcPr>
            <w:tcW w:w="1560" w:type="dxa"/>
            <w:vAlign w:val="bottom"/>
          </w:tcPr>
          <w:p>
            <w:pPr>
              <w:jc w:val="right"/>
              <w:ind w:right="229"/>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208"/>
        </w:trPr>
        <w:tc>
          <w:tcPr>
            <w:tcW w:w="74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2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106,540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135,337</w:t>
            </w:r>
          </w:p>
        </w:tc>
        <w:tc>
          <w:tcPr>
            <w:tcW w:w="0" w:type="dxa"/>
            <w:vAlign w:val="bottom"/>
          </w:tcPr>
          <w:p>
            <w:pPr>
              <w:spacing w:after="0"/>
              <w:rPr>
                <w:sz w:val="1"/>
                <w:szCs w:val="1"/>
                <w:color w:val="auto"/>
              </w:rPr>
            </w:pPr>
          </w:p>
        </w:tc>
      </w:tr>
      <w:tr>
        <w:trPr>
          <w:trHeight w:val="187"/>
        </w:trPr>
        <w:tc>
          <w:tcPr>
            <w:tcW w:w="7420" w:type="dxa"/>
            <w:vAlign w:val="bottom"/>
          </w:tcPr>
          <w:p>
            <w:pPr>
              <w:ind w:left="300"/>
              <w:spacing w:after="0"/>
              <w:rPr>
                <w:sz w:val="20"/>
                <w:szCs w:val="20"/>
                <w:color w:val="auto"/>
              </w:rPr>
            </w:pPr>
            <w:r>
              <w:rPr>
                <w:rFonts w:ascii="Arial" w:cs="Arial" w:eastAsia="Arial" w:hAnsi="Arial"/>
                <w:sz w:val="14"/>
                <w:szCs w:val="14"/>
                <w:color w:val="auto"/>
              </w:rPr>
              <w:t>Short-term investments</w:t>
            </w:r>
          </w:p>
        </w:tc>
        <w:tc>
          <w:tcPr>
            <w:tcW w:w="2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162,694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178,538</w:t>
            </w:r>
          </w:p>
        </w:tc>
        <w:tc>
          <w:tcPr>
            <w:tcW w:w="0" w:type="dxa"/>
            <w:vAlign w:val="bottom"/>
          </w:tcPr>
          <w:p>
            <w:pPr>
              <w:spacing w:after="0"/>
              <w:rPr>
                <w:sz w:val="1"/>
                <w:szCs w:val="1"/>
                <w:color w:val="auto"/>
              </w:rPr>
            </w:pPr>
          </w:p>
        </w:tc>
      </w:tr>
      <w:tr>
        <w:trPr>
          <w:trHeight w:val="193"/>
        </w:trPr>
        <w:tc>
          <w:tcPr>
            <w:tcW w:w="7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Restricted cash</w:t>
            </w: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6,174</w:t>
            </w:r>
          </w:p>
        </w:tc>
        <w:tc>
          <w:tcPr>
            <w:tcW w:w="0" w:type="dxa"/>
            <w:vAlign w:val="bottom"/>
          </w:tcPr>
          <w:p>
            <w:pPr>
              <w:spacing w:after="0"/>
              <w:rPr>
                <w:sz w:val="1"/>
                <w:szCs w:val="1"/>
                <w:color w:val="auto"/>
              </w:rPr>
            </w:pPr>
          </w:p>
        </w:tc>
      </w:tr>
      <w:tr>
        <w:trPr>
          <w:trHeight w:val="187"/>
        </w:trPr>
        <w:tc>
          <w:tcPr>
            <w:tcW w:w="7420" w:type="dxa"/>
            <w:vAlign w:val="bottom"/>
          </w:tcPr>
          <w:p>
            <w:pPr>
              <w:ind w:left="30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239,279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194,232</w:t>
            </w:r>
          </w:p>
        </w:tc>
        <w:tc>
          <w:tcPr>
            <w:tcW w:w="0" w:type="dxa"/>
            <w:vAlign w:val="bottom"/>
          </w:tcPr>
          <w:p>
            <w:pPr>
              <w:spacing w:after="0"/>
              <w:rPr>
                <w:sz w:val="1"/>
                <w:szCs w:val="1"/>
                <w:color w:val="auto"/>
              </w:rPr>
            </w:pPr>
          </w:p>
        </w:tc>
      </w:tr>
      <w:tr>
        <w:trPr>
          <w:trHeight w:val="193"/>
        </w:trPr>
        <w:tc>
          <w:tcPr>
            <w:tcW w:w="7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Prepaid expenses</w:t>
            </w: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14,655</w:t>
            </w:r>
          </w:p>
        </w:tc>
        <w:tc>
          <w:tcPr>
            <w:tcW w:w="0" w:type="dxa"/>
            <w:vAlign w:val="bottom"/>
          </w:tcPr>
          <w:p>
            <w:pPr>
              <w:spacing w:after="0"/>
              <w:rPr>
                <w:sz w:val="1"/>
                <w:szCs w:val="1"/>
                <w:color w:val="auto"/>
              </w:rPr>
            </w:pPr>
          </w:p>
        </w:tc>
      </w:tr>
      <w:tr>
        <w:trPr>
          <w:trHeight w:val="187"/>
        </w:trPr>
        <w:tc>
          <w:tcPr>
            <w:tcW w:w="7420" w:type="dxa"/>
            <w:vAlign w:val="bottom"/>
          </w:tcPr>
          <w:p>
            <w:pPr>
              <w:ind w:left="300"/>
              <w:spacing w:after="0"/>
              <w:rPr>
                <w:sz w:val="20"/>
                <w:szCs w:val="20"/>
                <w:color w:val="auto"/>
              </w:rPr>
            </w:pPr>
            <w:r>
              <w:rPr>
                <w:rFonts w:ascii="Arial" w:cs="Arial" w:eastAsia="Arial" w:hAnsi="Arial"/>
                <w:sz w:val="14"/>
                <w:szCs w:val="14"/>
                <w:color w:val="auto"/>
              </w:rPr>
              <w:t>Advance income tax, net</w:t>
            </w:r>
          </w:p>
        </w:tc>
        <w:tc>
          <w:tcPr>
            <w:tcW w:w="2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9,336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15,199</w:t>
            </w:r>
          </w:p>
        </w:tc>
        <w:tc>
          <w:tcPr>
            <w:tcW w:w="0" w:type="dxa"/>
            <w:vAlign w:val="bottom"/>
          </w:tcPr>
          <w:p>
            <w:pPr>
              <w:spacing w:after="0"/>
              <w:rPr>
                <w:sz w:val="1"/>
                <w:szCs w:val="1"/>
                <w:color w:val="auto"/>
              </w:rPr>
            </w:pPr>
          </w:p>
        </w:tc>
      </w:tr>
      <w:tr>
        <w:trPr>
          <w:trHeight w:val="193"/>
        </w:trPr>
        <w:tc>
          <w:tcPr>
            <w:tcW w:w="7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current assets</w:t>
            </w:r>
          </w:p>
        </w:tc>
        <w:tc>
          <w:tcPr>
            <w:tcW w:w="2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28,377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34,009</w:t>
            </w:r>
          </w:p>
        </w:tc>
        <w:tc>
          <w:tcPr>
            <w:tcW w:w="0" w:type="dxa"/>
            <w:vAlign w:val="bottom"/>
          </w:tcPr>
          <w:p>
            <w:pPr>
              <w:spacing w:after="0"/>
              <w:rPr>
                <w:sz w:val="1"/>
                <w:szCs w:val="1"/>
                <w:color w:val="auto"/>
              </w:rPr>
            </w:pPr>
          </w:p>
        </w:tc>
      </w:tr>
      <w:tr>
        <w:trPr>
          <w:trHeight w:val="179"/>
        </w:trPr>
        <w:tc>
          <w:tcPr>
            <w:tcW w:w="74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Total current assets</w:t>
            </w: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572,618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578,144</w:t>
            </w:r>
          </w:p>
        </w:tc>
        <w:tc>
          <w:tcPr>
            <w:tcW w:w="0" w:type="dxa"/>
            <w:vAlign w:val="bottom"/>
          </w:tcPr>
          <w:p>
            <w:pPr>
              <w:spacing w:after="0"/>
              <w:rPr>
                <w:sz w:val="1"/>
                <w:szCs w:val="1"/>
                <w:color w:val="auto"/>
              </w:rPr>
            </w:pPr>
          </w:p>
        </w:tc>
      </w:tr>
      <w:tr>
        <w:trPr>
          <w:trHeight w:val="184"/>
        </w:trPr>
        <w:tc>
          <w:tcPr>
            <w:tcW w:w="742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86,008</w:t>
            </w:r>
          </w:p>
        </w:tc>
        <w:tc>
          <w:tcPr>
            <w:tcW w:w="0" w:type="dxa"/>
            <w:vAlign w:val="bottom"/>
          </w:tcPr>
          <w:p>
            <w:pPr>
              <w:spacing w:after="0"/>
              <w:rPr>
                <w:sz w:val="1"/>
                <w:szCs w:val="1"/>
                <w:color w:val="auto"/>
              </w:rPr>
            </w:pPr>
          </w:p>
        </w:tc>
      </w:tr>
      <w:tr>
        <w:trPr>
          <w:trHeight w:val="187"/>
        </w:trPr>
        <w:tc>
          <w:tcPr>
            <w:tcW w:w="742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75,147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76,692</w:t>
            </w:r>
          </w:p>
        </w:tc>
        <w:tc>
          <w:tcPr>
            <w:tcW w:w="0" w:type="dxa"/>
            <w:vAlign w:val="bottom"/>
          </w:tcPr>
          <w:p>
            <w:pPr>
              <w:spacing w:after="0"/>
              <w:rPr>
                <w:sz w:val="1"/>
                <w:szCs w:val="1"/>
                <w:color w:val="auto"/>
              </w:rPr>
            </w:pPr>
          </w:p>
        </w:tc>
      </w:tr>
      <w:tr>
        <w:trPr>
          <w:trHeight w:val="193"/>
        </w:trPr>
        <w:tc>
          <w:tcPr>
            <w:tcW w:w="742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w:t>
            </w:r>
          </w:p>
        </w:tc>
        <w:tc>
          <w:tcPr>
            <w:tcW w:w="0" w:type="dxa"/>
            <w:vAlign w:val="bottom"/>
          </w:tcPr>
          <w:p>
            <w:pPr>
              <w:spacing w:after="0"/>
              <w:rPr>
                <w:sz w:val="1"/>
                <w:szCs w:val="1"/>
                <w:color w:val="auto"/>
              </w:rPr>
            </w:pPr>
          </w:p>
        </w:tc>
      </w:tr>
      <w:tr>
        <w:trPr>
          <w:trHeight w:val="187"/>
        </w:trPr>
        <w:tc>
          <w:tcPr>
            <w:tcW w:w="7420" w:type="dxa"/>
            <w:vAlign w:val="bottom"/>
          </w:tcPr>
          <w:p>
            <w:pPr>
              <w:spacing w:after="0"/>
              <w:rPr>
                <w:sz w:val="20"/>
                <w:szCs w:val="20"/>
                <w:color w:val="auto"/>
              </w:rPr>
            </w:pPr>
            <w:r>
              <w:rPr>
                <w:rFonts w:ascii="Arial" w:cs="Arial" w:eastAsia="Arial" w:hAnsi="Arial"/>
                <w:sz w:val="14"/>
                <w:szCs w:val="14"/>
                <w:color w:val="auto"/>
              </w:rPr>
              <w:t>Deferred tax assets, net</w:t>
            </w:r>
          </w:p>
        </w:tc>
        <w:tc>
          <w:tcPr>
            <w:tcW w:w="2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22,447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21,404</w:t>
            </w:r>
          </w:p>
        </w:tc>
        <w:tc>
          <w:tcPr>
            <w:tcW w:w="0" w:type="dxa"/>
            <w:vAlign w:val="bottom"/>
          </w:tcPr>
          <w:p>
            <w:pPr>
              <w:spacing w:after="0"/>
              <w:rPr>
                <w:sz w:val="1"/>
                <w:szCs w:val="1"/>
                <w:color w:val="auto"/>
              </w:rPr>
            </w:pPr>
          </w:p>
        </w:tc>
      </w:tr>
      <w:tr>
        <w:trPr>
          <w:trHeight w:val="193"/>
        </w:trPr>
        <w:tc>
          <w:tcPr>
            <w:tcW w:w="742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76,578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81,082</w:t>
            </w:r>
          </w:p>
        </w:tc>
        <w:tc>
          <w:tcPr>
            <w:tcW w:w="0" w:type="dxa"/>
            <w:vAlign w:val="bottom"/>
          </w:tcPr>
          <w:p>
            <w:pPr>
              <w:spacing w:after="0"/>
              <w:rPr>
                <w:sz w:val="1"/>
                <w:szCs w:val="1"/>
                <w:color w:val="auto"/>
              </w:rPr>
            </w:pPr>
          </w:p>
        </w:tc>
      </w:tr>
      <w:tr>
        <w:trPr>
          <w:trHeight w:val="187"/>
        </w:trPr>
        <w:tc>
          <w:tcPr>
            <w:tcW w:w="7420" w:type="dxa"/>
            <w:vAlign w:val="bottom"/>
          </w:tcPr>
          <w:p>
            <w:pPr>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404,561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403,902</w:t>
            </w:r>
          </w:p>
        </w:tc>
        <w:tc>
          <w:tcPr>
            <w:tcW w:w="0" w:type="dxa"/>
            <w:vAlign w:val="bottom"/>
          </w:tcPr>
          <w:p>
            <w:pPr>
              <w:spacing w:after="0"/>
              <w:rPr>
                <w:sz w:val="1"/>
                <w:szCs w:val="1"/>
                <w:color w:val="auto"/>
              </w:rPr>
            </w:pPr>
          </w:p>
        </w:tc>
      </w:tr>
      <w:tr>
        <w:trPr>
          <w:trHeight w:val="193"/>
        </w:trPr>
        <w:tc>
          <w:tcPr>
            <w:tcW w:w="742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32,215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30,369</w:t>
            </w:r>
          </w:p>
        </w:tc>
        <w:tc>
          <w:tcPr>
            <w:tcW w:w="0" w:type="dxa"/>
            <w:vAlign w:val="bottom"/>
          </w:tcPr>
          <w:p>
            <w:pPr>
              <w:spacing w:after="0"/>
              <w:rPr>
                <w:sz w:val="1"/>
                <w:szCs w:val="1"/>
                <w:color w:val="auto"/>
              </w:rPr>
            </w:pPr>
          </w:p>
        </w:tc>
      </w:tr>
      <w:tr>
        <w:trPr>
          <w:trHeight w:val="187"/>
        </w:trPr>
        <w:tc>
          <w:tcPr>
            <w:tcW w:w="74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Investment in equity affiliate</w:t>
            </w: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3,004</w:t>
            </w:r>
          </w:p>
        </w:tc>
        <w:tc>
          <w:tcPr>
            <w:tcW w:w="0" w:type="dxa"/>
            <w:vAlign w:val="bottom"/>
          </w:tcPr>
          <w:p>
            <w:pPr>
              <w:spacing w:after="0"/>
              <w:rPr>
                <w:sz w:val="1"/>
                <w:szCs w:val="1"/>
                <w:color w:val="auto"/>
              </w:rPr>
            </w:pPr>
          </w:p>
        </w:tc>
      </w:tr>
      <w:tr>
        <w:trPr>
          <w:trHeight w:val="207"/>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1,274,549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1,282,904</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74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 liabilities:</w:t>
            </w: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20" w:type="dxa"/>
            <w:vAlign w:val="bottom"/>
          </w:tcPr>
          <w:p>
            <w:pPr>
              <w:ind w:left="300"/>
              <w:spacing w:after="0"/>
              <w:rPr>
                <w:sz w:val="20"/>
                <w:szCs w:val="20"/>
                <w:color w:val="auto"/>
              </w:rPr>
            </w:pPr>
            <w:r>
              <w:rPr>
                <w:rFonts w:ascii="Arial" w:cs="Arial" w:eastAsia="Arial" w:hAnsi="Arial"/>
                <w:sz w:val="14"/>
                <w:szCs w:val="14"/>
                <w:color w:val="auto"/>
              </w:rPr>
              <w:t>Accounts payable</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4,796</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5,647</w:t>
            </w:r>
          </w:p>
        </w:tc>
        <w:tc>
          <w:tcPr>
            <w:tcW w:w="0" w:type="dxa"/>
            <w:vAlign w:val="bottom"/>
          </w:tcPr>
          <w:p>
            <w:pPr>
              <w:spacing w:after="0"/>
              <w:rPr>
                <w:sz w:val="1"/>
                <w:szCs w:val="1"/>
                <w:color w:val="auto"/>
              </w:rPr>
            </w:pPr>
          </w:p>
        </w:tc>
      </w:tr>
      <w:tr>
        <w:trPr>
          <w:trHeight w:val="193"/>
        </w:trPr>
        <w:tc>
          <w:tcPr>
            <w:tcW w:w="7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Current portion of long-term borrowings</w:t>
            </w: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260,016</w:t>
            </w:r>
          </w:p>
        </w:tc>
        <w:tc>
          <w:tcPr>
            <w:tcW w:w="0" w:type="dxa"/>
            <w:vAlign w:val="bottom"/>
          </w:tcPr>
          <w:p>
            <w:pPr>
              <w:spacing w:after="0"/>
              <w:rPr>
                <w:sz w:val="1"/>
                <w:szCs w:val="1"/>
                <w:color w:val="auto"/>
              </w:rPr>
            </w:pPr>
          </w:p>
        </w:tc>
      </w:tr>
      <w:tr>
        <w:trPr>
          <w:trHeight w:val="187"/>
        </w:trPr>
        <w:tc>
          <w:tcPr>
            <w:tcW w:w="7420" w:type="dxa"/>
            <w:vAlign w:val="bottom"/>
          </w:tcPr>
          <w:p>
            <w:pPr>
              <w:ind w:left="300"/>
              <w:spacing w:after="0"/>
              <w:rPr>
                <w:sz w:val="20"/>
                <w:szCs w:val="20"/>
                <w:color w:val="auto"/>
              </w:rPr>
            </w:pPr>
            <w:r>
              <w:rPr>
                <w:rFonts w:ascii="Arial" w:cs="Arial" w:eastAsia="Arial" w:hAnsi="Arial"/>
                <w:sz w:val="14"/>
                <w:szCs w:val="14"/>
                <w:color w:val="auto"/>
              </w:rPr>
              <w:t>Deferred revenue</w:t>
            </w:r>
          </w:p>
        </w:tc>
        <w:tc>
          <w:tcPr>
            <w:tcW w:w="2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22,571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93"/>
        </w:trPr>
        <w:tc>
          <w:tcPr>
            <w:tcW w:w="7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Accrued employee costs</w:t>
            </w: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52,276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114,285</w:t>
            </w:r>
          </w:p>
        </w:tc>
        <w:tc>
          <w:tcPr>
            <w:tcW w:w="0" w:type="dxa"/>
            <w:vAlign w:val="bottom"/>
          </w:tcPr>
          <w:p>
            <w:pPr>
              <w:spacing w:after="0"/>
              <w:rPr>
                <w:sz w:val="1"/>
                <w:szCs w:val="1"/>
                <w:color w:val="auto"/>
              </w:rPr>
            </w:pPr>
          </w:p>
        </w:tc>
      </w:tr>
      <w:tr>
        <w:trPr>
          <w:trHeight w:val="187"/>
        </w:trPr>
        <w:tc>
          <w:tcPr>
            <w:tcW w:w="7420" w:type="dxa"/>
            <w:vAlign w:val="bottom"/>
          </w:tcPr>
          <w:p>
            <w:pPr>
              <w:ind w:left="300"/>
              <w:spacing w:after="0"/>
              <w:rPr>
                <w:sz w:val="20"/>
                <w:szCs w:val="20"/>
                <w:color w:val="auto"/>
              </w:rPr>
            </w:pPr>
            <w:r>
              <w:rPr>
                <w:rFonts w:ascii="Arial" w:cs="Arial" w:eastAsia="Arial" w:hAnsi="Arial"/>
                <w:sz w:val="14"/>
                <w:szCs w:val="14"/>
                <w:color w:val="auto"/>
              </w:rPr>
              <w:t>Accrued expenses and other current liabilities</w:t>
            </w:r>
          </w:p>
        </w:tc>
        <w:tc>
          <w:tcPr>
            <w:tcW w:w="2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86,911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76,350</w:t>
            </w:r>
          </w:p>
        </w:tc>
        <w:tc>
          <w:tcPr>
            <w:tcW w:w="0" w:type="dxa"/>
            <w:vAlign w:val="bottom"/>
          </w:tcPr>
          <w:p>
            <w:pPr>
              <w:spacing w:after="0"/>
              <w:rPr>
                <w:sz w:val="1"/>
                <w:szCs w:val="1"/>
                <w:color w:val="auto"/>
              </w:rPr>
            </w:pPr>
          </w:p>
        </w:tc>
      </w:tr>
      <w:tr>
        <w:trPr>
          <w:trHeight w:val="193"/>
        </w:trPr>
        <w:tc>
          <w:tcPr>
            <w:tcW w:w="7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Current portion of operating lease liabilities</w:t>
            </w: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19,308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18,487</w:t>
            </w:r>
          </w:p>
        </w:tc>
        <w:tc>
          <w:tcPr>
            <w:tcW w:w="0" w:type="dxa"/>
            <w:vAlign w:val="bottom"/>
          </w:tcPr>
          <w:p>
            <w:pPr>
              <w:spacing w:after="0"/>
              <w:rPr>
                <w:sz w:val="1"/>
                <w:szCs w:val="1"/>
                <w:color w:val="auto"/>
              </w:rPr>
            </w:pPr>
          </w:p>
        </w:tc>
      </w:tr>
      <w:tr>
        <w:trPr>
          <w:trHeight w:val="187"/>
        </w:trPr>
        <w:tc>
          <w:tcPr>
            <w:tcW w:w="742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Income taxes payable, net</w:t>
            </w: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185"/>
        </w:trPr>
        <w:tc>
          <w:tcPr>
            <w:tcW w:w="7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current liabilities</w:t>
            </w:r>
          </w:p>
        </w:tc>
        <w:tc>
          <w:tcPr>
            <w:tcW w:w="2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222,121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495,686</w:t>
            </w:r>
          </w:p>
        </w:tc>
        <w:tc>
          <w:tcPr>
            <w:tcW w:w="0" w:type="dxa"/>
            <w:vAlign w:val="bottom"/>
          </w:tcPr>
          <w:p>
            <w:pPr>
              <w:spacing w:after="0"/>
              <w:rPr>
                <w:sz w:val="1"/>
                <w:szCs w:val="1"/>
                <w:color w:val="auto"/>
              </w:rPr>
            </w:pPr>
          </w:p>
        </w:tc>
      </w:tr>
      <w:tr>
        <w:trPr>
          <w:trHeight w:val="179"/>
        </w:trPr>
        <w:tc>
          <w:tcPr>
            <w:tcW w:w="7420" w:type="dxa"/>
            <w:vAlign w:val="bottom"/>
          </w:tcPr>
          <w:p>
            <w:pPr>
              <w:spacing w:after="0"/>
              <w:rPr>
                <w:sz w:val="20"/>
                <w:szCs w:val="20"/>
                <w:color w:val="auto"/>
              </w:rPr>
            </w:pPr>
            <w:r>
              <w:rPr>
                <w:rFonts w:ascii="Arial" w:cs="Arial" w:eastAsia="Arial" w:hAnsi="Arial"/>
                <w:sz w:val="14"/>
                <w:szCs w:val="14"/>
                <w:color w:val="auto"/>
              </w:rPr>
              <w:t>Long-term borrowings, less current portion</w:t>
            </w:r>
          </w:p>
        </w:tc>
        <w:tc>
          <w:tcPr>
            <w:tcW w:w="2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260,000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742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liabilities, less current portion</w:t>
            </w: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66,173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68,506</w:t>
            </w:r>
          </w:p>
        </w:tc>
        <w:tc>
          <w:tcPr>
            <w:tcW w:w="0" w:type="dxa"/>
            <w:vAlign w:val="bottom"/>
          </w:tcPr>
          <w:p>
            <w:pPr>
              <w:spacing w:after="0"/>
              <w:rPr>
                <w:sz w:val="1"/>
                <w:szCs w:val="1"/>
                <w:color w:val="auto"/>
              </w:rPr>
            </w:pPr>
          </w:p>
        </w:tc>
      </w:tr>
      <w:tr>
        <w:trPr>
          <w:trHeight w:val="187"/>
        </w:trPr>
        <w:tc>
          <w:tcPr>
            <w:tcW w:w="7420" w:type="dxa"/>
            <w:vAlign w:val="bottom"/>
          </w:tcPr>
          <w:p>
            <w:pPr>
              <w:spacing w:after="0"/>
              <w:rPr>
                <w:sz w:val="20"/>
                <w:szCs w:val="20"/>
                <w:color w:val="auto"/>
              </w:rPr>
            </w:pPr>
            <w:r>
              <w:rPr>
                <w:rFonts w:ascii="Arial" w:cs="Arial" w:eastAsia="Arial" w:hAnsi="Arial"/>
                <w:sz w:val="14"/>
                <w:szCs w:val="14"/>
                <w:color w:val="auto"/>
              </w:rPr>
              <w:t>Income taxes payable</w:t>
            </w:r>
          </w:p>
        </w:tc>
        <w:tc>
          <w:tcPr>
            <w:tcW w:w="2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1,790</w:t>
            </w:r>
          </w:p>
        </w:tc>
        <w:tc>
          <w:tcPr>
            <w:tcW w:w="0" w:type="dxa"/>
            <w:vAlign w:val="bottom"/>
          </w:tcPr>
          <w:p>
            <w:pPr>
              <w:spacing w:after="0"/>
              <w:rPr>
                <w:sz w:val="1"/>
                <w:szCs w:val="1"/>
                <w:color w:val="auto"/>
              </w:rPr>
            </w:pPr>
          </w:p>
        </w:tc>
      </w:tr>
      <w:tr>
        <w:trPr>
          <w:trHeight w:val="193"/>
        </w:trPr>
        <w:tc>
          <w:tcPr>
            <w:tcW w:w="7420" w:type="dxa"/>
            <w:vAlign w:val="bottom"/>
            <w:shd w:val="clear" w:color="auto" w:fill="CCEEFF"/>
          </w:tcPr>
          <w:p>
            <w:pPr>
              <w:spacing w:after="0"/>
              <w:rPr>
                <w:sz w:val="20"/>
                <w:szCs w:val="20"/>
                <w:color w:val="auto"/>
              </w:rPr>
            </w:pPr>
            <w:r>
              <w:rPr>
                <w:rFonts w:ascii="Arial" w:cs="Arial" w:eastAsia="Arial" w:hAnsi="Arial"/>
                <w:sz w:val="14"/>
                <w:szCs w:val="14"/>
                <w:color w:val="auto"/>
              </w:rPr>
              <w:t>Deferred tax liabilities, net</w:t>
            </w: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0" w:type="dxa"/>
            <w:vAlign w:val="bottom"/>
          </w:tcPr>
          <w:p>
            <w:pPr>
              <w:spacing w:after="0"/>
              <w:rPr>
                <w:sz w:val="1"/>
                <w:szCs w:val="1"/>
                <w:color w:val="auto"/>
              </w:rPr>
            </w:pPr>
          </w:p>
        </w:tc>
      </w:tr>
      <w:tr>
        <w:trPr>
          <w:trHeight w:val="187"/>
        </w:trPr>
        <w:tc>
          <w:tcPr>
            <w:tcW w:w="74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23,196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22,801</w:t>
            </w:r>
          </w:p>
        </w:tc>
        <w:tc>
          <w:tcPr>
            <w:tcW w:w="0" w:type="dxa"/>
            <w:vAlign w:val="bottom"/>
          </w:tcPr>
          <w:p>
            <w:pPr>
              <w:spacing w:after="0"/>
              <w:rPr>
                <w:sz w:val="1"/>
                <w:szCs w:val="1"/>
                <w:color w:val="auto"/>
              </w:rPr>
            </w:pPr>
          </w:p>
        </w:tc>
      </w:tr>
      <w:tr>
        <w:trPr>
          <w:trHeight w:val="185"/>
        </w:trPr>
        <w:tc>
          <w:tcPr>
            <w:tcW w:w="7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liabilities</w:t>
            </w:r>
          </w:p>
        </w:tc>
        <w:tc>
          <w:tcPr>
            <w:tcW w:w="2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574,208</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589,748</w:t>
            </w:r>
          </w:p>
        </w:tc>
        <w:tc>
          <w:tcPr>
            <w:tcW w:w="0" w:type="dxa"/>
            <w:vAlign w:val="bottom"/>
          </w:tcPr>
          <w:p>
            <w:pPr>
              <w:spacing w:after="0"/>
              <w:rPr>
                <w:sz w:val="1"/>
                <w:szCs w:val="1"/>
                <w:color w:val="auto"/>
              </w:rPr>
            </w:pPr>
          </w:p>
        </w:tc>
      </w:tr>
      <w:tr>
        <w:trPr>
          <w:trHeight w:val="167"/>
        </w:trPr>
        <w:tc>
          <w:tcPr>
            <w:tcW w:w="7420" w:type="dxa"/>
            <w:vAlign w:val="bottom"/>
          </w:tcPr>
          <w:p>
            <w:pPr>
              <w:spacing w:after="0"/>
              <w:rPr>
                <w:sz w:val="20"/>
                <w:szCs w:val="20"/>
                <w:color w:val="auto"/>
              </w:rPr>
            </w:pPr>
            <w:r>
              <w:rPr>
                <w:rFonts w:ascii="Arial" w:cs="Arial" w:eastAsia="Arial" w:hAnsi="Arial"/>
                <w:sz w:val="14"/>
                <w:szCs w:val="14"/>
                <w:color w:val="auto"/>
              </w:rPr>
              <w:t>Commitments and contingencies (Refer to Note 23)</w:t>
            </w:r>
          </w:p>
        </w:tc>
        <w:tc>
          <w:tcPr>
            <w:tcW w:w="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420" w:type="dxa"/>
            <w:vAlign w:val="bottom"/>
            <w:shd w:val="clear" w:color="auto" w:fill="CCEEFF"/>
          </w:tcPr>
          <w:p>
            <w:pPr>
              <w:spacing w:after="0"/>
              <w:rPr>
                <w:sz w:val="20"/>
                <w:szCs w:val="20"/>
                <w:color w:val="auto"/>
              </w:rPr>
            </w:pPr>
            <w:r>
              <w:rPr>
                <w:rFonts w:ascii="Arial" w:cs="Arial" w:eastAsia="Arial" w:hAnsi="Arial"/>
                <w:sz w:val="14"/>
                <w:szCs w:val="14"/>
                <w:color w:val="auto"/>
              </w:rPr>
              <w:t>Preferred stock, $0.001 par value; 15,000,000 shares authorized, none issued</w:t>
            </w:r>
          </w:p>
        </w:tc>
        <w:tc>
          <w:tcPr>
            <w:tcW w:w="28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7420" w:type="dxa"/>
            <w:vAlign w:val="bottom"/>
          </w:tcPr>
          <w:p>
            <w:pPr>
              <w:spacing w:after="0"/>
              <w:rPr>
                <w:sz w:val="20"/>
                <w:szCs w:val="20"/>
                <w:color w:val="auto"/>
              </w:rPr>
            </w:pPr>
            <w:r>
              <w:rPr>
                <w:rFonts w:ascii="Arial" w:cs="Arial" w:eastAsia="Arial" w:hAnsi="Arial"/>
                <w:sz w:val="14"/>
                <w:szCs w:val="14"/>
                <w:color w:val="auto"/>
              </w:rPr>
              <w:t>ExlService Holdings, Inc. Stockholders’ equity:</w:t>
            </w: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98"/>
              </w:rPr>
              <w:t>Common stock, $0.001 par value; 100,000,000 shares authorized, 39,794,154 shares issued and 33,328,744 shares</w:t>
            </w:r>
          </w:p>
        </w:tc>
        <w:tc>
          <w:tcPr>
            <w:tcW w:w="2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42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w w:val="94"/>
              </w:rPr>
              <w:t>outstanding as of March 31, 2022 and 39,508,340 shares issued and 33,291,482 shares outstanding as of December 31,</w:t>
            </w:r>
          </w:p>
        </w:tc>
        <w:tc>
          <w:tcPr>
            <w:tcW w:w="28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6"/>
        </w:trPr>
        <w:tc>
          <w:tcPr>
            <w:tcW w:w="7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2021</w:t>
            </w:r>
          </w:p>
        </w:tc>
        <w:tc>
          <w:tcPr>
            <w:tcW w:w="280" w:type="dxa"/>
            <w:vAlign w:val="bottom"/>
            <w:shd w:val="clear" w:color="auto" w:fill="CCEEFF"/>
          </w:tcPr>
          <w:p>
            <w:pPr>
              <w:spacing w:after="0"/>
              <w:rPr>
                <w:sz w:val="16"/>
                <w:szCs w:val="16"/>
                <w:color w:val="auto"/>
              </w:rPr>
            </w:pPr>
          </w:p>
        </w:tc>
        <w:tc>
          <w:tcPr>
            <w:tcW w:w="1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420" w:type="dxa"/>
            <w:vAlign w:val="bottom"/>
          </w:tcPr>
          <w:p>
            <w:pPr>
              <w:ind w:left="300"/>
              <w:spacing w:after="0"/>
              <w:rPr>
                <w:sz w:val="20"/>
                <w:szCs w:val="20"/>
                <w:color w:val="auto"/>
              </w:rPr>
            </w:pPr>
            <w:r>
              <w:rPr>
                <w:rFonts w:ascii="Arial" w:cs="Arial" w:eastAsia="Arial" w:hAnsi="Arial"/>
                <w:sz w:val="14"/>
                <w:szCs w:val="14"/>
                <w:color w:val="auto"/>
              </w:rPr>
              <w:t>Additional paid-in capital</w:t>
            </w:r>
          </w:p>
        </w:tc>
        <w:tc>
          <w:tcPr>
            <w:tcW w:w="6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406,966</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395,742</w:t>
            </w:r>
          </w:p>
        </w:tc>
      </w:tr>
      <w:tr>
        <w:trPr>
          <w:trHeight w:val="193"/>
        </w:trPr>
        <w:tc>
          <w:tcPr>
            <w:tcW w:w="7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Retained earnings</w:t>
            </w:r>
          </w:p>
        </w:tc>
        <w:tc>
          <w:tcPr>
            <w:tcW w:w="6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792,315</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756,137</w:t>
            </w:r>
          </w:p>
        </w:tc>
      </w:tr>
      <w:tr>
        <w:trPr>
          <w:trHeight w:val="187"/>
        </w:trPr>
        <w:tc>
          <w:tcPr>
            <w:tcW w:w="742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Accumulated other comprehensive income/(loss)</w:t>
            </w:r>
          </w:p>
        </w:tc>
        <w:tc>
          <w:tcPr>
            <w:tcW w:w="6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(98,306)</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(89,474)</w:t>
            </w:r>
          </w:p>
        </w:tc>
      </w:tr>
      <w:tr>
        <w:trPr>
          <w:trHeight w:val="185"/>
        </w:trPr>
        <w:tc>
          <w:tcPr>
            <w:tcW w:w="7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including shares held in treasury</w:t>
            </w:r>
          </w:p>
        </w:tc>
        <w:tc>
          <w:tcPr>
            <w:tcW w:w="6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1,101,015</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1,062,445</w:t>
            </w:r>
          </w:p>
        </w:tc>
      </w:tr>
      <w:tr>
        <w:trPr>
          <w:trHeight w:val="179"/>
        </w:trPr>
        <w:tc>
          <w:tcPr>
            <w:tcW w:w="74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Less: 6,465,410 shares as of March 31, 2022 and 6,216,858 shares as of December 31, 2021, held in treasury, at cost</w:t>
            </w:r>
          </w:p>
        </w:tc>
        <w:tc>
          <w:tcPr>
            <w:tcW w:w="6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(400,674)</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(369,289)</w:t>
            </w:r>
          </w:p>
        </w:tc>
      </w:tr>
      <w:tr>
        <w:trPr>
          <w:trHeight w:val="185"/>
        </w:trPr>
        <w:tc>
          <w:tcPr>
            <w:tcW w:w="7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6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700,341</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693,156</w:t>
            </w:r>
          </w:p>
        </w:tc>
      </w:tr>
      <w:tr>
        <w:trPr>
          <w:trHeight w:val="28"/>
        </w:trPr>
        <w:tc>
          <w:tcPr>
            <w:tcW w:w="7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7"/>
        </w:trPr>
        <w:tc>
          <w:tcPr>
            <w:tcW w:w="7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equity</w:t>
            </w:r>
          </w:p>
        </w:tc>
        <w:tc>
          <w:tcPr>
            <w:tcW w:w="6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700,341</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693,156</w:t>
            </w:r>
          </w:p>
        </w:tc>
      </w:tr>
      <w:tr>
        <w:trPr>
          <w:trHeight w:val="184"/>
        </w:trPr>
        <w:tc>
          <w:tcPr>
            <w:tcW w:w="742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68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1,274,549</w:t>
            </w:r>
          </w:p>
        </w:tc>
        <w:tc>
          <w:tcPr>
            <w:tcW w:w="100" w:type="dxa"/>
            <w:vAlign w:val="bottom"/>
          </w:tcPr>
          <w:p>
            <w:pPr>
              <w:spacing w:after="0"/>
              <w:rPr>
                <w:sz w:val="16"/>
                <w:szCs w:val="16"/>
                <w:color w:val="auto"/>
              </w:rPr>
            </w:pPr>
          </w:p>
        </w:tc>
        <w:tc>
          <w:tcPr>
            <w:tcW w:w="6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1,282,904</w:t>
            </w:r>
          </w:p>
        </w:tc>
      </w:tr>
      <w:tr>
        <w:trPr>
          <w:trHeight w:val="20"/>
        </w:trPr>
        <w:tc>
          <w:tcPr>
            <w:tcW w:w="7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See accompanying notes to unaudited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15"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101"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CONSOLIDATED STATEMENTS OF INCOME (UNAUDITED)</w:t>
      </w:r>
    </w:p>
    <w:p>
      <w:pPr>
        <w:spacing w:after="0" w:line="21"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3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7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522"/>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62"/>
        </w:trPr>
        <w:tc>
          <w:tcPr>
            <w:tcW w:w="75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2022</w:t>
            </w: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94"/>
        </w:trPr>
        <w:tc>
          <w:tcPr>
            <w:tcW w:w="752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Revenues, net</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329,208</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261,415</w:t>
            </w:r>
          </w:p>
        </w:tc>
        <w:tc>
          <w:tcPr>
            <w:tcW w:w="0" w:type="dxa"/>
            <w:vAlign w:val="bottom"/>
          </w:tcPr>
          <w:p>
            <w:pPr>
              <w:spacing w:after="0"/>
              <w:rPr>
                <w:sz w:val="1"/>
                <w:szCs w:val="1"/>
                <w:color w:val="auto"/>
              </w:rPr>
            </w:pPr>
          </w:p>
        </w:tc>
      </w:tr>
      <w:tr>
        <w:trPr>
          <w:trHeight w:val="202"/>
        </w:trPr>
        <w:tc>
          <w:tcPr>
            <w:tcW w:w="75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0"/>
                <w:szCs w:val="20"/>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207,516</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158,821</w:t>
            </w:r>
          </w:p>
        </w:tc>
        <w:tc>
          <w:tcPr>
            <w:tcW w:w="0" w:type="dxa"/>
            <w:vAlign w:val="bottom"/>
          </w:tcPr>
          <w:p>
            <w:pPr>
              <w:spacing w:after="0"/>
              <w:rPr>
                <w:sz w:val="1"/>
                <w:szCs w:val="1"/>
                <w:color w:val="auto"/>
              </w:rPr>
            </w:pPr>
          </w:p>
        </w:tc>
      </w:tr>
      <w:tr>
        <w:trPr>
          <w:trHeight w:val="194"/>
        </w:trPr>
        <w:tc>
          <w:tcPr>
            <w:tcW w:w="7520" w:type="dxa"/>
            <w:vAlign w:val="bottom"/>
            <w:shd w:val="clear" w:color="auto" w:fill="CCEEFF"/>
          </w:tcPr>
          <w:p>
            <w:pPr>
              <w:ind w:left="20"/>
              <w:spacing w:after="0" w:line="194" w:lineRule="exact"/>
              <w:rPr>
                <w:sz w:val="20"/>
                <w:szCs w:val="20"/>
                <w:color w:val="auto"/>
              </w:rPr>
            </w:pPr>
            <w:r>
              <w:rPr>
                <w:rFonts w:ascii="Arial" w:cs="Arial" w:eastAsia="Arial" w:hAnsi="Arial"/>
                <w:sz w:val="16"/>
                <w:szCs w:val="16"/>
                <w:color w:val="auto"/>
              </w:rPr>
              <w:t xml:space="preserve">Gross profit </w:t>
            </w:r>
            <w:r>
              <w:rPr>
                <w:rFonts w:ascii="Arial" w:cs="Arial" w:eastAsia="Arial" w:hAnsi="Arial"/>
                <w:sz w:val="20"/>
                <w:szCs w:val="20"/>
                <w:color w:val="auto"/>
                <w:vertAlign w:val="superscript"/>
              </w:rPr>
              <w:t>(1)</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121,692</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102,594</w:t>
            </w:r>
          </w:p>
        </w:tc>
        <w:tc>
          <w:tcPr>
            <w:tcW w:w="0" w:type="dxa"/>
            <w:vAlign w:val="bottom"/>
          </w:tcPr>
          <w:p>
            <w:pPr>
              <w:spacing w:after="0"/>
              <w:rPr>
                <w:sz w:val="1"/>
                <w:szCs w:val="1"/>
                <w:color w:val="auto"/>
              </w:rPr>
            </w:pPr>
          </w:p>
        </w:tc>
      </w:tr>
      <w:tr>
        <w:trPr>
          <w:trHeight w:val="181"/>
        </w:trPr>
        <w:tc>
          <w:tcPr>
            <w:tcW w:w="7520" w:type="dxa"/>
            <w:vAlign w:val="bottom"/>
          </w:tcPr>
          <w:p>
            <w:pPr>
              <w:ind w:left="20"/>
              <w:spacing w:after="0" w:line="181" w:lineRule="exact"/>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 expenses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39,945</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30,703</w:t>
            </w:r>
          </w:p>
        </w:tc>
        <w:tc>
          <w:tcPr>
            <w:tcW w:w="0" w:type="dxa"/>
            <w:vAlign w:val="bottom"/>
          </w:tcPr>
          <w:p>
            <w:pPr>
              <w:spacing w:after="0"/>
              <w:rPr>
                <w:sz w:val="1"/>
                <w:szCs w:val="1"/>
                <w:color w:val="auto"/>
              </w:rPr>
            </w:pPr>
          </w:p>
        </w:tc>
      </w:tr>
      <w:tr>
        <w:trPr>
          <w:trHeight w:val="201"/>
        </w:trPr>
        <w:tc>
          <w:tcPr>
            <w:tcW w:w="7520" w:type="dxa"/>
            <w:vAlign w:val="bottom"/>
          </w:tcPr>
          <w:p>
            <w:pPr>
              <w:ind w:left="300"/>
              <w:spacing w:after="0"/>
              <w:rPr>
                <w:sz w:val="20"/>
                <w:szCs w:val="20"/>
                <w:color w:val="auto"/>
              </w:rPr>
            </w:pPr>
            <w:r>
              <w:rPr>
                <w:rFonts w:ascii="Arial" w:cs="Arial" w:eastAsia="Arial" w:hAnsi="Arial"/>
                <w:sz w:val="16"/>
                <w:szCs w:val="16"/>
                <w:color w:val="auto"/>
              </w:rPr>
              <w:t>Selling and marketing expenses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24,170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18,235</w:t>
            </w:r>
          </w:p>
        </w:tc>
        <w:tc>
          <w:tcPr>
            <w:tcW w:w="0" w:type="dxa"/>
            <w:vAlign w:val="bottom"/>
          </w:tcPr>
          <w:p>
            <w:pPr>
              <w:spacing w:after="0"/>
              <w:rPr>
                <w:sz w:val="1"/>
                <w:szCs w:val="1"/>
                <w:color w:val="auto"/>
              </w:rPr>
            </w:pPr>
          </w:p>
        </w:tc>
      </w:tr>
      <w:tr>
        <w:trPr>
          <w:trHeight w:val="202"/>
        </w:trPr>
        <w:tc>
          <w:tcPr>
            <w:tcW w:w="7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13,602</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12,101</w:t>
            </w:r>
          </w:p>
        </w:tc>
        <w:tc>
          <w:tcPr>
            <w:tcW w:w="0" w:type="dxa"/>
            <w:vAlign w:val="bottom"/>
          </w:tcPr>
          <w:p>
            <w:pPr>
              <w:spacing w:after="0"/>
              <w:rPr>
                <w:sz w:val="1"/>
                <w:szCs w:val="1"/>
                <w:color w:val="auto"/>
              </w:rPr>
            </w:pPr>
          </w:p>
        </w:tc>
      </w:tr>
      <w:tr>
        <w:trPr>
          <w:trHeight w:val="193"/>
        </w:trPr>
        <w:tc>
          <w:tcPr>
            <w:tcW w:w="752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77,717</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61,039</w:t>
            </w:r>
          </w:p>
        </w:tc>
        <w:tc>
          <w:tcPr>
            <w:tcW w:w="0" w:type="dxa"/>
            <w:vAlign w:val="bottom"/>
          </w:tcPr>
          <w:p>
            <w:pPr>
              <w:spacing w:after="0"/>
              <w:rPr>
                <w:sz w:val="1"/>
                <w:szCs w:val="1"/>
                <w:color w:val="auto"/>
              </w:rPr>
            </w:pPr>
          </w:p>
        </w:tc>
      </w:tr>
      <w:tr>
        <w:trPr>
          <w:trHeight w:val="194"/>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43,975</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41,555</w:t>
            </w:r>
          </w:p>
        </w:tc>
        <w:tc>
          <w:tcPr>
            <w:tcW w:w="0" w:type="dxa"/>
            <w:vAlign w:val="bottom"/>
          </w:tcPr>
          <w:p>
            <w:pPr>
              <w:spacing w:after="0"/>
              <w:rPr>
                <w:sz w:val="1"/>
                <w:szCs w:val="1"/>
                <w:color w:val="auto"/>
              </w:rPr>
            </w:pPr>
          </w:p>
        </w:tc>
      </w:tr>
      <w:tr>
        <w:trPr>
          <w:trHeight w:val="201"/>
        </w:trPr>
        <w:tc>
          <w:tcPr>
            <w:tcW w:w="7520" w:type="dxa"/>
            <w:vAlign w:val="bottom"/>
          </w:tcPr>
          <w:p>
            <w:pPr>
              <w:ind w:left="20"/>
              <w:spacing w:after="0"/>
              <w:rPr>
                <w:sz w:val="20"/>
                <w:szCs w:val="20"/>
                <w:color w:val="auto"/>
              </w:rPr>
            </w:pPr>
            <w:r>
              <w:rPr>
                <w:rFonts w:ascii="Arial" w:cs="Arial" w:eastAsia="Arial" w:hAnsi="Arial"/>
                <w:sz w:val="16"/>
                <w:szCs w:val="16"/>
                <w:color w:val="auto"/>
              </w:rPr>
              <w:t>Foreign exchange gain, net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1,756</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02"/>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w:t>
            </w:r>
          </w:p>
        </w:tc>
        <w:tc>
          <w:tcPr>
            <w:tcW w:w="0" w:type="dxa"/>
            <w:vAlign w:val="bottom"/>
          </w:tcPr>
          <w:p>
            <w:pPr>
              <w:spacing w:after="0"/>
              <w:rPr>
                <w:sz w:val="1"/>
                <w:szCs w:val="1"/>
                <w:color w:val="auto"/>
              </w:rPr>
            </w:pPr>
          </w:p>
        </w:tc>
      </w:tr>
      <w:tr>
        <w:trPr>
          <w:trHeight w:val="201"/>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1,410</w:t>
            </w:r>
          </w:p>
        </w:tc>
        <w:tc>
          <w:tcPr>
            <w:tcW w:w="0" w:type="dxa"/>
            <w:vAlign w:val="bottom"/>
          </w:tcPr>
          <w:p>
            <w:pPr>
              <w:spacing w:after="0"/>
              <w:rPr>
                <w:sz w:val="1"/>
                <w:szCs w:val="1"/>
                <w:color w:val="auto"/>
              </w:rPr>
            </w:pPr>
          </w:p>
        </w:tc>
      </w:tr>
      <w:tr>
        <w:trPr>
          <w:trHeight w:val="194"/>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 expense and earnings from equity affiliates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47,266</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40,925</w:t>
            </w:r>
          </w:p>
        </w:tc>
        <w:tc>
          <w:tcPr>
            <w:tcW w:w="0" w:type="dxa"/>
            <w:vAlign w:val="bottom"/>
          </w:tcPr>
          <w:p>
            <w:pPr>
              <w:spacing w:after="0"/>
              <w:rPr>
                <w:sz w:val="1"/>
                <w:szCs w:val="1"/>
                <w:color w:val="auto"/>
              </w:rPr>
            </w:pPr>
          </w:p>
        </w:tc>
      </w:tr>
      <w:tr>
        <w:trPr>
          <w:trHeight w:val="201"/>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11,202</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8,958</w:t>
            </w:r>
          </w:p>
        </w:tc>
        <w:tc>
          <w:tcPr>
            <w:tcW w:w="0" w:type="dxa"/>
            <w:vAlign w:val="bottom"/>
          </w:tcPr>
          <w:p>
            <w:pPr>
              <w:spacing w:after="0"/>
              <w:rPr>
                <w:sz w:val="1"/>
                <w:szCs w:val="1"/>
                <w:color w:val="auto"/>
              </w:rPr>
            </w:pPr>
          </w:p>
        </w:tc>
      </w:tr>
      <w:tr>
        <w:trPr>
          <w:trHeight w:val="194"/>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earnings from equity affiliates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36,064</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31,967</w:t>
            </w:r>
          </w:p>
        </w:tc>
        <w:tc>
          <w:tcPr>
            <w:tcW w:w="0" w:type="dxa"/>
            <w:vAlign w:val="bottom"/>
          </w:tcPr>
          <w:p>
            <w:pPr>
              <w:spacing w:after="0"/>
              <w:rPr>
                <w:sz w:val="1"/>
                <w:szCs w:val="1"/>
                <w:color w:val="auto"/>
              </w:rPr>
            </w:pPr>
          </w:p>
        </w:tc>
      </w:tr>
      <w:tr>
        <w:trPr>
          <w:trHeight w:val="201"/>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Gain/(loss) from equity-method investment</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9"/>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ExlService Holdings, Inc. stockholders</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36,178</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31,931</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per share attributable to ExlService Holdings, Inc.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01"/>
        </w:trPr>
        <w:tc>
          <w:tcPr>
            <w:tcW w:w="7520" w:type="dxa"/>
            <w:vAlign w:val="bottom"/>
          </w:tcPr>
          <w:p>
            <w:pPr>
              <w:ind w:left="30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1.07</w:t>
            </w:r>
          </w:p>
        </w:tc>
        <w:tc>
          <w:tcPr>
            <w:tcW w:w="16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155"/>
        </w:trPr>
        <w:tc>
          <w:tcPr>
            <w:tcW w:w="75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2"/>
              </w:rPr>
              <w:t>Weighted-average number of shares used in computing earnings per share attributable to ExlService Holdings Inc.</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20" w:type="dxa"/>
            <w:vAlign w:val="bottom"/>
          </w:tcPr>
          <w:p>
            <w:pPr>
              <w:ind w:left="30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33,442,038</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33,734,118</w:t>
            </w:r>
          </w:p>
        </w:tc>
        <w:tc>
          <w:tcPr>
            <w:tcW w:w="0" w:type="dxa"/>
            <w:vAlign w:val="bottom"/>
          </w:tcPr>
          <w:p>
            <w:pPr>
              <w:spacing w:after="0"/>
              <w:rPr>
                <w:sz w:val="1"/>
                <w:szCs w:val="1"/>
                <w:color w:val="auto"/>
              </w:rPr>
            </w:pPr>
          </w:p>
        </w:tc>
      </w:tr>
      <w:tr>
        <w:trPr>
          <w:trHeight w:val="202"/>
        </w:trPr>
        <w:tc>
          <w:tcPr>
            <w:tcW w:w="7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33,894,868</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34,318,318</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20"/>
        <w:spacing w:after="0"/>
        <w:rPr>
          <w:sz w:val="20"/>
          <w:szCs w:val="20"/>
          <w:color w:val="auto"/>
        </w:rPr>
      </w:pPr>
      <w:r>
        <w:rPr>
          <w:rFonts w:ascii="Arial" w:cs="Arial" w:eastAsia="Arial" w:hAnsi="Arial"/>
          <w:sz w:val="16"/>
          <w:szCs w:val="16"/>
          <w:i w:val="1"/>
          <w:iCs w:val="1"/>
          <w:color w:val="auto"/>
        </w:rPr>
        <w:t>See accompanying notes to unaudited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0820"/>
          </w:cols>
          <w:pgMar w:left="320" w:top="337" w:right="759" w:bottom="1440" w:gutter="0" w:footer="0" w:header="0"/>
        </w:sectPr>
      </w:pPr>
    </w:p>
    <w:bookmarkStart w:id="5" w:name="page6"/>
    <w:bookmarkEnd w:id="5"/>
    <w:p>
      <w:pPr>
        <w:ind w:left="5"/>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15" w:lineRule="exact"/>
        <w:rPr>
          <w:sz w:val="20"/>
          <w:szCs w:val="20"/>
          <w:color w:val="auto"/>
        </w:rPr>
      </w:pPr>
    </w:p>
    <w:p>
      <w:pPr>
        <w:ind w:left="4465"/>
        <w:spacing w:after="0"/>
        <w:rPr>
          <w:sz w:val="20"/>
          <w:szCs w:val="20"/>
          <w:color w:val="auto"/>
        </w:rPr>
      </w:pPr>
      <w:r>
        <w:rPr>
          <w:rFonts w:ascii="Arial" w:cs="Arial" w:eastAsia="Arial" w:hAnsi="Arial"/>
          <w:sz w:val="16"/>
          <w:szCs w:val="16"/>
          <w:b w:val="1"/>
          <w:bCs w:val="1"/>
          <w:color w:val="auto"/>
        </w:rPr>
        <w:t>EXLSERVICE HOLDINGS, INC.</w:t>
      </w:r>
    </w:p>
    <w:p>
      <w:pPr>
        <w:spacing w:after="0" w:line="101" w:lineRule="exact"/>
        <w:rPr>
          <w:sz w:val="20"/>
          <w:szCs w:val="20"/>
          <w:color w:val="auto"/>
        </w:rPr>
      </w:pPr>
    </w:p>
    <w:p>
      <w:pPr>
        <w:ind w:left="2685"/>
        <w:spacing w:after="0"/>
        <w:rPr>
          <w:sz w:val="20"/>
          <w:szCs w:val="20"/>
          <w:color w:val="auto"/>
        </w:rPr>
      </w:pPr>
      <w:r>
        <w:rPr>
          <w:rFonts w:ascii="Arial" w:cs="Arial" w:eastAsia="Arial" w:hAnsi="Arial"/>
          <w:sz w:val="16"/>
          <w:szCs w:val="16"/>
          <w:b w:val="1"/>
          <w:bCs w:val="1"/>
          <w:color w:val="auto"/>
        </w:rPr>
        <w:t>CONSOLIDATED STATEMENTS OF COMPREHENSIVE INCOME (UNAUDITED)</w:t>
      </w:r>
    </w:p>
    <w:p>
      <w:pPr>
        <w:spacing w:after="0" w:line="21"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(In thousands)</w:t>
      </w:r>
    </w:p>
    <w:p>
      <w:pPr>
        <w:spacing w:after="0" w:line="106" w:lineRule="exact"/>
        <w:rPr>
          <w:sz w:val="20"/>
          <w:szCs w:val="20"/>
          <w:color w:val="auto"/>
        </w:rPr>
      </w:pPr>
    </w:p>
    <w:tbl>
      <w:tblPr>
        <w:tblLayout w:type="fixed"/>
        <w:tblInd w:w="225" w:type="dxa"/>
        <w:tblCellMar>
          <w:top w:w="0" w:type="dxa"/>
          <w:left w:w="0" w:type="dxa"/>
          <w:bottom w:w="0" w:type="dxa"/>
          <w:right w:w="0" w:type="dxa"/>
        </w:tblCellMar>
      </w:tblPr>
      <w:tr>
        <w:trPr>
          <w:trHeight w:val="170"/>
        </w:trPr>
        <w:tc>
          <w:tcPr>
            <w:tcW w:w="7960" w:type="dxa"/>
            <w:vAlign w:val="bottom"/>
          </w:tcPr>
          <w:p>
            <w:pPr>
              <w:spacing w:after="0"/>
              <w:rPr>
                <w:sz w:val="14"/>
                <w:szCs w:val="14"/>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r>
      <w:tr>
        <w:trPr>
          <w:trHeight w:val="162"/>
        </w:trPr>
        <w:tc>
          <w:tcPr>
            <w:tcW w:w="79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4"/>
                <w:szCs w:val="14"/>
                <w:color w:val="auto"/>
              </w:rPr>
            </w:pPr>
          </w:p>
        </w:tc>
      </w:tr>
      <w:tr>
        <w:trPr>
          <w:trHeight w:val="194"/>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shd w:val="clear" w:color="auto" w:fill="CCEEFF"/>
          </w:tcPr>
          <w:p>
            <w:pPr>
              <w:jc w:val="right"/>
              <w:ind w:right="647"/>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36,178</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05"/>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31,931</w:t>
            </w:r>
          </w:p>
        </w:tc>
      </w:tr>
      <w:tr>
        <w:trPr>
          <w:trHeight w:val="187"/>
        </w:trPr>
        <w:tc>
          <w:tcPr>
            <w:tcW w:w="7960" w:type="dxa"/>
            <w:vAlign w:val="bottom"/>
          </w:tcPr>
          <w:p>
            <w:pPr>
              <w:ind w:left="60"/>
              <w:spacing w:after="0"/>
              <w:rPr>
                <w:sz w:val="20"/>
                <w:szCs w:val="20"/>
                <w:color w:val="auto"/>
              </w:rPr>
            </w:pPr>
            <w:r>
              <w:rPr>
                <w:rFonts w:ascii="Arial" w:cs="Arial" w:eastAsia="Arial" w:hAnsi="Arial"/>
                <w:sz w:val="14"/>
                <w:szCs w:val="14"/>
                <w:b w:val="1"/>
                <w:bCs w:val="1"/>
                <w:color w:val="auto"/>
              </w:rPr>
              <w:t>Other comprehensive income/(loss):</w:t>
            </w: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4"/>
        </w:trPr>
        <w:tc>
          <w:tcPr>
            <w:tcW w:w="79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Unrealized gain/(loss) on cash flow hedges</w:t>
            </w: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r>
      <w:tr>
        <w:trPr>
          <w:trHeight w:val="201"/>
        </w:trPr>
        <w:tc>
          <w:tcPr>
            <w:tcW w:w="7960" w:type="dxa"/>
            <w:vAlign w:val="bottom"/>
          </w:tcPr>
          <w:p>
            <w:pPr>
              <w:ind w:left="300"/>
              <w:spacing w:after="0"/>
              <w:rPr>
                <w:sz w:val="20"/>
                <w:szCs w:val="20"/>
                <w:color w:val="auto"/>
              </w:rPr>
            </w:pPr>
            <w:r>
              <w:rPr>
                <w:rFonts w:ascii="Arial" w:cs="Arial" w:eastAsia="Arial" w:hAnsi="Arial"/>
                <w:sz w:val="14"/>
                <w:szCs w:val="14"/>
                <w:color w:val="auto"/>
              </w:rPr>
              <w:t>Foreign currency translation loss</w:t>
            </w:r>
          </w:p>
        </w:tc>
        <w:tc>
          <w:tcPr>
            <w:tcW w:w="8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(7,445)</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(1,911)</w:t>
            </w:r>
          </w:p>
        </w:tc>
      </w:tr>
      <w:tr>
        <w:trPr>
          <w:trHeight w:val="190"/>
        </w:trPr>
        <w:tc>
          <w:tcPr>
            <w:tcW w:w="79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Reclassification adjustments</w:t>
            </w: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02"/>
        </w:trPr>
        <w:tc>
          <w:tcPr>
            <w:tcW w:w="7960" w:type="dxa"/>
            <w:vAlign w:val="bottom"/>
          </w:tcPr>
          <w:p>
            <w:pPr>
              <w:ind w:left="300"/>
              <w:spacing w:after="0" w:line="202" w:lineRule="exact"/>
              <w:rPr>
                <w:sz w:val="20"/>
                <w:szCs w:val="20"/>
                <w:color w:val="auto"/>
              </w:rPr>
            </w:pPr>
            <w:r>
              <w:rPr>
                <w:rFonts w:ascii="Arial" w:cs="Arial" w:eastAsia="Arial" w:hAnsi="Arial"/>
                <w:sz w:val="14"/>
                <w:szCs w:val="14"/>
                <w:color w:val="auto"/>
              </w:rPr>
              <w:t>Gain on cash flow hedges</w:t>
            </w:r>
            <w:r>
              <w:rPr>
                <w:rFonts w:ascii="Arial" w:cs="Arial" w:eastAsia="Arial" w:hAnsi="Arial"/>
                <w:sz w:val="18"/>
                <w:szCs w:val="18"/>
                <w:color w:val="auto"/>
                <w:vertAlign w:val="superscript"/>
              </w:rPr>
              <w:t>(1)</w:t>
            </w:r>
          </w:p>
        </w:tc>
        <w:tc>
          <w:tcPr>
            <w:tcW w:w="8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(1,989)</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(2,829)</w:t>
            </w:r>
          </w:p>
        </w:tc>
      </w:tr>
      <w:tr>
        <w:trPr>
          <w:trHeight w:val="202"/>
        </w:trPr>
        <w:tc>
          <w:tcPr>
            <w:tcW w:w="7960" w:type="dxa"/>
            <w:vAlign w:val="bottom"/>
            <w:shd w:val="clear" w:color="auto" w:fill="CCEEFF"/>
          </w:tcPr>
          <w:p>
            <w:pPr>
              <w:ind w:left="300"/>
              <w:spacing w:after="0" w:line="202" w:lineRule="exact"/>
              <w:rPr>
                <w:sz w:val="20"/>
                <w:szCs w:val="20"/>
                <w:color w:val="auto"/>
              </w:rPr>
            </w:pPr>
            <w:r>
              <w:rPr>
                <w:rFonts w:ascii="Arial" w:cs="Arial" w:eastAsia="Arial" w:hAnsi="Arial"/>
                <w:sz w:val="14"/>
                <w:szCs w:val="14"/>
                <w:color w:val="auto"/>
              </w:rPr>
              <w:t>Retirement benefits</w:t>
            </w:r>
            <w:r>
              <w:rPr>
                <w:rFonts w:ascii="Arial" w:cs="Arial" w:eastAsia="Arial" w:hAnsi="Arial"/>
                <w:sz w:val="18"/>
                <w:szCs w:val="18"/>
                <w:color w:val="auto"/>
                <w:vertAlign w:val="superscript"/>
              </w:rPr>
              <w:t>(2)</w:t>
            </w: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02"/>
        </w:trPr>
        <w:tc>
          <w:tcPr>
            <w:tcW w:w="796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4"/>
                <w:szCs w:val="14"/>
                <w:b w:val="1"/>
                <w:bCs w:val="1"/>
                <w:color w:val="auto"/>
              </w:rPr>
              <w:t>Income tax effects relating to above</w:t>
            </w:r>
            <w:r>
              <w:rPr>
                <w:rFonts w:ascii="Arial" w:cs="Arial" w:eastAsia="Arial" w:hAnsi="Arial"/>
                <w:sz w:val="18"/>
                <w:szCs w:val="18"/>
                <w:b w:val="1"/>
                <w:bCs w:val="1"/>
                <w:color w:val="auto"/>
                <w:vertAlign w:val="superscript"/>
              </w:rPr>
              <w:t>(3)</w:t>
            </w:r>
          </w:p>
        </w:tc>
        <w:tc>
          <w:tcPr>
            <w:tcW w:w="8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r>
      <w:tr>
        <w:trPr>
          <w:trHeight w:val="194"/>
        </w:trPr>
        <w:tc>
          <w:tcPr>
            <w:tcW w:w="796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Total other comprehensive income/(loss)</w:t>
            </w:r>
          </w:p>
        </w:tc>
        <w:tc>
          <w:tcPr>
            <w:tcW w:w="820" w:type="dxa"/>
            <w:vAlign w:val="bottom"/>
            <w:tcBorders>
              <w:bottom w:val="single" w:sz="8" w:color="auto"/>
            </w:tcBorders>
            <w:shd w:val="clear" w:color="auto" w:fill="CCEEFF"/>
          </w:tcPr>
          <w:p>
            <w:pPr>
              <w:jc w:val="right"/>
              <w:ind w:right="647"/>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(8,832)</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(3,769)</w:t>
            </w:r>
          </w:p>
        </w:tc>
      </w:tr>
      <w:tr>
        <w:trPr>
          <w:trHeight w:val="194"/>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Total comprehensive income</w:t>
            </w:r>
          </w:p>
        </w:tc>
        <w:tc>
          <w:tcPr>
            <w:tcW w:w="820" w:type="dxa"/>
            <w:vAlign w:val="bottom"/>
            <w:tcBorders>
              <w:bottom w:val="single" w:sz="8" w:color="auto"/>
            </w:tcBorders>
          </w:tcPr>
          <w:p>
            <w:pPr>
              <w:jc w:val="right"/>
              <w:ind w:right="647"/>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27,346</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ind w:right="705"/>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28,162</w:t>
            </w:r>
          </w:p>
        </w:tc>
      </w:tr>
      <w:tr>
        <w:trPr>
          <w:trHeight w:val="20"/>
        </w:trPr>
        <w:tc>
          <w:tcPr>
            <w:tcW w:w="7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ind w:left="505" w:hanging="505"/>
        <w:spacing w:after="0" w:line="259" w:lineRule="auto"/>
        <w:tabs>
          <w:tab w:leader="none" w:pos="505"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These are reclassified to net income and are included in cost of revenues and operating expenses, as applicable in the unaudited consolidated statements of income. Refer to Note 16 - Derivatives and Hedge Accounting to the unaudited consolidated financial statements.</w:t>
      </w:r>
    </w:p>
    <w:p>
      <w:pPr>
        <w:spacing w:after="0" w:line="175" w:lineRule="exact"/>
        <w:rPr>
          <w:rFonts w:ascii="Arial" w:cs="Arial" w:eastAsia="Arial" w:hAnsi="Arial"/>
          <w:sz w:val="14"/>
          <w:szCs w:val="14"/>
          <w:i w:val="1"/>
          <w:iCs w:val="1"/>
          <w:color w:val="auto"/>
        </w:rPr>
      </w:pPr>
    </w:p>
    <w:p>
      <w:pPr>
        <w:ind w:left="505" w:hanging="505"/>
        <w:spacing w:after="0" w:line="259" w:lineRule="auto"/>
        <w:tabs>
          <w:tab w:leader="none" w:pos="505"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These are reclassified to net income and are included in other income, net in the unaudited consolidated statements of income. Refer to Note 19 - Employee Benefit Plans to the unaudited consolidated financial statements.</w:t>
      </w:r>
    </w:p>
    <w:p>
      <w:pPr>
        <w:spacing w:after="0" w:line="175" w:lineRule="exact"/>
        <w:rPr>
          <w:rFonts w:ascii="Arial" w:cs="Arial" w:eastAsia="Arial" w:hAnsi="Arial"/>
          <w:sz w:val="14"/>
          <w:szCs w:val="14"/>
          <w:i w:val="1"/>
          <w:iCs w:val="1"/>
          <w:color w:val="auto"/>
        </w:rPr>
      </w:pPr>
    </w:p>
    <w:p>
      <w:pPr>
        <w:ind w:left="505" w:hanging="505"/>
        <w:spacing w:after="0" w:line="259" w:lineRule="auto"/>
        <w:tabs>
          <w:tab w:leader="none" w:pos="505"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These are income tax effects recognized on cash flow hedges, retirement benefits and foreign currency translation gains/(losses). Refer to Note 21 - Income Taxes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
        <w:spacing w:after="0"/>
        <w:rPr>
          <w:sz w:val="20"/>
          <w:szCs w:val="20"/>
          <w:color w:val="auto"/>
        </w:rPr>
      </w:pPr>
      <w:r>
        <w:rPr>
          <w:rFonts w:ascii="Arial" w:cs="Arial" w:eastAsia="Arial" w:hAnsi="Arial"/>
          <w:sz w:val="16"/>
          <w:szCs w:val="16"/>
          <w:i w:val="1"/>
          <w:iCs w:val="1"/>
          <w:color w:val="auto"/>
        </w:rPr>
        <w:t>See accompanying notes to unaudited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59690</wp:posOffset>
            </wp:positionV>
            <wp:extent cx="717423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5"/>
          </w:cols>
          <w:pgMar w:left="315" w:top="337" w:right="339" w:bottom="1440" w:gutter="0" w:footer="0" w:header="0"/>
        </w:sectPr>
      </w:pPr>
    </w:p>
    <w:bookmarkStart w:id="6" w:name="page7"/>
    <w:bookmarkEnd w:id="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15"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101"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CONSOLIDATED STATEMENTS OF EQUITY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March 31, 2022 and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count)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gridSpan w:val="7"/>
          </w:tcPr>
          <w:p>
            <w:pPr>
              <w:ind w:left="460"/>
              <w:spacing w:after="0"/>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8"/>
              </w:rPr>
              <w:t>Accumulated Other</w:t>
            </w:r>
          </w:p>
        </w:tc>
        <w:tc>
          <w:tcPr>
            <w:tcW w:w="2000" w:type="dxa"/>
            <w:vAlign w:val="bottom"/>
            <w:gridSpan w:val="8"/>
          </w:tcPr>
          <w:p>
            <w:pPr>
              <w:ind w:left="520"/>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6"/>
                <w:szCs w:val="16"/>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gridSpan w:val="4"/>
            <w:vMerge w:val="restart"/>
          </w:tcPr>
          <w:p>
            <w:pPr>
              <w:jc w:val="center"/>
              <w:ind w:right="140"/>
              <w:spacing w:after="0" w:line="99" w:lineRule="exact"/>
              <w:rPr>
                <w:sz w:val="20"/>
                <w:szCs w:val="20"/>
                <w:color w:val="auto"/>
              </w:rPr>
            </w:pPr>
            <w:r>
              <w:rPr>
                <w:rFonts w:ascii="Arial" w:cs="Arial" w:eastAsia="Arial" w:hAnsi="Arial"/>
                <w:sz w:val="11"/>
                <w:szCs w:val="11"/>
                <w:b w:val="1"/>
                <w:bCs w:val="1"/>
                <w:color w:val="auto"/>
              </w:rPr>
              <w:t>Paid-in Capital</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3"/>
            <w:vMerge w:val="restart"/>
          </w:tcPr>
          <w:p>
            <w:pPr>
              <w:ind w:left="40"/>
              <w:spacing w:after="0" w:line="99" w:lineRule="exact"/>
              <w:rPr>
                <w:sz w:val="20"/>
                <w:szCs w:val="20"/>
                <w:color w:val="auto"/>
              </w:rPr>
            </w:pPr>
            <w:r>
              <w:rPr>
                <w:rFonts w:ascii="Arial" w:cs="Arial" w:eastAsia="Arial" w:hAnsi="Arial"/>
                <w:sz w:val="11"/>
                <w:szCs w:val="11"/>
                <w:b w:val="1"/>
                <w:bCs w:val="1"/>
                <w:color w:val="auto"/>
              </w:rPr>
              <w:t>Earnings</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gridSpan w:val="3"/>
          </w:tcPr>
          <w:p>
            <w:pPr>
              <w:jc w:val="center"/>
              <w:ind w:right="220"/>
              <w:spacing w:after="0" w:line="60" w:lineRule="exact"/>
              <w:rPr>
                <w:sz w:val="20"/>
                <w:szCs w:val="20"/>
                <w:color w:val="auto"/>
              </w:rPr>
            </w:pPr>
            <w:r>
              <w:rPr>
                <w:rFonts w:ascii="Arial" w:cs="Arial" w:eastAsia="Arial" w:hAnsi="Arial"/>
                <w:sz w:val="6"/>
                <w:szCs w:val="6"/>
                <w:b w:val="1"/>
                <w:bCs w:val="1"/>
                <w:color w:val="auto"/>
              </w:rPr>
              <w:t>Comprehensive</w:t>
            </w: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88"/>
              </w:rPr>
              <w:t>Income/(Loss)</w:t>
            </w:r>
          </w:p>
        </w:tc>
        <w:tc>
          <w:tcPr>
            <w:tcW w:w="9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3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gridSpan w:val="3"/>
            <w:vMerge w:val="restart"/>
          </w:tcPr>
          <w:p>
            <w:pPr>
              <w:ind w:left="26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1040" w:type="dxa"/>
            <w:vAlign w:val="bottom"/>
            <w:gridSpan w:val="4"/>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7"/>
                <w:szCs w:val="7"/>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30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3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January 1, 2022</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39,508,340</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395,742</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756,137</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(89,474)</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(6,216,858)</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(369,289)</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693,156</w:t>
            </w:r>
          </w:p>
        </w:tc>
        <w:tc>
          <w:tcPr>
            <w:tcW w:w="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060" w:type="dxa"/>
            <w:vAlign w:val="bottom"/>
            <w:gridSpan w:val="2"/>
          </w:tcPr>
          <w:p>
            <w:pPr>
              <w:ind w:left="20"/>
              <w:spacing w:after="0"/>
              <w:rPr>
                <w:sz w:val="20"/>
                <w:szCs w:val="20"/>
                <w:color w:val="auto"/>
              </w:rPr>
            </w:pPr>
            <w:r>
              <w:rPr>
                <w:rFonts w:ascii="Arial" w:cs="Arial" w:eastAsia="Arial" w:hAnsi="Arial"/>
                <w:sz w:val="13"/>
                <w:szCs w:val="13"/>
                <w:color w:val="auto"/>
                <w:w w:val="96"/>
              </w:rPr>
              <w:t>Stock issued against stock-based compensation plans</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285,814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ind w:left="1020"/>
              <w:spacing w:after="0"/>
              <w:rPr>
                <w:sz w:val="20"/>
                <w:szCs w:val="20"/>
                <w:color w:val="auto"/>
              </w:rPr>
            </w:pPr>
            <w:r>
              <w:rPr>
                <w:rFonts w:ascii="Arial" w:cs="Arial" w:eastAsia="Arial" w:hAnsi="Arial"/>
                <w:sz w:val="13"/>
                <w:szCs w:val="13"/>
                <w:color w:val="auto"/>
              </w:rPr>
              <w:t>—</w:t>
            </w:r>
          </w:p>
        </w:tc>
        <w:tc>
          <w:tcPr>
            <w:tcW w:w="1040" w:type="dxa"/>
            <w:vAlign w:val="bottom"/>
            <w:gridSpan w:val="4"/>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3"/>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11,224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040" w:type="dxa"/>
            <w:vAlign w:val="bottom"/>
            <w:gridSpan w:val="4"/>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3"/>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11,224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060" w:type="dxa"/>
            <w:vAlign w:val="bottom"/>
            <w:gridSpan w:val="2"/>
          </w:tcPr>
          <w:p>
            <w:pPr>
              <w:ind w:left="20"/>
              <w:spacing w:after="0"/>
              <w:rPr>
                <w:sz w:val="20"/>
                <w:szCs w:val="20"/>
                <w:color w:val="auto"/>
              </w:rPr>
            </w:pPr>
            <w:r>
              <w:rPr>
                <w:rFonts w:ascii="Arial" w:cs="Arial" w:eastAsia="Arial" w:hAnsi="Arial"/>
                <w:sz w:val="13"/>
                <w:szCs w:val="13"/>
                <w:color w:val="auto"/>
              </w:rPr>
              <w:t>Acquisition of treasury stock</w:t>
            </w:r>
          </w:p>
        </w:tc>
        <w:tc>
          <w:tcPr>
            <w:tcW w:w="2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ind w:left="10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(248,552)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(31,385)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(31,385)</w:t>
            </w:r>
          </w:p>
        </w:tc>
        <w:tc>
          <w:tcPr>
            <w:tcW w:w="0" w:type="dxa"/>
            <w:vAlign w:val="bottom"/>
          </w:tcPr>
          <w:p>
            <w:pPr>
              <w:spacing w:after="0"/>
              <w:rPr>
                <w:sz w:val="1"/>
                <w:szCs w:val="1"/>
                <w:color w:val="auto"/>
              </w:rPr>
            </w:pPr>
          </w:p>
        </w:tc>
      </w:tr>
      <w:tr>
        <w:trPr>
          <w:trHeight w:val="16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40" w:type="dxa"/>
            <w:vAlign w:val="bottom"/>
            <w:gridSpan w:val="4"/>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3"/>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(8,832)</w:t>
            </w:r>
          </w:p>
        </w:tc>
        <w:tc>
          <w:tcPr>
            <w:tcW w:w="0" w:type="dxa"/>
            <w:vAlign w:val="bottom"/>
          </w:tcPr>
          <w:p>
            <w:pPr>
              <w:spacing w:after="0"/>
              <w:rPr>
                <w:sz w:val="1"/>
                <w:szCs w:val="1"/>
                <w:color w:val="auto"/>
              </w:rPr>
            </w:pPr>
          </w:p>
        </w:tc>
      </w:tr>
      <w:tr>
        <w:trPr>
          <w:trHeight w:val="164"/>
        </w:trPr>
        <w:tc>
          <w:tcPr>
            <w:tcW w:w="306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2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36,178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ind w:left="1020"/>
              <w:spacing w:after="0"/>
              <w:rPr>
                <w:sz w:val="20"/>
                <w:szCs w:val="20"/>
                <w:color w:val="auto"/>
              </w:rPr>
            </w:pPr>
            <w:r>
              <w:rPr>
                <w:rFonts w:ascii="Arial" w:cs="Arial" w:eastAsia="Arial" w:hAnsi="Arial"/>
                <w:sz w:val="13"/>
                <w:szCs w:val="13"/>
                <w:color w:val="auto"/>
              </w:rPr>
              <w:t>—</w:t>
            </w:r>
          </w:p>
        </w:tc>
        <w:tc>
          <w:tcPr>
            <w:tcW w:w="1040" w:type="dxa"/>
            <w:vAlign w:val="bottom"/>
            <w:gridSpan w:val="4"/>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3"/>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36,178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March 31, 2022</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39,794,154</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406,966</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792,315</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(98,306)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(6,465,410)</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(400,674)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700,341</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7"/>
          </w:tcPr>
          <w:p>
            <w:pPr>
              <w:ind w:left="480"/>
              <w:spacing w:after="0"/>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8"/>
              </w:rPr>
              <w:t>Accumulated Other</w:t>
            </w:r>
          </w:p>
        </w:tc>
        <w:tc>
          <w:tcPr>
            <w:tcW w:w="2000" w:type="dxa"/>
            <w:vAlign w:val="bottom"/>
            <w:gridSpan w:val="8"/>
          </w:tcPr>
          <w:p>
            <w:pPr>
              <w:ind w:left="520"/>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2"/>
            <w:vMerge w:val="restart"/>
          </w:tcPr>
          <w:p>
            <w:pPr>
              <w:jc w:val="center"/>
              <w:ind w:right="200"/>
              <w:spacing w:after="0" w:line="99" w:lineRule="exact"/>
              <w:rPr>
                <w:sz w:val="20"/>
                <w:szCs w:val="20"/>
                <w:color w:val="auto"/>
              </w:rPr>
            </w:pPr>
            <w:r>
              <w:rPr>
                <w:rFonts w:ascii="Arial" w:cs="Arial" w:eastAsia="Arial" w:hAnsi="Arial"/>
                <w:sz w:val="11"/>
                <w:szCs w:val="11"/>
                <w:b w:val="1"/>
                <w:bCs w:val="1"/>
                <w:color w:val="auto"/>
              </w:rPr>
              <w:t>Comprehensive</w:t>
            </w: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restart"/>
          </w:tcPr>
          <w:p>
            <w:pPr>
              <w:jc w:val="right"/>
              <w:ind w:right="140"/>
              <w:spacing w:after="0" w:line="99" w:lineRule="exact"/>
              <w:rPr>
                <w:sz w:val="20"/>
                <w:szCs w:val="20"/>
                <w:color w:val="auto"/>
              </w:rPr>
            </w:pPr>
            <w:r>
              <w:rPr>
                <w:rFonts w:ascii="Arial" w:cs="Arial" w:eastAsia="Arial" w:hAnsi="Arial"/>
                <w:sz w:val="11"/>
                <w:szCs w:val="11"/>
                <w:b w:val="1"/>
                <w:bCs w:val="1"/>
                <w:color w:val="auto"/>
              </w:rPr>
              <w:t>Total Equity</w:t>
            </w: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302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4"/>
            <w:vMerge w:val="restart"/>
          </w:tcPr>
          <w:p>
            <w:pPr>
              <w:jc w:val="center"/>
              <w:ind w:right="120"/>
              <w:spacing w:after="0"/>
              <w:rPr>
                <w:sz w:val="20"/>
                <w:szCs w:val="20"/>
                <w:color w:val="auto"/>
              </w:rPr>
            </w:pPr>
            <w:r>
              <w:rPr>
                <w:rFonts w:ascii="Arial" w:cs="Arial" w:eastAsia="Arial" w:hAnsi="Arial"/>
                <w:sz w:val="13"/>
                <w:szCs w:val="13"/>
                <w:b w:val="1"/>
                <w:bCs w:val="1"/>
                <w:color w:val="auto"/>
                <w:w w:val="90"/>
              </w:rPr>
              <w:t>Paid-in Capital</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Earnings</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gridSpan w:val="3"/>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88"/>
              </w:rPr>
              <w:t>Income/(Loss)</w:t>
            </w:r>
          </w:p>
        </w:tc>
        <w:tc>
          <w:tcPr>
            <w:tcW w:w="1040" w:type="dxa"/>
            <w:vAlign w:val="bottom"/>
            <w:gridSpan w:val="4"/>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9"/>
                <w:szCs w:val="9"/>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30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30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as of January 1, 2021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38,968,052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w:t>
            </w:r>
          </w:p>
        </w:tc>
        <w:tc>
          <w:tcPr>
            <w:tcW w:w="1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420,976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641,379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(74,984)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(5,408,618)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5"/>
              <w:spacing w:after="0"/>
              <w:rPr>
                <w:sz w:val="20"/>
                <w:szCs w:val="20"/>
                <w:color w:val="auto"/>
              </w:rPr>
            </w:pPr>
            <w:r>
              <w:rPr>
                <w:rFonts w:ascii="Arial" w:cs="Arial" w:eastAsia="Arial" w:hAnsi="Arial"/>
                <w:sz w:val="9"/>
                <w:szCs w:val="9"/>
                <w:b w:val="1"/>
                <w:bCs w:val="1"/>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(268,238)</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719,172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3"/>
                <w:szCs w:val="13"/>
                <w:color w:val="auto"/>
                <w:w w:val="96"/>
              </w:rPr>
              <w:t>Stock issued against stock-based compensation plans</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305,937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color w:val="auto"/>
              </w:rPr>
              <w:t>Acquisition of treasury stock</w:t>
            </w:r>
          </w:p>
        </w:tc>
        <w:tc>
          <w:tcPr>
            <w:tcW w:w="2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(338,482)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(29,015)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(29,015)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loss</w:t>
            </w:r>
          </w:p>
        </w:tc>
        <w:tc>
          <w:tcPr>
            <w:tcW w:w="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(3,769)</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color w:val="auto"/>
              </w:rPr>
              <w:t>Net income</w:t>
            </w:r>
          </w:p>
        </w:tc>
        <w:tc>
          <w:tcPr>
            <w:tcW w:w="2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31,931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31,931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5"/>
                <w:szCs w:val="15"/>
                <w:color w:val="auto"/>
              </w:rPr>
            </w:pPr>
          </w:p>
        </w:tc>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March 31, 2021</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39,273,989</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428,882</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673,310</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(78,753)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(5,747,100)</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(297,253)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726,225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 w:name="page8"/>
    <w:bookmarkEnd w:id="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EXLSERVICE HOLDINGS, INC.</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 (UNAUDITED)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20" w:type="dxa"/>
            <w:vAlign w:val="bottom"/>
          </w:tcPr>
          <w:p>
            <w:pPr>
              <w:spacing w:after="0"/>
              <w:rPr>
                <w:sz w:val="14"/>
                <w:szCs w:val="14"/>
                <w:color w:val="auto"/>
              </w:rPr>
            </w:pPr>
          </w:p>
        </w:tc>
        <w:tc>
          <w:tcPr>
            <w:tcW w:w="294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3"/>
                <w:szCs w:val="13"/>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r>
      <w:tr>
        <w:trPr>
          <w:trHeight w:val="162"/>
        </w:trPr>
        <w:tc>
          <w:tcPr>
            <w:tcW w:w="77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4"/>
                <w:szCs w:val="14"/>
                <w:color w:val="auto"/>
              </w:rPr>
            </w:pPr>
          </w:p>
        </w:tc>
      </w:tr>
      <w:tr>
        <w:trPr>
          <w:trHeight w:val="147"/>
        </w:trPr>
        <w:tc>
          <w:tcPr>
            <w:tcW w:w="77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Cash flows from operating activities:</w:t>
            </w:r>
          </w:p>
        </w:tc>
        <w:tc>
          <w:tcPr>
            <w:tcW w:w="1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64"/>
        </w:trPr>
        <w:tc>
          <w:tcPr>
            <w:tcW w:w="77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120" w:type="dxa"/>
            <w:vAlign w:val="bottom"/>
          </w:tcPr>
          <w:p>
            <w:pPr>
              <w:jc w:val="right"/>
              <w:ind w:right="9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36,178</w:t>
            </w:r>
          </w:p>
        </w:tc>
        <w:tc>
          <w:tcPr>
            <w:tcW w:w="100" w:type="dxa"/>
            <w:vAlign w:val="bottom"/>
          </w:tcPr>
          <w:p>
            <w:pPr>
              <w:spacing w:after="0"/>
              <w:rPr>
                <w:sz w:val="14"/>
                <w:szCs w:val="14"/>
                <w:color w:val="auto"/>
              </w:rPr>
            </w:pPr>
          </w:p>
        </w:tc>
        <w:tc>
          <w:tcPr>
            <w:tcW w:w="1120" w:type="dxa"/>
            <w:vAlign w:val="bottom"/>
          </w:tcPr>
          <w:p>
            <w:pPr>
              <w:jc w:val="right"/>
              <w:ind w:right="9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31,931</w:t>
            </w:r>
          </w:p>
        </w:tc>
      </w:tr>
      <w:tr>
        <w:trPr>
          <w:trHeight w:val="169"/>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(used for)/provided by operating activities:</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4"/>
        </w:trPr>
        <w:tc>
          <w:tcPr>
            <w:tcW w:w="7720" w:type="dxa"/>
            <w:vAlign w:val="bottom"/>
          </w:tcPr>
          <w:p>
            <w:pPr>
              <w:ind w:left="300"/>
              <w:spacing w:after="0"/>
              <w:rPr>
                <w:sz w:val="20"/>
                <w:szCs w:val="20"/>
                <w:color w:val="auto"/>
              </w:rPr>
            </w:pPr>
            <w:r>
              <w:rPr>
                <w:rFonts w:ascii="Arial" w:cs="Arial" w:eastAsia="Arial" w:hAnsi="Arial"/>
                <w:sz w:val="13"/>
                <w:szCs w:val="13"/>
                <w:color w:val="auto"/>
              </w:rPr>
              <w:t>Depreciation and amortization expense</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13,669</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12,266</w:t>
            </w:r>
          </w:p>
        </w:tc>
      </w:tr>
      <w:tr>
        <w:trPr>
          <w:trHeight w:val="169"/>
        </w:trPr>
        <w:tc>
          <w:tcPr>
            <w:tcW w:w="7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Stock-based compensation expense</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11,224</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7,832</w:t>
            </w:r>
          </w:p>
        </w:tc>
      </w:tr>
      <w:tr>
        <w:trPr>
          <w:trHeight w:val="164"/>
        </w:trPr>
        <w:tc>
          <w:tcPr>
            <w:tcW w:w="7720" w:type="dxa"/>
            <w:vAlign w:val="bottom"/>
          </w:tcPr>
          <w:p>
            <w:pPr>
              <w:ind w:left="300"/>
              <w:spacing w:after="0"/>
              <w:rPr>
                <w:sz w:val="20"/>
                <w:szCs w:val="20"/>
                <w:color w:val="auto"/>
              </w:rPr>
            </w:pPr>
            <w:r>
              <w:rPr>
                <w:rFonts w:ascii="Arial" w:cs="Arial" w:eastAsia="Arial" w:hAnsi="Arial"/>
                <w:sz w:val="13"/>
                <w:szCs w:val="13"/>
                <w:color w:val="auto"/>
              </w:rPr>
              <w:t>Amortization of operating lease right-of-use assets</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6,043</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6,761</w:t>
            </w:r>
          </w:p>
        </w:tc>
      </w:tr>
      <w:tr>
        <w:trPr>
          <w:trHeight w:val="169"/>
        </w:trPr>
        <w:tc>
          <w:tcPr>
            <w:tcW w:w="7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Unrealized gain on short term investments</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(1,103)</w:t>
            </w:r>
          </w:p>
        </w:tc>
      </w:tr>
      <w:tr>
        <w:trPr>
          <w:trHeight w:val="164"/>
        </w:trPr>
        <w:tc>
          <w:tcPr>
            <w:tcW w:w="7720" w:type="dxa"/>
            <w:vAlign w:val="bottom"/>
          </w:tcPr>
          <w:p>
            <w:pPr>
              <w:ind w:left="300"/>
              <w:spacing w:after="0"/>
              <w:rPr>
                <w:sz w:val="20"/>
                <w:szCs w:val="20"/>
                <w:color w:val="auto"/>
              </w:rPr>
            </w:pPr>
            <w:r>
              <w:rPr>
                <w:rFonts w:ascii="Arial" w:cs="Arial" w:eastAsia="Arial" w:hAnsi="Arial"/>
                <w:sz w:val="13"/>
                <w:szCs w:val="13"/>
                <w:color w:val="auto"/>
              </w:rPr>
              <w:t>Unrealized foreign currency exchange gain, net</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(3,165)</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(1,139)</w:t>
            </w:r>
          </w:p>
        </w:tc>
      </w:tr>
      <w:tr>
        <w:trPr>
          <w:trHeight w:val="169"/>
        </w:trPr>
        <w:tc>
          <w:tcPr>
            <w:tcW w:w="7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Deferred income tax benefit</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(2,695)</w:t>
            </w:r>
          </w:p>
        </w:tc>
      </w:tr>
      <w:tr>
        <w:trPr>
          <w:trHeight w:val="164"/>
        </w:trPr>
        <w:tc>
          <w:tcPr>
            <w:tcW w:w="7720" w:type="dxa"/>
            <w:vAlign w:val="bottom"/>
          </w:tcPr>
          <w:p>
            <w:pPr>
              <w:ind w:left="300"/>
              <w:spacing w:after="0"/>
              <w:rPr>
                <w:sz w:val="20"/>
                <w:szCs w:val="20"/>
                <w:color w:val="auto"/>
              </w:rPr>
            </w:pPr>
            <w:r>
              <w:rPr>
                <w:rFonts w:ascii="Arial" w:cs="Arial" w:eastAsia="Arial" w:hAnsi="Arial"/>
                <w:sz w:val="13"/>
                <w:szCs w:val="13"/>
                <w:color w:val="auto"/>
              </w:rPr>
              <w:t>Allowance for expected credit losses</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69"/>
        </w:trPr>
        <w:tc>
          <w:tcPr>
            <w:tcW w:w="7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(Gain)/loss from equity-method investment</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64"/>
        </w:trPr>
        <w:tc>
          <w:tcPr>
            <w:tcW w:w="7720" w:type="dxa"/>
            <w:vAlign w:val="bottom"/>
          </w:tcPr>
          <w:p>
            <w:pPr>
              <w:ind w:left="300"/>
              <w:spacing w:after="0"/>
              <w:rPr>
                <w:sz w:val="20"/>
                <w:szCs w:val="20"/>
                <w:color w:val="auto"/>
              </w:rPr>
            </w:pPr>
            <w:r>
              <w:rPr>
                <w:rFonts w:ascii="Arial" w:cs="Arial" w:eastAsia="Arial" w:hAnsi="Arial"/>
                <w:sz w:val="13"/>
                <w:szCs w:val="13"/>
                <w:color w:val="auto"/>
              </w:rPr>
              <w:t>Amortization of non-cash interest expense related to convertible senior notes</w:t>
            </w:r>
          </w:p>
        </w:tc>
        <w:tc>
          <w:tcPr>
            <w:tcW w:w="1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673</w:t>
            </w:r>
          </w:p>
        </w:tc>
      </w:tr>
      <w:tr>
        <w:trPr>
          <w:trHeight w:val="169"/>
        </w:trPr>
        <w:tc>
          <w:tcPr>
            <w:tcW w:w="7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Others, net</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819</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r>
      <w:tr>
        <w:trPr>
          <w:trHeight w:val="164"/>
        </w:trPr>
        <w:tc>
          <w:tcPr>
            <w:tcW w:w="7720" w:type="dxa"/>
            <w:vAlign w:val="bottom"/>
          </w:tcPr>
          <w:p>
            <w:pPr>
              <w:ind w:left="20"/>
              <w:spacing w:after="0"/>
              <w:rPr>
                <w:sz w:val="20"/>
                <w:szCs w:val="20"/>
                <w:color w:val="auto"/>
              </w:rPr>
            </w:pPr>
            <w:r>
              <w:rPr>
                <w:rFonts w:ascii="Arial" w:cs="Arial" w:eastAsia="Arial" w:hAnsi="Arial"/>
                <w:sz w:val="13"/>
                <w:szCs w:val="13"/>
                <w:color w:val="auto"/>
              </w:rPr>
              <w:t>Change in operating assets and liabilities, net of effects of acquisitions:</w:t>
            </w: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9"/>
        </w:trPr>
        <w:tc>
          <w:tcPr>
            <w:tcW w:w="7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Accounts receivable</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(45,659)</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(11,818)</w:t>
            </w:r>
          </w:p>
        </w:tc>
      </w:tr>
      <w:tr>
        <w:trPr>
          <w:trHeight w:val="164"/>
        </w:trPr>
        <w:tc>
          <w:tcPr>
            <w:tcW w:w="7720" w:type="dxa"/>
            <w:vAlign w:val="bottom"/>
          </w:tcPr>
          <w:p>
            <w:pPr>
              <w:ind w:left="300"/>
              <w:spacing w:after="0"/>
              <w:rPr>
                <w:sz w:val="20"/>
                <w:szCs w:val="20"/>
                <w:color w:val="auto"/>
              </w:rPr>
            </w:pPr>
            <w:r>
              <w:rPr>
                <w:rFonts w:ascii="Arial" w:cs="Arial" w:eastAsia="Arial" w:hAnsi="Arial"/>
                <w:sz w:val="13"/>
                <w:szCs w:val="13"/>
                <w:color w:val="auto"/>
              </w:rPr>
              <w:t>Prepaid expenses and other current assets</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(1,116)</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69"/>
        </w:trPr>
        <w:tc>
          <w:tcPr>
            <w:tcW w:w="7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Advance income tax, net</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6,185</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9,057</w:t>
            </w:r>
          </w:p>
        </w:tc>
      </w:tr>
      <w:tr>
        <w:trPr>
          <w:trHeight w:val="164"/>
        </w:trPr>
        <w:tc>
          <w:tcPr>
            <w:tcW w:w="7720" w:type="dxa"/>
            <w:vAlign w:val="bottom"/>
          </w:tcPr>
          <w:p>
            <w:pPr>
              <w:ind w:left="300"/>
              <w:spacing w:after="0"/>
              <w:rPr>
                <w:sz w:val="20"/>
                <w:szCs w:val="20"/>
                <w:color w:val="auto"/>
              </w:rPr>
            </w:pPr>
            <w:r>
              <w:rPr>
                <w:rFonts w:ascii="Arial" w:cs="Arial" w:eastAsia="Arial" w:hAnsi="Arial"/>
                <w:sz w:val="13"/>
                <w:szCs w:val="13"/>
                <w:color w:val="auto"/>
              </w:rPr>
              <w:t>Other assets</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(2,924)</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1,268</w:t>
            </w:r>
          </w:p>
        </w:tc>
      </w:tr>
      <w:tr>
        <w:trPr>
          <w:trHeight w:val="169"/>
        </w:trPr>
        <w:tc>
          <w:tcPr>
            <w:tcW w:w="7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Accounts payable</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1,902</w:t>
            </w:r>
          </w:p>
        </w:tc>
      </w:tr>
      <w:tr>
        <w:trPr>
          <w:trHeight w:val="164"/>
        </w:trPr>
        <w:tc>
          <w:tcPr>
            <w:tcW w:w="7720" w:type="dxa"/>
            <w:vAlign w:val="bottom"/>
          </w:tcPr>
          <w:p>
            <w:pPr>
              <w:ind w:left="300"/>
              <w:spacing w:after="0"/>
              <w:rPr>
                <w:sz w:val="20"/>
                <w:szCs w:val="20"/>
                <w:color w:val="auto"/>
              </w:rPr>
            </w:pPr>
            <w:r>
              <w:rPr>
                <w:rFonts w:ascii="Arial" w:cs="Arial" w:eastAsia="Arial" w:hAnsi="Arial"/>
                <w:sz w:val="13"/>
                <w:szCs w:val="13"/>
                <w:color w:val="auto"/>
              </w:rPr>
              <w:t>Deferred revenue</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3,707</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(17,986)</w:t>
            </w:r>
          </w:p>
        </w:tc>
      </w:tr>
      <w:tr>
        <w:trPr>
          <w:trHeight w:val="169"/>
        </w:trPr>
        <w:tc>
          <w:tcPr>
            <w:tcW w:w="7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Accrued employee costs</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(60,008)</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(23,611)</w:t>
            </w:r>
          </w:p>
        </w:tc>
      </w:tr>
      <w:tr>
        <w:trPr>
          <w:trHeight w:val="164"/>
        </w:trPr>
        <w:tc>
          <w:tcPr>
            <w:tcW w:w="7720" w:type="dxa"/>
            <w:vAlign w:val="bottom"/>
          </w:tcPr>
          <w:p>
            <w:pPr>
              <w:ind w:left="300"/>
              <w:spacing w:after="0"/>
              <w:rPr>
                <w:sz w:val="20"/>
                <w:szCs w:val="20"/>
                <w:color w:val="auto"/>
              </w:rPr>
            </w:pPr>
            <w:r>
              <w:rPr>
                <w:rFonts w:ascii="Arial" w:cs="Arial" w:eastAsia="Arial" w:hAnsi="Arial"/>
                <w:sz w:val="13"/>
                <w:szCs w:val="13"/>
                <w:color w:val="auto"/>
              </w:rPr>
              <w:t>Accrued expenses and other liabilities</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15,647</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8,456</w:t>
            </w:r>
          </w:p>
        </w:tc>
      </w:tr>
      <w:tr>
        <w:trPr>
          <w:trHeight w:val="169"/>
        </w:trPr>
        <w:tc>
          <w:tcPr>
            <w:tcW w:w="7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Operating lease liabilities</w:t>
            </w:r>
          </w:p>
        </w:tc>
        <w:tc>
          <w:tcPr>
            <w:tcW w:w="1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(6,005)</w:t>
            </w:r>
          </w:p>
        </w:tc>
        <w:tc>
          <w:tcPr>
            <w:tcW w:w="10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(6,868)</w:t>
            </w:r>
          </w:p>
        </w:tc>
      </w:tr>
      <w:tr>
        <w:trPr>
          <w:trHeight w:val="155"/>
        </w:trPr>
        <w:tc>
          <w:tcPr>
            <w:tcW w:w="7720" w:type="dxa"/>
            <w:vAlign w:val="bottom"/>
            <w:tcBorders>
              <w:bottom w:val="single" w:sz="8" w:color="CCEEFF"/>
            </w:tcBorders>
          </w:tcPr>
          <w:p>
            <w:pPr>
              <w:ind w:left="20"/>
              <w:spacing w:after="0" w:line="141" w:lineRule="exact"/>
              <w:rPr>
                <w:sz w:val="20"/>
                <w:szCs w:val="20"/>
                <w:color w:val="auto"/>
              </w:rPr>
            </w:pPr>
            <w:r>
              <w:rPr>
                <w:rFonts w:ascii="Arial" w:cs="Arial" w:eastAsia="Arial" w:hAnsi="Arial"/>
                <w:sz w:val="13"/>
                <w:szCs w:val="13"/>
                <w:color w:val="auto"/>
              </w:rPr>
              <w:t>Net cash (used for)/provided by operating activities</w:t>
            </w:r>
          </w:p>
        </w:tc>
        <w:tc>
          <w:tcPr>
            <w:tcW w:w="1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(26,870)</w:t>
            </w: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15,205</w:t>
            </w:r>
          </w:p>
        </w:tc>
      </w:tr>
      <w:tr>
        <w:trPr>
          <w:trHeight w:val="78"/>
        </w:trPr>
        <w:tc>
          <w:tcPr>
            <w:tcW w:w="77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r>
      <w:tr>
        <w:trPr>
          <w:trHeight w:val="164"/>
        </w:trPr>
        <w:tc>
          <w:tcPr>
            <w:tcW w:w="7720" w:type="dxa"/>
            <w:vAlign w:val="bottom"/>
          </w:tcPr>
          <w:p>
            <w:pPr>
              <w:ind w:left="20"/>
              <w:spacing w:after="0"/>
              <w:rPr>
                <w:sz w:val="20"/>
                <w:szCs w:val="20"/>
                <w:color w:val="auto"/>
              </w:rPr>
            </w:pPr>
            <w:r>
              <w:rPr>
                <w:rFonts w:ascii="Arial" w:cs="Arial" w:eastAsia="Arial" w:hAnsi="Arial"/>
                <w:sz w:val="13"/>
                <w:szCs w:val="13"/>
                <w:color w:val="auto"/>
              </w:rPr>
              <w:t>Cash flows from investing activities:</w:t>
            </w: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9"/>
        </w:trPr>
        <w:tc>
          <w:tcPr>
            <w:tcW w:w="7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Purchases of property and equipment</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(16,101)</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(12,680)</w:t>
            </w:r>
          </w:p>
        </w:tc>
      </w:tr>
      <w:tr>
        <w:trPr>
          <w:trHeight w:val="164"/>
        </w:trPr>
        <w:tc>
          <w:tcPr>
            <w:tcW w:w="7720" w:type="dxa"/>
            <w:vAlign w:val="bottom"/>
          </w:tcPr>
          <w:p>
            <w:pPr>
              <w:ind w:left="300"/>
              <w:spacing w:after="0"/>
              <w:rPr>
                <w:sz w:val="20"/>
                <w:szCs w:val="20"/>
                <w:color w:val="auto"/>
              </w:rPr>
            </w:pPr>
            <w:r>
              <w:rPr>
                <w:rFonts w:ascii="Arial" w:cs="Arial" w:eastAsia="Arial" w:hAnsi="Arial"/>
                <w:sz w:val="13"/>
                <w:szCs w:val="13"/>
                <w:color w:val="auto"/>
              </w:rPr>
              <w:t>Proceeds from sale of property and equipment</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129</w:t>
            </w:r>
          </w:p>
        </w:tc>
      </w:tr>
      <w:tr>
        <w:trPr>
          <w:trHeight w:val="169"/>
        </w:trPr>
        <w:tc>
          <w:tcPr>
            <w:tcW w:w="7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Business acquisition (net of cash and cash equivalents acquired)</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(1,367)</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4"/>
        </w:trPr>
        <w:tc>
          <w:tcPr>
            <w:tcW w:w="7720" w:type="dxa"/>
            <w:vAlign w:val="bottom"/>
          </w:tcPr>
          <w:p>
            <w:pPr>
              <w:ind w:left="300"/>
              <w:spacing w:after="0"/>
              <w:rPr>
                <w:sz w:val="20"/>
                <w:szCs w:val="20"/>
                <w:color w:val="auto"/>
              </w:rPr>
            </w:pPr>
            <w:r>
              <w:rPr>
                <w:rFonts w:ascii="Arial" w:cs="Arial" w:eastAsia="Arial" w:hAnsi="Arial"/>
                <w:sz w:val="13"/>
                <w:szCs w:val="13"/>
                <w:color w:val="auto"/>
              </w:rPr>
              <w:t>Purchases of investments</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(36,804)</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(18,835)</w:t>
            </w:r>
          </w:p>
        </w:tc>
      </w:tr>
      <w:tr>
        <w:trPr>
          <w:trHeight w:val="169"/>
        </w:trPr>
        <w:tc>
          <w:tcPr>
            <w:tcW w:w="7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Proceeds from redemption of investments</w:t>
            </w:r>
          </w:p>
        </w:tc>
        <w:tc>
          <w:tcPr>
            <w:tcW w:w="1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49,515</w:t>
            </w:r>
          </w:p>
        </w:tc>
        <w:tc>
          <w:tcPr>
            <w:tcW w:w="10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5,357</w:t>
            </w:r>
          </w:p>
        </w:tc>
      </w:tr>
      <w:tr>
        <w:trPr>
          <w:trHeight w:val="155"/>
        </w:trPr>
        <w:tc>
          <w:tcPr>
            <w:tcW w:w="7720" w:type="dxa"/>
            <w:vAlign w:val="bottom"/>
          </w:tcPr>
          <w:p>
            <w:pPr>
              <w:ind w:left="20"/>
              <w:spacing w:after="0" w:line="141" w:lineRule="exact"/>
              <w:rPr>
                <w:sz w:val="20"/>
                <w:szCs w:val="20"/>
                <w:color w:val="auto"/>
              </w:rPr>
            </w:pPr>
            <w:r>
              <w:rPr>
                <w:rFonts w:ascii="Arial" w:cs="Arial" w:eastAsia="Arial" w:hAnsi="Arial"/>
                <w:sz w:val="13"/>
                <w:szCs w:val="13"/>
                <w:color w:val="auto"/>
              </w:rPr>
              <w:t>Net cash used for investing activities</w:t>
            </w:r>
          </w:p>
        </w:tc>
        <w:tc>
          <w:tcPr>
            <w:tcW w:w="1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(4,694)</w:t>
            </w:r>
          </w:p>
        </w:tc>
        <w:tc>
          <w:tcPr>
            <w:tcW w:w="10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(26,029)</w:t>
            </w:r>
          </w:p>
        </w:tc>
      </w:tr>
      <w:tr>
        <w:trPr>
          <w:trHeight w:val="30"/>
        </w:trPr>
        <w:tc>
          <w:tcPr>
            <w:tcW w:w="7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66"/>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financing activities:</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4"/>
        </w:trPr>
        <w:tc>
          <w:tcPr>
            <w:tcW w:w="7720" w:type="dxa"/>
            <w:vAlign w:val="bottom"/>
          </w:tcPr>
          <w:p>
            <w:pPr>
              <w:ind w:left="300"/>
              <w:spacing w:after="0"/>
              <w:rPr>
                <w:sz w:val="20"/>
                <w:szCs w:val="20"/>
                <w:color w:val="auto"/>
              </w:rPr>
            </w:pPr>
            <w:r>
              <w:rPr>
                <w:rFonts w:ascii="Arial" w:cs="Arial" w:eastAsia="Arial" w:hAnsi="Arial"/>
                <w:sz w:val="13"/>
                <w:szCs w:val="13"/>
                <w:color w:val="auto"/>
              </w:rPr>
              <w:t>Principal payments of finance lease liabilities</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69"/>
        </w:trPr>
        <w:tc>
          <w:tcPr>
            <w:tcW w:w="7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Proceeds from borrowings</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w:t>
            </w:r>
          </w:p>
        </w:tc>
      </w:tr>
      <w:tr>
        <w:trPr>
          <w:trHeight w:val="164"/>
        </w:trPr>
        <w:tc>
          <w:tcPr>
            <w:tcW w:w="7720" w:type="dxa"/>
            <w:vAlign w:val="bottom"/>
          </w:tcPr>
          <w:p>
            <w:pPr>
              <w:ind w:left="300"/>
              <w:spacing w:after="0"/>
              <w:rPr>
                <w:sz w:val="20"/>
                <w:szCs w:val="20"/>
                <w:color w:val="auto"/>
              </w:rPr>
            </w:pPr>
            <w:r>
              <w:rPr>
                <w:rFonts w:ascii="Arial" w:cs="Arial" w:eastAsia="Arial" w:hAnsi="Arial"/>
                <w:sz w:val="13"/>
                <w:szCs w:val="13"/>
                <w:color w:val="auto"/>
              </w:rPr>
              <w:t>Repayments of borrowings</w:t>
            </w:r>
          </w:p>
        </w:tc>
        <w:tc>
          <w:tcPr>
            <w:tcW w:w="1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(25,000)</w:t>
            </w:r>
          </w:p>
        </w:tc>
      </w:tr>
      <w:tr>
        <w:trPr>
          <w:trHeight w:val="169"/>
        </w:trPr>
        <w:tc>
          <w:tcPr>
            <w:tcW w:w="7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Acquisition of treasury stock</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(31,385)</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(29,015)</w:t>
            </w:r>
          </w:p>
        </w:tc>
      </w:tr>
      <w:tr>
        <w:trPr>
          <w:trHeight w:val="164"/>
        </w:trPr>
        <w:tc>
          <w:tcPr>
            <w:tcW w:w="7720" w:type="dxa"/>
            <w:vAlign w:val="bottom"/>
          </w:tcPr>
          <w:p>
            <w:pPr>
              <w:ind w:left="300"/>
              <w:spacing w:after="0"/>
              <w:rPr>
                <w:sz w:val="20"/>
                <w:szCs w:val="20"/>
                <w:color w:val="auto"/>
              </w:rPr>
            </w:pPr>
            <w:r>
              <w:rPr>
                <w:rFonts w:ascii="Arial" w:cs="Arial" w:eastAsia="Arial" w:hAnsi="Arial"/>
                <w:sz w:val="13"/>
                <w:szCs w:val="13"/>
                <w:color w:val="auto"/>
              </w:rPr>
              <w:t>Proceeds from exercise of stock options</w:t>
            </w:r>
          </w:p>
        </w:tc>
        <w:tc>
          <w:tcPr>
            <w:tcW w:w="1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161"/>
        </w:trPr>
        <w:tc>
          <w:tcPr>
            <w:tcW w:w="7720" w:type="dxa"/>
            <w:vAlign w:val="bottom"/>
            <w:tcBorders>
              <w:top w:val="single" w:sz="8" w:color="CCEEFF"/>
            </w:tcBorders>
            <w:shd w:val="clear" w:color="auto" w:fill="CCEEFF"/>
          </w:tcPr>
          <w:p>
            <w:pPr>
              <w:ind w:left="20"/>
              <w:spacing w:after="0" w:line="144" w:lineRule="exact"/>
              <w:rPr>
                <w:sz w:val="20"/>
                <w:szCs w:val="20"/>
                <w:color w:val="auto"/>
              </w:rPr>
            </w:pPr>
            <w:r>
              <w:rPr>
                <w:rFonts w:ascii="Arial" w:cs="Arial" w:eastAsia="Arial" w:hAnsi="Arial"/>
                <w:sz w:val="13"/>
                <w:szCs w:val="13"/>
                <w:color w:val="auto"/>
              </w:rPr>
              <w:t>Net cash provided by/(used for) financing activities</w:t>
            </w:r>
          </w:p>
        </w:tc>
        <w:tc>
          <w:tcPr>
            <w:tcW w:w="112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3,576</w:t>
            </w: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(28,997)</w:t>
            </w:r>
          </w:p>
        </w:tc>
      </w:tr>
      <w:tr>
        <w:trPr>
          <w:trHeight w:val="155"/>
        </w:trPr>
        <w:tc>
          <w:tcPr>
            <w:tcW w:w="7720" w:type="dxa"/>
            <w:vAlign w:val="bottom"/>
            <w:tcBorders>
              <w:bottom w:val="single" w:sz="8" w:color="CCEEFF"/>
            </w:tcBorders>
          </w:tcPr>
          <w:p>
            <w:pPr>
              <w:ind w:left="20"/>
              <w:spacing w:after="0" w:line="141" w:lineRule="exact"/>
              <w:rPr>
                <w:sz w:val="20"/>
                <w:szCs w:val="20"/>
                <w:color w:val="auto"/>
              </w:rPr>
            </w:pPr>
            <w:r>
              <w:rPr>
                <w:rFonts w:ascii="Arial" w:cs="Arial" w:eastAsia="Arial" w:hAnsi="Arial"/>
                <w:sz w:val="13"/>
                <w:szCs w:val="13"/>
                <w:color w:val="auto"/>
              </w:rPr>
              <w:t>Effect of exchange rate changes on cash, cash equivalents and restricted cash</w:t>
            </w:r>
          </w:p>
        </w:tc>
        <w:tc>
          <w:tcPr>
            <w:tcW w:w="1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(753)</w:t>
            </w: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(984)</w:t>
            </w:r>
          </w:p>
        </w:tc>
      </w:tr>
      <w:tr>
        <w:trPr>
          <w:trHeight w:val="161"/>
        </w:trPr>
        <w:tc>
          <w:tcPr>
            <w:tcW w:w="77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Net decrease in cash, cash equivalents and restricted cash</w:t>
            </w:r>
          </w:p>
        </w:tc>
        <w:tc>
          <w:tcPr>
            <w:tcW w:w="1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(28,741)</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(40,805)</w:t>
            </w:r>
          </w:p>
        </w:tc>
      </w:tr>
      <w:tr>
        <w:trPr>
          <w:trHeight w:val="164"/>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 at the beginning of the period</w:t>
            </w:r>
          </w:p>
        </w:tc>
        <w:tc>
          <w:tcPr>
            <w:tcW w:w="1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143,810</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225,519</w:t>
            </w:r>
          </w:p>
        </w:tc>
      </w:tr>
      <w:tr>
        <w:trPr>
          <w:trHeight w:val="161"/>
        </w:trPr>
        <w:tc>
          <w:tcPr>
            <w:tcW w:w="77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Cash, cash equivalents and restricted cash at the end of the period</w:t>
            </w:r>
          </w:p>
        </w:tc>
        <w:tc>
          <w:tcPr>
            <w:tcW w:w="1120" w:type="dxa"/>
            <w:vAlign w:val="bottom"/>
            <w:tcBorders>
              <w:bottom w:val="single" w:sz="8" w:color="auto"/>
            </w:tcBorders>
            <w:shd w:val="clear" w:color="auto" w:fill="CCEEFF"/>
          </w:tcPr>
          <w:p>
            <w:pPr>
              <w:jc w:val="right"/>
              <w:ind w:right="97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115,069</w:t>
            </w:r>
          </w:p>
        </w:tc>
        <w:tc>
          <w:tcPr>
            <w:tcW w:w="10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97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184,714</w:t>
            </w:r>
          </w:p>
        </w:tc>
      </w:tr>
      <w:tr>
        <w:trPr>
          <w:trHeight w:val="28"/>
        </w:trPr>
        <w:tc>
          <w:tcPr>
            <w:tcW w:w="7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66"/>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4"/>
        </w:trPr>
        <w:tc>
          <w:tcPr>
            <w:tcW w:w="7720" w:type="dxa"/>
            <w:vAlign w:val="bottom"/>
          </w:tcPr>
          <w:p>
            <w:pPr>
              <w:ind w:left="20"/>
              <w:spacing w:after="0"/>
              <w:rPr>
                <w:sz w:val="20"/>
                <w:szCs w:val="20"/>
                <w:color w:val="auto"/>
              </w:rPr>
            </w:pPr>
            <w:r>
              <w:rPr>
                <w:rFonts w:ascii="Arial" w:cs="Arial" w:eastAsia="Arial" w:hAnsi="Arial"/>
                <w:sz w:val="13"/>
                <w:szCs w:val="13"/>
                <w:color w:val="auto"/>
              </w:rPr>
              <w:t>Cash paid during the period for:</w:t>
            </w: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9"/>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w:t>
            </w:r>
          </w:p>
        </w:tc>
        <w:tc>
          <w:tcPr>
            <w:tcW w:w="1120" w:type="dxa"/>
            <w:vAlign w:val="bottom"/>
            <w:shd w:val="clear" w:color="auto" w:fill="BFE4FF"/>
          </w:tcPr>
          <w:p>
            <w:pPr>
              <w:jc w:val="right"/>
              <w:ind w:right="97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1,277</w:t>
            </w:r>
          </w:p>
        </w:tc>
        <w:tc>
          <w:tcPr>
            <w:tcW w:w="100" w:type="dxa"/>
            <w:vAlign w:val="bottom"/>
            <w:shd w:val="clear" w:color="auto" w:fill="BFE4FF"/>
          </w:tcPr>
          <w:p>
            <w:pPr>
              <w:spacing w:after="0"/>
              <w:rPr>
                <w:sz w:val="14"/>
                <w:szCs w:val="14"/>
                <w:color w:val="auto"/>
              </w:rPr>
            </w:pPr>
          </w:p>
        </w:tc>
        <w:tc>
          <w:tcPr>
            <w:tcW w:w="1120" w:type="dxa"/>
            <w:vAlign w:val="bottom"/>
            <w:shd w:val="clear" w:color="auto" w:fill="BFE4FF"/>
          </w:tcPr>
          <w:p>
            <w:pPr>
              <w:jc w:val="right"/>
              <w:ind w:right="97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610</w:t>
            </w:r>
          </w:p>
        </w:tc>
      </w:tr>
      <w:tr>
        <w:trPr>
          <w:trHeight w:val="164"/>
        </w:trPr>
        <w:tc>
          <w:tcPr>
            <w:tcW w:w="7720" w:type="dxa"/>
            <w:vAlign w:val="bottom"/>
          </w:tcPr>
          <w:p>
            <w:pPr>
              <w:ind w:left="20"/>
              <w:spacing w:after="0"/>
              <w:rPr>
                <w:sz w:val="20"/>
                <w:szCs w:val="20"/>
                <w:color w:val="auto"/>
              </w:rPr>
            </w:pPr>
            <w:r>
              <w:rPr>
                <w:rFonts w:ascii="Arial" w:cs="Arial" w:eastAsia="Arial" w:hAnsi="Arial"/>
                <w:sz w:val="13"/>
                <w:szCs w:val="13"/>
                <w:color w:val="auto"/>
              </w:rPr>
              <w:t>Income taxes, net of refunds</w:t>
            </w:r>
          </w:p>
        </w:tc>
        <w:tc>
          <w:tcPr>
            <w:tcW w:w="1120" w:type="dxa"/>
            <w:vAlign w:val="bottom"/>
          </w:tcPr>
          <w:p>
            <w:pPr>
              <w:jc w:val="right"/>
              <w:ind w:right="9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5,404</w:t>
            </w:r>
          </w:p>
        </w:tc>
        <w:tc>
          <w:tcPr>
            <w:tcW w:w="100" w:type="dxa"/>
            <w:vAlign w:val="bottom"/>
          </w:tcPr>
          <w:p>
            <w:pPr>
              <w:spacing w:after="0"/>
              <w:rPr>
                <w:sz w:val="14"/>
                <w:szCs w:val="14"/>
                <w:color w:val="auto"/>
              </w:rPr>
            </w:pPr>
          </w:p>
        </w:tc>
        <w:tc>
          <w:tcPr>
            <w:tcW w:w="1120" w:type="dxa"/>
            <w:vAlign w:val="bottom"/>
          </w:tcPr>
          <w:p>
            <w:pPr>
              <w:jc w:val="right"/>
              <w:ind w:right="9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2,415</w:t>
            </w:r>
          </w:p>
        </w:tc>
      </w:tr>
      <w:tr>
        <w:trPr>
          <w:trHeight w:val="169"/>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1"/>
        </w:trPr>
        <w:tc>
          <w:tcPr>
            <w:tcW w:w="7720" w:type="dxa"/>
            <w:vAlign w:val="bottom"/>
          </w:tcPr>
          <w:p>
            <w:pPr>
              <w:ind w:left="20"/>
              <w:spacing w:after="0"/>
              <w:rPr>
                <w:sz w:val="20"/>
                <w:szCs w:val="20"/>
                <w:color w:val="auto"/>
              </w:rPr>
            </w:pPr>
            <w:r>
              <w:rPr>
                <w:rFonts w:ascii="Arial" w:cs="Arial" w:eastAsia="Arial" w:hAnsi="Arial"/>
                <w:sz w:val="13"/>
                <w:szCs w:val="13"/>
                <w:color w:val="auto"/>
              </w:rPr>
              <w:t>Assets acquired under finance lease</w:t>
            </w:r>
          </w:p>
        </w:tc>
        <w:tc>
          <w:tcPr>
            <w:tcW w:w="1120" w:type="dxa"/>
            <w:vAlign w:val="bottom"/>
          </w:tcPr>
          <w:p>
            <w:pPr>
              <w:jc w:val="right"/>
              <w:ind w:right="9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3"/>
                <w:szCs w:val="13"/>
                <w:color w:val="auto"/>
              </w:rPr>
            </w:pPr>
          </w:p>
        </w:tc>
        <w:tc>
          <w:tcPr>
            <w:tcW w:w="1120" w:type="dxa"/>
            <w:vAlign w:val="bottom"/>
          </w:tcPr>
          <w:p>
            <w:pPr>
              <w:jc w:val="right"/>
              <w:ind w:right="9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10</w:t>
            </w: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8" w:name="page9"/>
    <w:bookmarkEnd w:id="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101"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March 31, 2022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w:t>
      </w:r>
    </w:p>
    <w:p>
      <w:pPr>
        <w:spacing w:after="0" w:line="224" w:lineRule="exact"/>
        <w:rPr>
          <w:sz w:val="20"/>
          <w:szCs w:val="20"/>
          <w:color w:val="auto"/>
        </w:rPr>
      </w:pPr>
    </w:p>
    <w:p>
      <w:pPr>
        <w:jc w:val="both"/>
        <w:ind w:firstLine="356"/>
        <w:spacing w:after="0" w:line="252" w:lineRule="auto"/>
        <w:rPr>
          <w:sz w:val="20"/>
          <w:szCs w:val="20"/>
          <w:color w:val="auto"/>
        </w:rPr>
      </w:pPr>
      <w:r>
        <w:rPr>
          <w:rFonts w:ascii="Arial" w:cs="Arial" w:eastAsia="Arial" w:hAnsi="Arial"/>
          <w:sz w:val="15"/>
          <w:szCs w:val="15"/>
          <w:color w:val="auto"/>
        </w:rPr>
        <w:t>ExlService Holdings, Inc. (“ExlService Holdings”) is organized as a corporation under the laws of the state of Delaware. ExlService Holdings, together with its subsidiaries and affiliates (collectively, the “Company”), is a leading data analytics and digital operations and solutions company that partners with clients to improve business outcomes and unlock growth. By bringing together deep domain expertise with robust data, powerful analytics, cloud, artificial intelligence and machine learning, the Company creates agile, scalable solutions and executes complex operations for the world’s leading corporations in industries including insurance, healthcare, banking and financial services, media, and retail, among others. The Company’s data-led value creation framework enables better and faster decision making, leveraging its end-to-end data and analytics capabilities to drive improved business outcomes, and re-designing of operating models to integrate advanced technology into operational workflows. The Company embeds digital operations and solutions into clients’ businesses and introduces its data led approach to transform operations. Accordingly, as the Company’s operations management services are now a part of its digital operations and solutions, they are referred to as “digital operations and solutions” herein; however, the Company has not changed the way in which it manages its business or its operating segments or segment reporting structure.</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clients are located principally in the United States of America (“U.S.”) and the United Kingdom (“U.K.”).</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Basis of Preparation and Principles of Consolidation</w:t>
      </w:r>
    </w:p>
    <w:p>
      <w:pPr>
        <w:spacing w:after="0" w:line="220" w:lineRule="exact"/>
        <w:rPr>
          <w:sz w:val="20"/>
          <w:szCs w:val="20"/>
          <w:color w:val="auto"/>
        </w:rPr>
      </w:pPr>
    </w:p>
    <w:p>
      <w:pPr>
        <w:jc w:val="both"/>
        <w:ind w:right="20" w:firstLine="356"/>
        <w:spacing w:after="0" w:line="239" w:lineRule="auto"/>
        <w:rPr>
          <w:sz w:val="20"/>
          <w:szCs w:val="20"/>
          <w:color w:val="auto"/>
        </w:rPr>
      </w:pPr>
      <w:r>
        <w:rPr>
          <w:rFonts w:ascii="Arial" w:cs="Arial" w:eastAsia="Arial" w:hAnsi="Arial"/>
          <w:sz w:val="16"/>
          <w:szCs w:val="16"/>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2021.</w:t>
      </w:r>
    </w:p>
    <w:p>
      <w:pPr>
        <w:spacing w:after="0" w:line="182" w:lineRule="exact"/>
        <w:rPr>
          <w:sz w:val="20"/>
          <w:szCs w:val="20"/>
          <w:color w:val="auto"/>
        </w:rPr>
      </w:pPr>
    </w:p>
    <w:p>
      <w:pPr>
        <w:jc w:val="both"/>
        <w:ind w:right="20" w:firstLine="356"/>
        <w:spacing w:after="0" w:line="221" w:lineRule="auto"/>
        <w:rPr>
          <w:sz w:val="20"/>
          <w:szCs w:val="20"/>
          <w:color w:val="auto"/>
        </w:rPr>
      </w:pPr>
      <w:r>
        <w:rPr>
          <w:rFonts w:ascii="Arial" w:cs="Arial" w:eastAsia="Arial" w:hAnsi="Arial"/>
          <w:sz w:val="16"/>
          <w:szCs w:val="16"/>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181" w:lineRule="exact"/>
        <w:rPr>
          <w:sz w:val="20"/>
          <w:szCs w:val="20"/>
          <w:color w:val="auto"/>
        </w:rPr>
      </w:pPr>
    </w:p>
    <w:p>
      <w:pPr>
        <w:jc w:val="both"/>
        <w:ind w:right="20" w:firstLine="356"/>
        <w:spacing w:after="0" w:line="243" w:lineRule="auto"/>
        <w:rPr>
          <w:sz w:val="20"/>
          <w:szCs w:val="20"/>
          <w:color w:val="auto"/>
        </w:rPr>
      </w:pPr>
      <w:r>
        <w:rPr>
          <w:rFonts w:ascii="Arial" w:cs="Arial" w:eastAsia="Arial" w:hAnsi="Arial"/>
          <w:sz w:val="16"/>
          <w:szCs w:val="16"/>
          <w:color w:val="auto"/>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gains and losses arising from intra-group transactions, are eliminated while preparing consolidated financial statements.</w:t>
      </w:r>
    </w:p>
    <w:p>
      <w:pPr>
        <w:spacing w:after="0" w:line="177" w:lineRule="exact"/>
        <w:rPr>
          <w:sz w:val="20"/>
          <w:szCs w:val="20"/>
          <w:color w:val="auto"/>
        </w:rPr>
      </w:pPr>
    </w:p>
    <w:p>
      <w:pPr>
        <w:jc w:val="both"/>
        <w:ind w:right="20" w:firstLine="356"/>
        <w:spacing w:after="0" w:line="231" w:lineRule="auto"/>
        <w:rPr>
          <w:sz w:val="20"/>
          <w:szCs w:val="20"/>
          <w:color w:val="auto"/>
        </w:rPr>
      </w:pPr>
      <w:r>
        <w:rPr>
          <w:rFonts w:ascii="Arial" w:cs="Arial" w:eastAsia="Arial" w:hAnsi="Arial"/>
          <w:sz w:val="16"/>
          <w:szCs w:val="16"/>
          <w:color w:val="auto"/>
        </w:rPr>
        <w:t>Accounting policies of the respective individual subsidiary and associate are aligned wherever necessary, so as to ensure consistency with the accounting policies that are adopted by the Company under U.S. GAAP.</w:t>
      </w:r>
    </w:p>
    <w:p>
      <w:pPr>
        <w:spacing w:after="0" w:line="180" w:lineRule="exact"/>
        <w:rPr>
          <w:sz w:val="20"/>
          <w:szCs w:val="20"/>
          <w:color w:val="auto"/>
        </w:rPr>
      </w:pPr>
    </w:p>
    <w:p>
      <w:pPr>
        <w:jc w:val="both"/>
        <w:ind w:right="20" w:firstLine="356"/>
        <w:spacing w:after="0" w:line="243" w:lineRule="auto"/>
        <w:rPr>
          <w:sz w:val="20"/>
          <w:szCs w:val="20"/>
          <w:color w:val="auto"/>
        </w:rPr>
      </w:pPr>
      <w:r>
        <w:rPr>
          <w:rFonts w:ascii="Arial" w:cs="Arial" w:eastAsia="Arial" w:hAnsi="Arial"/>
          <w:sz w:val="16"/>
          <w:szCs w:val="16"/>
          <w:color w:val="auto"/>
        </w:rPr>
        <w:t>The Company’s 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after its acquisition is recognized in the unaudited consolidated statements of income.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 Use of Estimates</w:t>
      </w:r>
    </w:p>
    <w:p>
      <w:pPr>
        <w:spacing w:after="0" w:line="101" w:lineRule="exact"/>
        <w:rPr>
          <w:sz w:val="20"/>
          <w:szCs w:val="20"/>
          <w:color w:val="auto"/>
        </w:rPr>
      </w:pPr>
    </w:p>
    <w:p>
      <w:pPr>
        <w:jc w:val="both"/>
        <w:ind w:right="20" w:firstLine="356"/>
        <w:spacing w:after="0" w:line="267" w:lineRule="auto"/>
        <w:rPr>
          <w:sz w:val="20"/>
          <w:szCs w:val="20"/>
          <w:color w:val="auto"/>
        </w:rPr>
      </w:pPr>
      <w:r>
        <w:rPr>
          <w:rFonts w:ascii="Arial" w:cs="Arial" w:eastAsia="Arial" w:hAnsi="Arial"/>
          <w:sz w:val="15"/>
          <w:szCs w:val="15"/>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9" w:name="page10"/>
    <w:bookmarkEnd w:id="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business environment, actual results may be different from those estimates. The significant estimates and assumptions that affect the unaudited consolidated financial statements include, but are not limited to, estimates of the fair value of the identifiable intangible assets and contingent consideration, purchase price allocation, including revenue projections and discount rate applied within the discounted cash flow model for business acquisitions, allowance for expected credit losses, the nature and timing of the satisfaction of performance obligations, the standalone selling price of performance obligations, and variable consideration in a customer contract, expected recoverability from customers with contingent fee arrangements, estimated costs to complete fixed price contracts, recoverability of dues from statutory authorities, assets and obligations related to employee benefit plans, deferred tax valuation allowances, income-tax uncertainties and other contingencies, valuation of derivative financial instruments, assumptions used to calculate stock-based compensation expense, assumptions used to determine the incremental borrowing rate to calculate lease liabilities and right-of-use (“ROU”) assets, lease term to calculate amortization of ROU, depreciation and amortization periods, and recoverability of long-lived assets, goodwill and intangibles.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 Recent Accounting Pronouncements</w:t>
      </w:r>
    </w:p>
    <w:p>
      <w:pPr>
        <w:spacing w:after="0" w:line="220" w:lineRule="exact"/>
        <w:rPr>
          <w:sz w:val="20"/>
          <w:szCs w:val="20"/>
          <w:color w:val="auto"/>
        </w:rPr>
      </w:pPr>
    </w:p>
    <w:p>
      <w:pPr>
        <w:jc w:val="both"/>
        <w:ind w:firstLine="356"/>
        <w:spacing w:after="0" w:line="237" w:lineRule="auto"/>
        <w:rPr>
          <w:sz w:val="20"/>
          <w:szCs w:val="20"/>
          <w:color w:val="auto"/>
        </w:rPr>
      </w:pPr>
      <w:r>
        <w:rPr>
          <w:rFonts w:ascii="Arial" w:cs="Arial" w:eastAsia="Arial" w:hAnsi="Arial"/>
          <w:sz w:val="16"/>
          <w:szCs w:val="16"/>
          <w:color w:val="auto"/>
        </w:rPr>
        <w:t>In March 2020, the Financial Accounting Standards Board (“FASB”) issued Accounting Standard Update (“ASU”) No. 2020-04, Reference Rate Reform (Topic 848): Facilitation of the Effects of Reference Rate Reform on Financial Reporting. This ASU provides optional guidance for a limited period of time to ease potential accounting impacts associated with transitioning away from reference rates that are expected to be discontinued, such as interbank offered rates and London Inter-Bank Offered Rate (“LIBOR”). The ASU provides practical expedients and exceptions for applying U.S. GAAP to contracts, hedging relationships, and other transactions affected by reference rate reform if certain criteria are met. The amendments are elective and are effective upon issuance for all entities through December 31, 2022. The Company is currently evaluating the impact of this ASU on its consolidated financial statements.</w:t>
      </w:r>
    </w:p>
    <w:p>
      <w:pPr>
        <w:spacing w:after="0" w:line="192" w:lineRule="exact"/>
        <w:rPr>
          <w:sz w:val="20"/>
          <w:szCs w:val="20"/>
          <w:color w:val="auto"/>
        </w:rPr>
      </w:pPr>
    </w:p>
    <w:p>
      <w:pPr>
        <w:jc w:val="both"/>
        <w:ind w:firstLine="356"/>
        <w:spacing w:after="0" w:line="254" w:lineRule="auto"/>
        <w:rPr>
          <w:sz w:val="20"/>
          <w:szCs w:val="20"/>
          <w:color w:val="auto"/>
        </w:rPr>
      </w:pPr>
      <w:r>
        <w:rPr>
          <w:rFonts w:ascii="Arial" w:cs="Arial" w:eastAsia="Arial" w:hAnsi="Arial"/>
          <w:sz w:val="15"/>
          <w:szCs w:val="15"/>
          <w:color w:val="auto"/>
        </w:rPr>
        <w:t xml:space="preserve">In October 2021, FASB issued ASU No. 2021-08, </w:t>
      </w:r>
      <w:r>
        <w:rPr>
          <w:rFonts w:ascii="Arial" w:cs="Arial" w:eastAsia="Arial" w:hAnsi="Arial"/>
          <w:sz w:val="15"/>
          <w:szCs w:val="15"/>
          <w:i w:val="1"/>
          <w:iCs w:val="1"/>
          <w:color w:val="auto"/>
        </w:rPr>
        <w:t>Business Combinations (Topic 805): Accounting for Contract Assets and Contract Liabilities from Contracts with</w:t>
      </w:r>
      <w:r>
        <w:rPr>
          <w:rFonts w:ascii="Arial" w:cs="Arial" w:eastAsia="Arial" w:hAnsi="Arial"/>
          <w:sz w:val="15"/>
          <w:szCs w:val="15"/>
          <w:color w:val="auto"/>
        </w:rPr>
        <w:t xml:space="preserve"> </w:t>
      </w:r>
      <w:r>
        <w:rPr>
          <w:rFonts w:ascii="Arial" w:cs="Arial" w:eastAsia="Arial" w:hAnsi="Arial"/>
          <w:sz w:val="15"/>
          <w:szCs w:val="15"/>
          <w:i w:val="1"/>
          <w:iCs w:val="1"/>
          <w:color w:val="auto"/>
        </w:rPr>
        <w:t>Customers</w:t>
      </w:r>
      <w:r>
        <w:rPr>
          <w:rFonts w:ascii="Arial" w:cs="Arial" w:eastAsia="Arial" w:hAnsi="Arial"/>
          <w:sz w:val="15"/>
          <w:szCs w:val="15"/>
          <w:color w:val="auto"/>
        </w:rPr>
        <w:t>. This ASU provides guidance in Topic 805 to require the acquirer entity to recognize and measure contract assets and contract liabilities acquired in a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combination in accordance with Topic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U.S. GAAP. The ASU is effective for fiscal years beginning after December 15, 2022. An entity may early adopt the ASU including adoption in an interim period, with retrospective application to all business combinations within the fiscal year that includes such interim period. The Company is currently evaluating the impact of this ASU on its consolidated financial statements.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Segment and Geographical Information</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is a provider of data analytics and digital operations and solutions.</w:t>
      </w:r>
    </w:p>
    <w:p>
      <w:pPr>
        <w:spacing w:after="0" w:line="220" w:lineRule="exact"/>
        <w:rPr>
          <w:sz w:val="20"/>
          <w:szCs w:val="20"/>
          <w:color w:val="auto"/>
        </w:rPr>
      </w:pPr>
    </w:p>
    <w:p>
      <w:pPr>
        <w:jc w:val="both"/>
        <w:ind w:firstLine="356"/>
        <w:spacing w:after="0" w:line="243" w:lineRule="auto"/>
        <w:rPr>
          <w:sz w:val="20"/>
          <w:szCs w:val="20"/>
          <w:color w:val="auto"/>
        </w:rPr>
      </w:pPr>
      <w:r>
        <w:rPr>
          <w:rFonts w:ascii="Arial" w:cs="Arial" w:eastAsia="Arial" w:hAnsi="Arial"/>
          <w:sz w:val="16"/>
          <w:szCs w:val="16"/>
          <w:color w:val="auto"/>
        </w:rPr>
        <w:t>The Company manages and reports financial information through its four reportable segments: Insurance, Healthcare, Analytics and Emerging Business, which reflects how management reviews financial information and makes operating decisions. These business units develop client-specific solutions, build capabilities, maintain a unified go-to-market approach and are integrally responsible for service delivery, customer satisfaction, growth and profitability.</w:t>
      </w:r>
    </w:p>
    <w:p>
      <w:pPr>
        <w:spacing w:after="0" w:line="177" w:lineRule="exact"/>
        <w:rPr>
          <w:sz w:val="20"/>
          <w:szCs w:val="20"/>
          <w:color w:val="auto"/>
        </w:rPr>
      </w:pPr>
    </w:p>
    <w:p>
      <w:pPr>
        <w:jc w:val="both"/>
        <w:ind w:right="20" w:firstLine="356"/>
        <w:spacing w:after="0" w:line="210" w:lineRule="auto"/>
        <w:rPr>
          <w:sz w:val="20"/>
          <w:szCs w:val="20"/>
          <w:color w:val="auto"/>
        </w:rPr>
      </w:pPr>
      <w:r>
        <w:rPr>
          <w:rFonts w:ascii="Arial" w:cs="Arial" w:eastAsia="Arial" w:hAnsi="Arial"/>
          <w:sz w:val="16"/>
          <w:szCs w:val="16"/>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1" w:lineRule="exact"/>
        <w:rPr>
          <w:sz w:val="20"/>
          <w:szCs w:val="20"/>
          <w:color w:val="auto"/>
        </w:rPr>
      </w:pPr>
    </w:p>
    <w:p>
      <w:pPr>
        <w:jc w:val="both"/>
        <w:ind w:firstLine="356"/>
        <w:spacing w:after="0" w:line="215" w:lineRule="auto"/>
        <w:rPr>
          <w:sz w:val="20"/>
          <w:szCs w:val="20"/>
          <w:color w:val="auto"/>
        </w:rPr>
      </w:pPr>
      <w:r>
        <w:rPr>
          <w:rFonts w:ascii="Arial" w:cs="Arial" w:eastAsia="Arial" w:hAnsi="Arial"/>
          <w:sz w:val="16"/>
          <w:szCs w:val="16"/>
          <w:color w:val="auto"/>
        </w:rPr>
        <w:t>The Company does not allocate and therefore the CODM does not evaluate, certain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168" w:lineRule="exact"/>
        <w:rPr>
          <w:sz w:val="20"/>
          <w:szCs w:val="20"/>
          <w:color w:val="auto"/>
        </w:rPr>
      </w:pPr>
    </w:p>
    <w:p>
      <w:pPr>
        <w:jc w:val="both"/>
        <w:ind w:right="20" w:firstLine="356"/>
        <w:spacing w:after="0" w:line="231" w:lineRule="auto"/>
        <w:rPr>
          <w:sz w:val="20"/>
          <w:szCs w:val="20"/>
          <w:color w:val="auto"/>
        </w:rPr>
      </w:pPr>
      <w:r>
        <w:rPr>
          <w:rFonts w:ascii="Arial" w:cs="Arial" w:eastAsia="Arial" w:hAnsi="Arial"/>
          <w:sz w:val="16"/>
          <w:szCs w:val="16"/>
          <w:color w:val="auto"/>
        </w:rPr>
        <w:t>The December 2021 acquisition of Clairvoyant AI Inc. (“Clairvoyant”) is included in the Analytics reportable segment. Refer to Note 9 - Business Combination, Goodwill and Intangible Assets to the unaudited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0" w:name="page11"/>
    <w:bookmarkEnd w:id="1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Revenues and cost of revenues for the three months ended March 31, 2022 and 2021, respectively, for each of the reportable segments,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2320" w:type="dxa"/>
            <w:vAlign w:val="bottom"/>
            <w:tcBorders>
              <w:top w:val="single" w:sz="8" w:color="auto"/>
              <w:bottom w:val="single" w:sz="8" w:color="auto"/>
            </w:tcBorders>
            <w:gridSpan w:val="11"/>
          </w:tcPr>
          <w:p>
            <w:pPr>
              <w:jc w:val="center"/>
              <w:ind w:left="190"/>
              <w:spacing w:after="0"/>
              <w:rPr>
                <w:sz w:val="20"/>
                <w:szCs w:val="20"/>
                <w:color w:val="auto"/>
              </w:rPr>
            </w:pPr>
            <w:r>
              <w:rPr>
                <w:rFonts w:ascii="Arial" w:cs="Arial" w:eastAsia="Arial" w:hAnsi="Arial"/>
                <w:sz w:val="13"/>
                <w:szCs w:val="13"/>
                <w:b w:val="1"/>
                <w:bCs w:val="1"/>
                <w:color w:val="auto"/>
                <w:w w:val="88"/>
              </w:rPr>
              <w:t>Three months ended March 31, 2022</w:t>
            </w:r>
          </w:p>
        </w:tc>
        <w:tc>
          <w:tcPr>
            <w:tcW w:w="6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vMerge w:val="restart"/>
          </w:tcPr>
          <w:p>
            <w:pPr>
              <w:jc w:val="right"/>
              <w:ind w:right="360"/>
              <w:spacing w:after="0"/>
              <w:rPr>
                <w:sz w:val="20"/>
                <w:szCs w:val="20"/>
                <w:color w:val="auto"/>
              </w:rPr>
            </w:pPr>
            <w:r>
              <w:rPr>
                <w:rFonts w:ascii="Arial" w:cs="Arial" w:eastAsia="Arial" w:hAnsi="Arial"/>
                <w:sz w:val="16"/>
                <w:szCs w:val="16"/>
                <w:b w:val="1"/>
                <w:bCs w:val="1"/>
                <w:color w:val="auto"/>
                <w:w w:val="92"/>
              </w:rPr>
              <w:t>Insurance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vMerge w:val="restart"/>
          </w:tcPr>
          <w:p>
            <w:pPr>
              <w:jc w:val="right"/>
              <w:ind w:right="297"/>
              <w:spacing w:after="0"/>
              <w:rPr>
                <w:sz w:val="20"/>
                <w:szCs w:val="20"/>
                <w:color w:val="auto"/>
              </w:rPr>
            </w:pPr>
            <w:r>
              <w:rPr>
                <w:rFonts w:ascii="Arial" w:cs="Arial" w:eastAsia="Arial" w:hAnsi="Arial"/>
                <w:sz w:val="16"/>
                <w:szCs w:val="16"/>
                <w:b w:val="1"/>
                <w:bCs w:val="1"/>
                <w:color w:val="auto"/>
                <w:w w:val="90"/>
              </w:rPr>
              <w:t>Healthcare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4"/>
          </w:tcPr>
          <w:p>
            <w:pPr>
              <w:jc w:val="center"/>
              <w:ind w:right="340"/>
              <w:spacing w:after="0" w:line="151" w:lineRule="exact"/>
              <w:rPr>
                <w:sz w:val="20"/>
                <w:szCs w:val="20"/>
                <w:color w:val="auto"/>
              </w:rPr>
            </w:pPr>
            <w:r>
              <w:rPr>
                <w:rFonts w:ascii="Arial" w:cs="Arial" w:eastAsia="Arial" w:hAnsi="Arial"/>
                <w:sz w:val="16"/>
                <w:szCs w:val="16"/>
                <w:b w:val="1"/>
                <w:bCs w:val="1"/>
                <w:color w:val="auto"/>
                <w:w w:val="89"/>
              </w:rPr>
              <w:t>Emerging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Analytics</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4"/>
            <w:vMerge w:val="restart"/>
          </w:tcPr>
          <w:p>
            <w:pPr>
              <w:jc w:val="center"/>
              <w:ind w:right="340"/>
              <w:spacing w:after="0"/>
              <w:rPr>
                <w:sz w:val="20"/>
                <w:szCs w:val="20"/>
                <w:color w:val="auto"/>
              </w:rPr>
            </w:pPr>
            <w:r>
              <w:rPr>
                <w:rFonts w:ascii="Arial" w:cs="Arial" w:eastAsia="Arial" w:hAnsi="Arial"/>
                <w:sz w:val="16"/>
                <w:szCs w:val="16"/>
                <w:b w:val="1"/>
                <w:bCs w:val="1"/>
                <w:color w:val="auto"/>
                <w:w w:val="81"/>
              </w:rPr>
              <w:t>Business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6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Revenues, net</w:t>
            </w: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103,266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26,156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w:t>
            </w: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jc w:val="center"/>
              <w:ind w:left="381"/>
              <w:spacing w:after="0"/>
              <w:rPr>
                <w:sz w:val="20"/>
                <w:szCs w:val="20"/>
                <w:color w:val="auto"/>
              </w:rPr>
            </w:pPr>
            <w:r>
              <w:rPr>
                <w:rFonts w:ascii="Arial" w:cs="Arial" w:eastAsia="Arial" w:hAnsi="Arial"/>
                <w:sz w:val="16"/>
                <w:szCs w:val="16"/>
                <w:color w:val="auto"/>
                <w:w w:val="85"/>
              </w:rPr>
              <w:t>50,747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149,039</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329,208</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4640" w:type="dxa"/>
            <w:vAlign w:val="bottom"/>
            <w:tcBorders>
              <w:bottom w:val="single" w:sz="8" w:color="CCEEFF"/>
            </w:tcBorders>
            <w:gridSpan w:val="3"/>
          </w:tcPr>
          <w:p>
            <w:pPr>
              <w:ind w:left="20"/>
              <w:spacing w:after="0" w:line="202" w:lineRule="exact"/>
              <w:rPr>
                <w:sz w:val="20"/>
                <w:szCs w:val="20"/>
                <w:color w:val="auto"/>
              </w:rPr>
            </w:pPr>
            <w:r>
              <w:rPr>
                <w:rFonts w:ascii="Arial" w:cs="Arial" w:eastAsia="Arial" w:hAnsi="Arial"/>
                <w:sz w:val="16"/>
                <w:szCs w:val="16"/>
                <w:color w:val="auto"/>
              </w:rPr>
              <w:t>Cost of revenues</w:t>
            </w:r>
            <w:r>
              <w:rPr>
                <w:rFonts w:ascii="Arial" w:cs="Arial" w:eastAsia="Arial" w:hAnsi="Arial"/>
                <w:sz w:val="20"/>
                <w:szCs w:val="20"/>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65,082</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17,651</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center"/>
              <w:ind w:left="381"/>
              <w:spacing w:after="0"/>
              <w:rPr>
                <w:sz w:val="20"/>
                <w:szCs w:val="20"/>
                <w:color w:val="auto"/>
              </w:rPr>
            </w:pPr>
            <w:r>
              <w:rPr>
                <w:rFonts w:ascii="Arial" w:cs="Arial" w:eastAsia="Arial" w:hAnsi="Arial"/>
                <w:sz w:val="16"/>
                <w:szCs w:val="16"/>
                <w:color w:val="auto"/>
                <w:w w:val="85"/>
              </w:rPr>
              <w:t>29,213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95,570</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207,516</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8"/>
                <w:szCs w:val="18"/>
                <w:color w:val="auto"/>
              </w:rPr>
            </w:pPr>
          </w:p>
        </w:tc>
        <w:tc>
          <w:tcPr>
            <w:tcW w:w="4640" w:type="dxa"/>
            <w:vAlign w:val="bottom"/>
            <w:tcBorders>
              <w:bottom w:val="single" w:sz="8" w:color="CCEEFF"/>
            </w:tcBorders>
            <w:gridSpan w:val="3"/>
            <w:shd w:val="clear" w:color="auto" w:fill="CCEEFF"/>
          </w:tcPr>
          <w:p>
            <w:pPr>
              <w:ind w:left="20"/>
              <w:spacing w:after="0" w:line="194" w:lineRule="exact"/>
              <w:rPr>
                <w:sz w:val="20"/>
                <w:szCs w:val="20"/>
                <w:color w:val="auto"/>
              </w:rPr>
            </w:pPr>
            <w:r>
              <w:rPr>
                <w:rFonts w:ascii="Arial" w:cs="Arial" w:eastAsia="Arial" w:hAnsi="Arial"/>
                <w:sz w:val="16"/>
                <w:szCs w:val="16"/>
                <w:color w:val="auto"/>
              </w:rPr>
              <w:t>Gross profit</w:t>
            </w:r>
            <w:r>
              <w:rPr>
                <w:rFonts w:ascii="Arial" w:cs="Arial" w:eastAsia="Arial" w:hAnsi="Arial"/>
                <w:sz w:val="20"/>
                <w:szCs w:val="20"/>
                <w:color w:val="auto"/>
                <w:vertAlign w:val="superscript"/>
              </w:rPr>
              <w:t>(1)</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38,184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8,505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w:t>
            </w: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center"/>
              <w:ind w:left="381"/>
              <w:spacing w:after="0"/>
              <w:rPr>
                <w:sz w:val="20"/>
                <w:szCs w:val="20"/>
                <w:color w:val="auto"/>
              </w:rPr>
            </w:pPr>
            <w:r>
              <w:rPr>
                <w:rFonts w:ascii="Arial" w:cs="Arial" w:eastAsia="Arial" w:hAnsi="Arial"/>
                <w:sz w:val="16"/>
                <w:szCs w:val="16"/>
                <w:color w:val="auto"/>
                <w:w w:val="85"/>
              </w:rPr>
              <w:t>21,534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53,469</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121,692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46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Arial" w:cs="Arial" w:eastAsia="Arial" w:hAnsi="Arial"/>
                <w:sz w:val="16"/>
                <w:szCs w:val="16"/>
                <w:color w:val="auto"/>
              </w:rPr>
              <w:t>77,717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4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Foreign exchange gain, interest expense and other income, net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4640" w:type="dxa"/>
            <w:vAlign w:val="bottom"/>
            <w:gridSpan w:val="3"/>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4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Gain from equity-method investment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4640" w:type="dxa"/>
            <w:vAlign w:val="bottom"/>
            <w:gridSpan w:val="3"/>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36,178</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gridSpan w:val="4"/>
            <w:vMerge w:val="restart"/>
          </w:tcPr>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 xml:space="preserve"> Exclusive of depreciation and amortization expense.</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470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5"/>
          </w:tcPr>
          <w:p>
            <w:pPr>
              <w:ind w:left="380"/>
              <w:spacing w:after="0"/>
              <w:rPr>
                <w:sz w:val="20"/>
                <w:szCs w:val="20"/>
                <w:color w:val="auto"/>
              </w:rPr>
            </w:pPr>
            <w:r>
              <w:rPr>
                <w:rFonts w:ascii="Arial" w:cs="Arial" w:eastAsia="Arial" w:hAnsi="Arial"/>
                <w:sz w:val="13"/>
                <w:szCs w:val="13"/>
                <w:b w:val="1"/>
                <w:bCs w:val="1"/>
                <w:color w:val="auto"/>
              </w:rPr>
              <w:t>Three months ended March 31, 2021</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w w:val="95"/>
              </w:rPr>
              <w:t>Insurance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vMerge w:val="restart"/>
          </w:tcPr>
          <w:p>
            <w:pPr>
              <w:jc w:val="right"/>
              <w:ind w:right="157"/>
              <w:spacing w:after="0"/>
              <w:rPr>
                <w:sz w:val="20"/>
                <w:szCs w:val="20"/>
                <w:color w:val="auto"/>
              </w:rPr>
            </w:pPr>
            <w:r>
              <w:rPr>
                <w:rFonts w:ascii="Arial" w:cs="Arial" w:eastAsia="Arial" w:hAnsi="Arial"/>
                <w:sz w:val="16"/>
                <w:szCs w:val="16"/>
                <w:b w:val="1"/>
                <w:bCs w:val="1"/>
                <w:color w:val="auto"/>
              </w:rPr>
              <w:t>Healthcare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4"/>
          </w:tcPr>
          <w:p>
            <w:pPr>
              <w:jc w:val="right"/>
              <w:ind w:right="280"/>
              <w:spacing w:after="0" w:line="151" w:lineRule="exact"/>
              <w:rPr>
                <w:sz w:val="20"/>
                <w:szCs w:val="20"/>
                <w:color w:val="auto"/>
              </w:rPr>
            </w:pPr>
            <w:r>
              <w:rPr>
                <w:rFonts w:ascii="Arial" w:cs="Arial" w:eastAsia="Arial" w:hAnsi="Arial"/>
                <w:sz w:val="16"/>
                <w:szCs w:val="16"/>
                <w:b w:val="1"/>
                <w:bCs w:val="1"/>
                <w:color w:val="auto"/>
              </w:rPr>
              <w:t>Emerging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rPr>
              <w:t>Analytics</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4"/>
            <w:vMerge w:val="restart"/>
          </w:tcPr>
          <w:p>
            <w:pPr>
              <w:jc w:val="right"/>
              <w:ind w:right="320"/>
              <w:spacing w:after="0"/>
              <w:rPr>
                <w:sz w:val="20"/>
                <w:szCs w:val="20"/>
                <w:color w:val="auto"/>
              </w:rPr>
            </w:pPr>
            <w:r>
              <w:rPr>
                <w:rFonts w:ascii="Arial" w:cs="Arial" w:eastAsia="Arial" w:hAnsi="Arial"/>
                <w:sz w:val="16"/>
                <w:szCs w:val="16"/>
                <w:b w:val="1"/>
                <w:bCs w:val="1"/>
                <w:color w:val="auto"/>
              </w:rPr>
              <w:t>Business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tcBorders>
              <w:bottom w:val="single" w:sz="8" w:color="CCEEFF"/>
            </w:tcBorders>
          </w:tcPr>
          <w:p>
            <w:pPr>
              <w:spacing w:after="0"/>
              <w:rPr>
                <w:sz w:val="6"/>
                <w:szCs w:val="6"/>
                <w:color w:val="auto"/>
              </w:rPr>
            </w:pPr>
          </w:p>
        </w:tc>
        <w:tc>
          <w:tcPr>
            <w:tcW w:w="30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gridSpan w:val="4"/>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 net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91,160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30,265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89"/>
              </w:rPr>
              <w:t>37,668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102,322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261,415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6"/>
                <w:szCs w:val="16"/>
                <w:color w:val="auto"/>
              </w:rPr>
              <w:t>Cost of revenues</w:t>
            </w:r>
            <w:r>
              <w:rPr>
                <w:rFonts w:ascii="Arial" w:cs="Arial" w:eastAsia="Arial" w:hAnsi="Arial"/>
                <w:sz w:val="20"/>
                <w:szCs w:val="20"/>
                <w:color w:val="auto"/>
                <w:vertAlign w:val="superscript"/>
              </w:rPr>
              <w:t>(1)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56,093</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17,391</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w w:val="89"/>
              </w:rPr>
              <w:t>20,844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64,493</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158,821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tcBorders>
              <w:bottom w:val="single" w:sz="8" w:color="CCEEFF"/>
            </w:tcBorders>
            <w:gridSpan w:val="2"/>
            <w:shd w:val="clear" w:color="auto" w:fill="CCEEFF"/>
          </w:tcPr>
          <w:p>
            <w:pPr>
              <w:spacing w:after="0" w:line="194" w:lineRule="exact"/>
              <w:rPr>
                <w:sz w:val="20"/>
                <w:szCs w:val="20"/>
                <w:color w:val="auto"/>
              </w:rPr>
            </w:pPr>
            <w:r>
              <w:rPr>
                <w:rFonts w:ascii="Arial" w:cs="Arial" w:eastAsia="Arial" w:hAnsi="Arial"/>
                <w:sz w:val="16"/>
                <w:szCs w:val="16"/>
                <w:color w:val="auto"/>
              </w:rPr>
              <w:t>Gross profit</w:t>
            </w:r>
            <w:r>
              <w:rPr>
                <w:rFonts w:ascii="Arial" w:cs="Arial" w:eastAsia="Arial" w:hAnsi="Arial"/>
                <w:sz w:val="20"/>
                <w:szCs w:val="20"/>
                <w:color w:val="auto"/>
                <w:vertAlign w:val="superscript"/>
              </w:rPr>
              <w:t>(1)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35,067</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12,874</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89"/>
              </w:rPr>
              <w:t>16,824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37,829</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Operating expenses</w:t>
            </w: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Arial" w:cs="Arial" w:eastAsia="Arial" w:hAnsi="Arial"/>
                <w:sz w:val="16"/>
                <w:szCs w:val="16"/>
                <w:color w:val="auto"/>
              </w:rPr>
              <w:t>61,039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exchange gain, interest expense and other income, net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gridSpan w:val="2"/>
          </w:tcPr>
          <w:p>
            <w:pPr>
              <w:spacing w:after="0"/>
              <w:rPr>
                <w:sz w:val="20"/>
                <w:szCs w:val="20"/>
                <w:color w:val="auto"/>
              </w:rPr>
            </w:pPr>
            <w:r>
              <w:rPr>
                <w:rFonts w:ascii="Arial" w:cs="Arial" w:eastAsia="Arial" w:hAnsi="Arial"/>
                <w:sz w:val="16"/>
                <w:szCs w:val="16"/>
                <w:color w:val="auto"/>
              </w:rPr>
              <w:t>Income tax expense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from equity-method investment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gridSpan w:val="2"/>
          </w:tcPr>
          <w:p>
            <w:pPr>
              <w:spacing w:after="0" w:line="181" w:lineRule="exact"/>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gridSpan w:val="4"/>
            <w:vMerge w:val="restart"/>
          </w:tcPr>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 xml:space="preserve"> Exclusive of depreciation and amortization expense.</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70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
          </w:tcPr>
          <w:p>
            <w:pPr>
              <w:ind w:left="280"/>
              <w:spacing w:after="0"/>
              <w:rPr>
                <w:sz w:val="20"/>
                <w:szCs w:val="20"/>
                <w:color w:val="auto"/>
              </w:rPr>
            </w:pPr>
            <w:r>
              <w:rPr>
                <w:rFonts w:ascii="Arial" w:cs="Arial" w:eastAsia="Arial" w:hAnsi="Arial"/>
                <w:sz w:val="16"/>
                <w:szCs w:val="16"/>
                <w:color w:val="auto"/>
              </w:rPr>
              <w:t>Revenues, net by service type, were as follows: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10"/>
          </w:tcPr>
          <w:p>
            <w:pPr>
              <w:ind w:left="60"/>
              <w:spacing w:after="0"/>
              <w:rPr>
                <w:sz w:val="20"/>
                <w:szCs w:val="20"/>
                <w:color w:val="auto"/>
              </w:rPr>
            </w:pPr>
            <w:r>
              <w:rPr>
                <w:rFonts w:ascii="Arial" w:cs="Arial" w:eastAsia="Arial" w:hAnsi="Arial"/>
                <w:sz w:val="13"/>
                <w:szCs w:val="13"/>
                <w:b w:val="1"/>
                <w:bCs w:val="1"/>
                <w:color w:val="auto"/>
                <w:w w:val="87"/>
              </w:rPr>
              <w:t>Three months ended March 31,</w:t>
            </w:r>
          </w:p>
        </w:tc>
        <w:tc>
          <w:tcPr>
            <w:tcW w:w="620" w:type="dxa"/>
            <w:vAlign w:val="bottom"/>
            <w:tcBorders>
              <w:bottom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5"/>
          </w:tcPr>
          <w:p>
            <w:pPr>
              <w:jc w:val="center"/>
              <w:ind w:left="530"/>
              <w:spacing w:after="0"/>
              <w:rPr>
                <w:sz w:val="20"/>
                <w:szCs w:val="20"/>
                <w:color w:val="auto"/>
              </w:rPr>
            </w:pPr>
            <w:r>
              <w:rPr>
                <w:rFonts w:ascii="Arial" w:cs="Arial" w:eastAsia="Arial" w:hAnsi="Arial"/>
                <w:sz w:val="13"/>
                <w:szCs w:val="13"/>
                <w:b w:val="1"/>
                <w:bCs w:val="1"/>
                <w:color w:val="auto"/>
                <w:w w:val="89"/>
              </w:rPr>
              <w:t>2022</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rPr>
              <w:t>2021</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40" w:type="dxa"/>
            <w:vAlign w:val="bottom"/>
            <w:shd w:val="clear" w:color="auto" w:fill="CCEEFF"/>
          </w:tcPr>
          <w:p>
            <w:pPr>
              <w:ind w:left="20"/>
              <w:spacing w:after="0" w:line="194" w:lineRule="exact"/>
              <w:rPr>
                <w:sz w:val="20"/>
                <w:szCs w:val="20"/>
                <w:color w:val="auto"/>
              </w:rPr>
            </w:pPr>
            <w:r>
              <w:rPr>
                <w:rFonts w:ascii="Arial" w:cs="Arial" w:eastAsia="Arial" w:hAnsi="Arial"/>
                <w:sz w:val="16"/>
                <w:szCs w:val="16"/>
                <w:color w:val="auto"/>
              </w:rPr>
              <w:t>Digital operations and solutions</w:t>
            </w:r>
            <w:r>
              <w:rPr>
                <w:rFonts w:ascii="Arial" w:cs="Arial" w:eastAsia="Arial" w:hAnsi="Arial"/>
                <w:sz w:val="20"/>
                <w:szCs w:val="20"/>
                <w:color w:val="auto"/>
                <w:vertAlign w:val="superscript"/>
              </w:rPr>
              <w:t>(1)</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90"/>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180,169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center"/>
              <w:ind w:right="121"/>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159,093</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Analytics services</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149,039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102,322</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net</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329,208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center"/>
              <w:ind w:right="121"/>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261,415</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firstLine="356"/>
        <w:spacing w:after="0" w:line="216"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Digital operations and solutions include revenues of the Company's Insurance, Healthcare and Emerging Business reportable segments. Refer to the reportable segment disclosure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attributes the revenues to regions based upon the location of its customers.</w:t>
      </w:r>
    </w:p>
    <w:p>
      <w:pPr>
        <w:spacing w:after="0" w:line="117"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794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503"/>
              <w:spacing w:after="0"/>
              <w:rPr>
                <w:sz w:val="20"/>
                <w:szCs w:val="20"/>
                <w:color w:val="auto"/>
              </w:rPr>
            </w:pPr>
            <w:r>
              <w:rPr>
                <w:rFonts w:ascii="Arial" w:cs="Arial" w:eastAsia="Arial" w:hAnsi="Arial"/>
                <w:sz w:val="13"/>
                <w:szCs w:val="13"/>
                <w:b w:val="1"/>
                <w:bCs w:val="1"/>
                <w:color w:val="auto"/>
              </w:rPr>
              <w:t>Three months ended March 31,</w:t>
            </w:r>
          </w:p>
        </w:tc>
      </w:tr>
      <w:tr>
        <w:trPr>
          <w:trHeight w:val="162"/>
        </w:trPr>
        <w:tc>
          <w:tcPr>
            <w:tcW w:w="79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2021</w:t>
            </w:r>
          </w:p>
        </w:tc>
      </w:tr>
      <w:tr>
        <w:trPr>
          <w:trHeight w:val="183"/>
        </w:trPr>
        <w:tc>
          <w:tcPr>
            <w:tcW w:w="79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Revenues, net</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1"/>
        </w:trPr>
        <w:tc>
          <w:tcPr>
            <w:tcW w:w="7940" w:type="dxa"/>
            <w:vAlign w:val="bottom"/>
          </w:tcPr>
          <w:p>
            <w:pPr>
              <w:spacing w:after="0"/>
              <w:rPr>
                <w:sz w:val="20"/>
                <w:szCs w:val="20"/>
                <w:color w:val="auto"/>
              </w:rPr>
            </w:pPr>
            <w:r>
              <w:rPr>
                <w:rFonts w:ascii="Arial" w:cs="Arial" w:eastAsia="Arial" w:hAnsi="Arial"/>
                <w:sz w:val="16"/>
                <w:szCs w:val="16"/>
                <w:color w:val="auto"/>
              </w:rPr>
              <w:t>United States</w:t>
            </w:r>
          </w:p>
        </w:tc>
        <w:tc>
          <w:tcPr>
            <w:tcW w:w="840" w:type="dxa"/>
            <w:vAlign w:val="bottom"/>
          </w:tcPr>
          <w:p>
            <w:pPr>
              <w:jc w:val="right"/>
              <w:ind w:right="69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w w:val="86"/>
              </w:rPr>
              <w:t>282,379</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224,368</w:t>
            </w:r>
          </w:p>
        </w:tc>
      </w:tr>
      <w:tr>
        <w:trPr>
          <w:trHeight w:val="202"/>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Non-United States</w:t>
            </w: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1"/>
        </w:trPr>
        <w:tc>
          <w:tcPr>
            <w:tcW w:w="7940" w:type="dxa"/>
            <w:vAlign w:val="bottom"/>
          </w:tcPr>
          <w:p>
            <w:pPr>
              <w:ind w:left="180"/>
              <w:spacing w:after="0"/>
              <w:rPr>
                <w:sz w:val="20"/>
                <w:szCs w:val="20"/>
                <w:color w:val="auto"/>
              </w:rPr>
            </w:pPr>
            <w:r>
              <w:rPr>
                <w:rFonts w:ascii="Arial" w:cs="Arial" w:eastAsia="Arial" w:hAnsi="Arial"/>
                <w:sz w:val="16"/>
                <w:szCs w:val="16"/>
                <w:color w:val="auto"/>
              </w:rPr>
              <w:t>United Kingdom</w:t>
            </w:r>
          </w:p>
        </w:tc>
        <w:tc>
          <w:tcPr>
            <w:tcW w:w="840" w:type="dxa"/>
            <w:vAlign w:val="bottom"/>
          </w:tcPr>
          <w:p>
            <w:pPr>
              <w:spacing w:after="0"/>
              <w:rPr>
                <w:sz w:val="17"/>
                <w:szCs w:val="17"/>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32,773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24,751</w:t>
            </w:r>
          </w:p>
        </w:tc>
      </w:tr>
      <w:tr>
        <w:trPr>
          <w:trHeight w:val="202"/>
        </w:trPr>
        <w:tc>
          <w:tcPr>
            <w:tcW w:w="7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 of World</w:t>
            </w:r>
          </w:p>
        </w:tc>
        <w:tc>
          <w:tcPr>
            <w:tcW w:w="8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14,056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12,296</w:t>
            </w:r>
          </w:p>
        </w:tc>
      </w:tr>
      <w:tr>
        <w:trPr>
          <w:trHeight w:val="193"/>
        </w:trPr>
        <w:tc>
          <w:tcPr>
            <w:tcW w:w="7940" w:type="dxa"/>
            <w:vAlign w:val="bottom"/>
            <w:tcBorders>
              <w:bottom w:val="single" w:sz="8" w:color="CCEEFF"/>
            </w:tcBorders>
          </w:tcPr>
          <w:p>
            <w:pPr>
              <w:spacing w:after="0" w:line="181" w:lineRule="exact"/>
              <w:rPr>
                <w:sz w:val="20"/>
                <w:szCs w:val="20"/>
                <w:color w:val="auto"/>
              </w:rPr>
            </w:pPr>
            <w:r>
              <w:rPr>
                <w:rFonts w:ascii="Arial" w:cs="Arial" w:eastAsia="Arial" w:hAnsi="Arial"/>
                <w:sz w:val="16"/>
                <w:szCs w:val="16"/>
                <w:color w:val="auto"/>
              </w:rPr>
              <w:t>Total Non-United States</w:t>
            </w:r>
          </w:p>
        </w:tc>
        <w:tc>
          <w:tcPr>
            <w:tcW w:w="8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46,829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37,047</w:t>
            </w:r>
          </w:p>
        </w:tc>
      </w:tr>
      <w:tr>
        <w:trPr>
          <w:trHeight w:val="219"/>
        </w:trPr>
        <w:tc>
          <w:tcPr>
            <w:tcW w:w="794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Revenues, net</w:t>
            </w:r>
          </w:p>
        </w:tc>
        <w:tc>
          <w:tcPr>
            <w:tcW w:w="84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6"/>
              </w:rPr>
              <w:t>329,208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261,415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Long-lived assets by geographic area, which consist of property and equipment, net and operating lease right-of-use assets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3"/>
                <w:szCs w:val="13"/>
                <w:b w:val="1"/>
                <w:bCs w:val="1"/>
                <w:color w:val="auto"/>
              </w:rPr>
              <w:t>As of</w:t>
            </w:r>
          </w:p>
        </w:tc>
        <w:tc>
          <w:tcPr>
            <w:tcW w:w="1440" w:type="dxa"/>
            <w:vAlign w:val="bottom"/>
            <w:tcBorders>
              <w:bottom w:val="single" w:sz="8" w:color="auto"/>
            </w:tcBorders>
          </w:tcPr>
          <w:p>
            <w:pPr>
              <w:spacing w:after="0"/>
              <w:rPr>
                <w:sz w:val="14"/>
                <w:szCs w:val="14"/>
                <w:color w:val="auto"/>
              </w:rPr>
            </w:pPr>
          </w:p>
        </w:tc>
      </w:tr>
      <w:tr>
        <w:trPr>
          <w:trHeight w:val="162"/>
        </w:trPr>
        <w:tc>
          <w:tcPr>
            <w:tcW w:w="7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ind w:left="180"/>
              <w:spacing w:after="0"/>
              <w:rPr>
                <w:sz w:val="20"/>
                <w:szCs w:val="20"/>
                <w:color w:val="auto"/>
              </w:rPr>
            </w:pPr>
            <w:r>
              <w:rPr>
                <w:rFonts w:ascii="Arial" w:cs="Arial" w:eastAsia="Arial" w:hAnsi="Arial"/>
                <w:sz w:val="13"/>
                <w:szCs w:val="13"/>
                <w:b w:val="1"/>
                <w:bCs w:val="1"/>
                <w:color w:val="auto"/>
              </w:rPr>
              <w:t>March 31, 2022</w:t>
            </w:r>
          </w:p>
        </w:tc>
        <w:tc>
          <w:tcPr>
            <w:tcW w:w="200" w:type="dxa"/>
            <w:vAlign w:val="bottom"/>
          </w:tcPr>
          <w:p>
            <w:pPr>
              <w:spacing w:after="0"/>
              <w:rPr>
                <w:sz w:val="14"/>
                <w:szCs w:val="14"/>
                <w:color w:val="auto"/>
              </w:rPr>
            </w:pPr>
          </w:p>
        </w:tc>
        <w:tc>
          <w:tcPr>
            <w:tcW w:w="1440" w:type="dxa"/>
            <w:vAlign w:val="bottom"/>
          </w:tcPr>
          <w:p>
            <w:pPr>
              <w:jc w:val="right"/>
              <w:ind w:right="243"/>
              <w:spacing w:after="0"/>
              <w:rPr>
                <w:sz w:val="20"/>
                <w:szCs w:val="20"/>
                <w:color w:val="auto"/>
              </w:rPr>
            </w:pPr>
            <w:r>
              <w:rPr>
                <w:rFonts w:ascii="Arial" w:cs="Arial" w:eastAsia="Arial" w:hAnsi="Arial"/>
                <w:sz w:val="13"/>
                <w:szCs w:val="13"/>
                <w:b w:val="1"/>
                <w:bCs w:val="1"/>
                <w:color w:val="auto"/>
                <w:w w:val="93"/>
              </w:rPr>
              <w:t>December 31, 2021</w:t>
            </w:r>
          </w:p>
        </w:tc>
      </w:tr>
      <w:tr>
        <w:trPr>
          <w:trHeight w:val="218"/>
        </w:trPr>
        <w:tc>
          <w:tcPr>
            <w:tcW w:w="7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02"/>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Long-lived assets</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01"/>
        </w:trPr>
        <w:tc>
          <w:tcPr>
            <w:tcW w:w="7280" w:type="dxa"/>
            <w:vAlign w:val="bottom"/>
          </w:tcPr>
          <w:p>
            <w:pPr>
              <w:ind w:left="20"/>
              <w:spacing w:after="0"/>
              <w:rPr>
                <w:sz w:val="20"/>
                <w:szCs w:val="20"/>
                <w:color w:val="auto"/>
              </w:rPr>
            </w:pPr>
            <w:r>
              <w:rPr>
                <w:rFonts w:ascii="Arial" w:cs="Arial" w:eastAsia="Arial" w:hAnsi="Arial"/>
                <w:sz w:val="16"/>
                <w:szCs w:val="16"/>
                <w:color w:val="auto"/>
              </w:rPr>
              <w:t>India</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72,793</w:t>
            </w:r>
          </w:p>
        </w:tc>
        <w:tc>
          <w:tcPr>
            <w:tcW w:w="12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79,604</w:t>
            </w:r>
          </w:p>
        </w:tc>
      </w:tr>
      <w:tr>
        <w:trPr>
          <w:trHeight w:val="202"/>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52,856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50,095</w:t>
            </w:r>
          </w:p>
        </w:tc>
      </w:tr>
      <w:tr>
        <w:trPr>
          <w:trHeight w:val="201"/>
        </w:trPr>
        <w:tc>
          <w:tcPr>
            <w:tcW w:w="7280" w:type="dxa"/>
            <w:vAlign w:val="bottom"/>
          </w:tcPr>
          <w:p>
            <w:pPr>
              <w:ind w:left="20"/>
              <w:spacing w:after="0"/>
              <w:rPr>
                <w:sz w:val="20"/>
                <w:szCs w:val="20"/>
                <w:color w:val="auto"/>
              </w:rPr>
            </w:pPr>
            <w:r>
              <w:rPr>
                <w:rFonts w:ascii="Arial" w:cs="Arial" w:eastAsia="Arial" w:hAnsi="Arial"/>
                <w:sz w:val="16"/>
                <w:szCs w:val="16"/>
                <w:color w:val="auto"/>
              </w:rPr>
              <w:t>Philippines</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23,760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22,011</w:t>
            </w:r>
          </w:p>
        </w:tc>
      </w:tr>
      <w:tr>
        <w:trPr>
          <w:trHeight w:val="202"/>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2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11,348</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10,990</w:t>
            </w:r>
          </w:p>
        </w:tc>
      </w:tr>
      <w:tr>
        <w:trPr>
          <w:trHeight w:val="193"/>
        </w:trPr>
        <w:tc>
          <w:tcPr>
            <w:tcW w:w="7280" w:type="dxa"/>
            <w:vAlign w:val="bottom"/>
          </w:tcPr>
          <w:p>
            <w:pPr>
              <w:ind w:left="20"/>
              <w:spacing w:after="0" w:line="181" w:lineRule="exact"/>
              <w:rPr>
                <w:sz w:val="20"/>
                <w:szCs w:val="20"/>
                <w:color w:val="auto"/>
              </w:rPr>
            </w:pPr>
            <w:r>
              <w:rPr>
                <w:rFonts w:ascii="Arial" w:cs="Arial" w:eastAsia="Arial" w:hAnsi="Arial"/>
                <w:sz w:val="16"/>
                <w:szCs w:val="16"/>
                <w:color w:val="auto"/>
              </w:rPr>
              <w:t>Long-lived assets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160,757</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162,700</w:t>
            </w: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Revenues, net</w:t>
      </w:r>
    </w:p>
    <w:p>
      <w:pPr>
        <w:spacing w:after="0" w:line="224" w:lineRule="exact"/>
        <w:rPr>
          <w:sz w:val="20"/>
          <w:szCs w:val="20"/>
          <w:color w:val="auto"/>
        </w:rPr>
      </w:pPr>
    </w:p>
    <w:p>
      <w:pPr>
        <w:jc w:val="both"/>
        <w:ind w:firstLine="356"/>
        <w:spacing w:after="0" w:line="254" w:lineRule="auto"/>
        <w:rPr>
          <w:sz w:val="20"/>
          <w:szCs w:val="20"/>
          <w:color w:val="auto"/>
        </w:rPr>
      </w:pPr>
      <w:r>
        <w:rPr>
          <w:rFonts w:ascii="Arial" w:cs="Arial" w:eastAsia="Arial" w:hAnsi="Arial"/>
          <w:sz w:val="16"/>
          <w:szCs w:val="16"/>
          <w:color w:val="auto"/>
        </w:rPr>
        <w:t>Refer to Note 3 - Segment and Geographical Information to the unaudited consolidated financial statements for revenues disaggregated by reportable segments and geography.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Contract balances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provides information about accounts receivable, contract assets and contract liabilities from contracts with customers:</w:t>
      </w:r>
    </w:p>
    <w:p>
      <w:pPr>
        <w:spacing w:after="0" w:line="22" w:lineRule="exact"/>
        <w:rPr>
          <w:sz w:val="20"/>
          <w:szCs w:val="20"/>
          <w:color w:val="auto"/>
        </w:rPr>
      </w:pPr>
    </w:p>
    <w:tbl>
      <w:tblPr>
        <w:tblLayout w:type="fixed"/>
        <w:tblInd w:w="420" w:type="dxa"/>
        <w:tblCellMar>
          <w:top w:w="0" w:type="dxa"/>
          <w:left w:w="0" w:type="dxa"/>
          <w:bottom w:w="0" w:type="dxa"/>
          <w:right w:w="0" w:type="dxa"/>
        </w:tblCellMar>
      </w:tblPr>
      <w:tr>
        <w:trPr>
          <w:trHeight w:val="170"/>
        </w:trPr>
        <w:tc>
          <w:tcPr>
            <w:tcW w:w="64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3"/>
                <w:szCs w:val="13"/>
                <w:b w:val="1"/>
                <w:bCs w:val="1"/>
                <w:color w:val="auto"/>
                <w:w w:val="98"/>
              </w:rPr>
              <w:t>As of</w:t>
            </w:r>
          </w:p>
        </w:tc>
        <w:tc>
          <w:tcPr>
            <w:tcW w:w="1540" w:type="dxa"/>
            <w:vAlign w:val="bottom"/>
            <w:tcBorders>
              <w:bottom w:val="single" w:sz="8" w:color="auto"/>
            </w:tcBorders>
          </w:tcPr>
          <w:p>
            <w:pPr>
              <w:spacing w:after="0"/>
              <w:rPr>
                <w:sz w:val="14"/>
                <w:szCs w:val="14"/>
                <w:color w:val="auto"/>
              </w:rPr>
            </w:pPr>
          </w:p>
        </w:tc>
      </w:tr>
      <w:tr>
        <w:trPr>
          <w:trHeight w:val="162"/>
        </w:trPr>
        <w:tc>
          <w:tcPr>
            <w:tcW w:w="64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424"/>
              <w:spacing w:after="0"/>
              <w:rPr>
                <w:sz w:val="20"/>
                <w:szCs w:val="20"/>
                <w:color w:val="auto"/>
              </w:rPr>
            </w:pPr>
            <w:r>
              <w:rPr>
                <w:rFonts w:ascii="Arial" w:cs="Arial" w:eastAsia="Arial" w:hAnsi="Arial"/>
                <w:sz w:val="13"/>
                <w:szCs w:val="13"/>
                <w:b w:val="1"/>
                <w:bCs w:val="1"/>
                <w:color w:val="auto"/>
              </w:rPr>
              <w:t>March 31, 2022</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3"/>
                <w:szCs w:val="13"/>
                <w:b w:val="1"/>
                <w:bCs w:val="1"/>
                <w:color w:val="auto"/>
                <w:w w:val="97"/>
              </w:rPr>
              <w:t>December 31, 2021</w:t>
            </w:r>
          </w:p>
        </w:tc>
      </w:tr>
      <w:tr>
        <w:trPr>
          <w:trHeight w:val="218"/>
        </w:trPr>
        <w:tc>
          <w:tcPr>
            <w:tcW w:w="6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2"/>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6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239,279</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194,232</w:t>
            </w:r>
          </w:p>
        </w:tc>
      </w:tr>
      <w:tr>
        <w:trPr>
          <w:trHeight w:val="201"/>
        </w:trPr>
        <w:tc>
          <w:tcPr>
            <w:tcW w:w="6400" w:type="dxa"/>
            <w:vAlign w:val="bottom"/>
          </w:tcPr>
          <w:p>
            <w:pPr>
              <w:ind w:left="360"/>
              <w:spacing w:after="0"/>
              <w:rPr>
                <w:sz w:val="20"/>
                <w:szCs w:val="20"/>
                <w:color w:val="auto"/>
              </w:rPr>
            </w:pPr>
            <w:r>
              <w:rPr>
                <w:rFonts w:ascii="Arial" w:cs="Arial" w:eastAsia="Arial" w:hAnsi="Arial"/>
                <w:sz w:val="16"/>
                <w:szCs w:val="16"/>
                <w:color w:val="auto"/>
              </w:rPr>
              <w:t>Contract assets</w:t>
            </w:r>
          </w:p>
        </w:tc>
        <w:tc>
          <w:tcPr>
            <w:tcW w:w="6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
              <w:spacing w:after="0"/>
              <w:rPr>
                <w:sz w:val="20"/>
                <w:szCs w:val="20"/>
                <w:color w:val="auto"/>
              </w:rPr>
            </w:pPr>
            <w:r>
              <w:rPr>
                <w:rFonts w:ascii="Arial" w:cs="Arial" w:eastAsia="Arial" w:hAnsi="Arial"/>
                <w:sz w:val="16"/>
                <w:szCs w:val="16"/>
                <w:color w:val="auto"/>
              </w:rPr>
              <w:t>2,150</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
              <w:spacing w:after="0"/>
              <w:rPr>
                <w:sz w:val="20"/>
                <w:szCs w:val="20"/>
                <w:color w:val="auto"/>
              </w:rPr>
            </w:pPr>
            <w:r>
              <w:rPr>
                <w:rFonts w:ascii="Arial" w:cs="Arial" w:eastAsia="Arial" w:hAnsi="Arial"/>
                <w:sz w:val="16"/>
                <w:szCs w:val="16"/>
                <w:color w:val="auto"/>
              </w:rPr>
              <w:t>2,524</w:t>
            </w:r>
          </w:p>
        </w:tc>
      </w:tr>
      <w:tr>
        <w:trPr>
          <w:trHeight w:val="202"/>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Contract liabilities:</w:t>
            </w:r>
          </w:p>
        </w:tc>
        <w:tc>
          <w:tcPr>
            <w:tcW w:w="6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1"/>
        </w:trPr>
        <w:tc>
          <w:tcPr>
            <w:tcW w:w="6400" w:type="dxa"/>
            <w:vAlign w:val="bottom"/>
          </w:tcPr>
          <w:p>
            <w:pPr>
              <w:ind w:left="660"/>
              <w:spacing w:after="0"/>
              <w:rPr>
                <w:sz w:val="20"/>
                <w:szCs w:val="20"/>
                <w:color w:val="auto"/>
              </w:rPr>
            </w:pPr>
            <w:r>
              <w:rPr>
                <w:rFonts w:ascii="Arial" w:cs="Arial" w:eastAsia="Arial" w:hAnsi="Arial"/>
                <w:sz w:val="16"/>
                <w:szCs w:val="16"/>
                <w:color w:val="auto"/>
              </w:rPr>
              <w:t>Deferred revenue (consideration received in advance)</w:t>
            </w:r>
          </w:p>
        </w:tc>
        <w:tc>
          <w:tcPr>
            <w:tcW w:w="6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
              <w:spacing w:after="0"/>
              <w:rPr>
                <w:sz w:val="20"/>
                <w:szCs w:val="20"/>
                <w:color w:val="auto"/>
              </w:rPr>
            </w:pPr>
            <w:r>
              <w:rPr>
                <w:rFonts w:ascii="Arial" w:cs="Arial" w:eastAsia="Arial" w:hAnsi="Arial"/>
                <w:sz w:val="16"/>
                <w:szCs w:val="16"/>
                <w:color w:val="auto"/>
              </w:rPr>
              <w:t>19,765</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
              <w:spacing w:after="0"/>
              <w:rPr>
                <w:sz w:val="20"/>
                <w:szCs w:val="20"/>
                <w:color w:val="auto"/>
              </w:rPr>
            </w:pPr>
            <w:r>
              <w:rPr>
                <w:rFonts w:ascii="Arial" w:cs="Arial" w:eastAsia="Arial" w:hAnsi="Arial"/>
                <w:sz w:val="16"/>
                <w:szCs w:val="16"/>
                <w:color w:val="auto"/>
              </w:rPr>
              <w:t>18,247</w:t>
            </w:r>
          </w:p>
        </w:tc>
      </w:tr>
      <w:tr>
        <w:trPr>
          <w:trHeight w:val="202"/>
        </w:trPr>
        <w:tc>
          <w:tcPr>
            <w:tcW w:w="64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Consideration received for process transition activities</w:t>
            </w:r>
          </w:p>
        </w:tc>
        <w:tc>
          <w:tcPr>
            <w:tcW w:w="6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3,138</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2,203</w:t>
            </w:r>
          </w:p>
        </w:tc>
      </w:tr>
    </w:tbl>
    <w:p>
      <w:pPr>
        <w:spacing w:after="0" w:line="261" w:lineRule="exact"/>
        <w:rPr>
          <w:sz w:val="20"/>
          <w:szCs w:val="20"/>
          <w:color w:val="auto"/>
        </w:rPr>
      </w:pPr>
    </w:p>
    <w:p>
      <w:pPr>
        <w:jc w:val="both"/>
        <w:ind w:firstLine="356"/>
        <w:spacing w:after="0" w:line="221" w:lineRule="auto"/>
        <w:rPr>
          <w:sz w:val="20"/>
          <w:szCs w:val="20"/>
          <w:color w:val="auto"/>
        </w:rPr>
      </w:pPr>
      <w:r>
        <w:rPr>
          <w:rFonts w:ascii="Arial" w:cs="Arial" w:eastAsia="Arial" w:hAnsi="Arial"/>
          <w:sz w:val="16"/>
          <w:szCs w:val="16"/>
          <w:color w:val="auto"/>
        </w:rPr>
        <w:t>Accounts receivable includes $123,123 and $93,336 as of March 31, 2022 and December 31, 2021, respectively, representing unbilled receivables. The Company has accrued the unbilled receivables for work performed in accordance with the terms of contracts with customers and considers no significant performance risk associated with its unbilled receivables.</w:t>
      </w:r>
    </w:p>
    <w:p>
      <w:pPr>
        <w:spacing w:after="0" w:line="181" w:lineRule="exact"/>
        <w:rPr>
          <w:sz w:val="20"/>
          <w:szCs w:val="20"/>
          <w:color w:val="auto"/>
        </w:rPr>
      </w:pPr>
    </w:p>
    <w:p>
      <w:pPr>
        <w:jc w:val="both"/>
        <w:ind w:firstLine="356"/>
        <w:spacing w:after="0" w:line="243" w:lineRule="auto"/>
        <w:rPr>
          <w:sz w:val="20"/>
          <w:szCs w:val="20"/>
          <w:color w:val="auto"/>
        </w:rPr>
      </w:pPr>
      <w:r>
        <w:rPr>
          <w:rFonts w:ascii="Arial" w:cs="Arial" w:eastAsia="Arial" w:hAnsi="Arial"/>
          <w:sz w:val="16"/>
          <w:szCs w:val="16"/>
          <w:color w:val="auto"/>
        </w:rPr>
        <w:t>Contract assets represent upfront payments such as deal signing discounts or deal signing bonuses made to customers. These costs are amortized over the expected period of the benefit and are recorded as an adjustment to transaction price and reduced from revenues. The Company’s assessment did not indicate any impairment losses on its contract assets for the periods presented.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2" w:name="page13"/>
    <w:bookmarkEnd w:id="1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56"/>
        <w:spacing w:after="0" w:line="285" w:lineRule="auto"/>
        <w:rPr>
          <w:sz w:val="20"/>
          <w:szCs w:val="20"/>
          <w:color w:val="auto"/>
        </w:rPr>
      </w:pPr>
      <w:r>
        <w:rPr>
          <w:rFonts w:ascii="Arial" w:cs="Arial" w:eastAsia="Arial" w:hAnsi="Arial"/>
          <w:sz w:val="14"/>
          <w:szCs w:val="14"/>
          <w:color w:val="auto"/>
        </w:rPr>
        <w:t>Contract liabilities represent that portion of deferred revenue for which payments have been received in advance from customers. The Company also defers revenues attributable to certain process transition activities for which costs have been capitalized by the Company as contract fulfillment costs. Consideration received from customers, if any, relating to such transition activities are classified under contract liabilities and are included within “Deferred revenues” and “Other non-current liabilities” in the unaudited consolidated balance sheets. The revenues are recognized as (or when) the performance obligation is fulfilled under the contract with customer.</w:t>
      </w:r>
    </w:p>
    <w:p>
      <w:pPr>
        <w:spacing w:after="0" w:line="150" w:lineRule="exact"/>
        <w:rPr>
          <w:sz w:val="20"/>
          <w:szCs w:val="20"/>
          <w:color w:val="auto"/>
        </w:rPr>
      </w:pPr>
    </w:p>
    <w:p>
      <w:pPr>
        <w:jc w:val="both"/>
        <w:ind w:right="20" w:firstLine="356"/>
        <w:spacing w:after="0" w:line="231" w:lineRule="auto"/>
        <w:rPr>
          <w:sz w:val="20"/>
          <w:szCs w:val="20"/>
          <w:color w:val="auto"/>
        </w:rPr>
      </w:pPr>
      <w:r>
        <w:rPr>
          <w:rFonts w:ascii="Arial" w:cs="Arial" w:eastAsia="Arial" w:hAnsi="Arial"/>
          <w:sz w:val="16"/>
          <w:szCs w:val="16"/>
          <w:color w:val="auto"/>
        </w:rPr>
        <w:t>Revenue recognized during the three months ended March 31, 2022 and 2021, which was included in the contract liabilities balance at the beginning of the respective periods:</w:t>
      </w:r>
    </w:p>
    <w:p>
      <w:pPr>
        <w:spacing w:after="0" w:line="220" w:lineRule="exact"/>
        <w:rPr>
          <w:sz w:val="20"/>
          <w:szCs w:val="20"/>
          <w:color w:val="auto"/>
        </w:rPr>
      </w:pPr>
    </w:p>
    <w:p>
      <w:pPr>
        <w:ind w:left="7780"/>
        <w:spacing w:after="0"/>
        <w:rPr>
          <w:sz w:val="20"/>
          <w:szCs w:val="20"/>
          <w:color w:val="auto"/>
        </w:rPr>
      </w:pPr>
      <w:r>
        <w:rPr>
          <w:rFonts w:ascii="Arial" w:cs="Arial" w:eastAsia="Arial" w:hAnsi="Arial"/>
          <w:sz w:val="13"/>
          <w:szCs w:val="13"/>
          <w:b w:val="1"/>
          <w:bCs w:val="1"/>
          <w:color w:val="auto"/>
        </w:rPr>
        <w:t>Three months ended 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60" w:type="dxa"/>
            <w:vAlign w:val="bottom"/>
          </w:tcPr>
          <w:p>
            <w:pPr>
              <w:spacing w:after="0"/>
              <w:rPr>
                <w:sz w:val="15"/>
                <w:szCs w:val="15"/>
                <w:color w:val="auto"/>
              </w:rPr>
            </w:pPr>
          </w:p>
        </w:tc>
        <w:tc>
          <w:tcPr>
            <w:tcW w:w="2440" w:type="dxa"/>
            <w:vAlign w:val="bottom"/>
            <w:tcBorders>
              <w:bottom w:val="single" w:sz="8" w:color="CCEEFF"/>
            </w:tcBorders>
          </w:tcPr>
          <w:p>
            <w:pPr>
              <w:spacing w:after="0"/>
              <w:rPr>
                <w:sz w:val="15"/>
                <w:szCs w:val="15"/>
                <w:color w:val="auto"/>
              </w:rPr>
            </w:pPr>
          </w:p>
        </w:tc>
        <w:tc>
          <w:tcPr>
            <w:tcW w:w="376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3"/>
                <w:szCs w:val="13"/>
                <w:b w:val="1"/>
                <w:bCs w:val="1"/>
                <w:color w:val="auto"/>
              </w:rPr>
              <w:t>2022</w:t>
            </w: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5"/>
                <w:szCs w:val="15"/>
                <w:color w:val="auto"/>
              </w:rPr>
            </w:pPr>
          </w:p>
        </w:tc>
      </w:tr>
      <w:tr>
        <w:trPr>
          <w:trHeight w:val="206"/>
        </w:trPr>
        <w:tc>
          <w:tcPr>
            <w:tcW w:w="360" w:type="dxa"/>
            <w:vAlign w:val="bottom"/>
          </w:tcPr>
          <w:p>
            <w:pPr>
              <w:spacing w:after="0"/>
              <w:rPr>
                <w:sz w:val="17"/>
                <w:szCs w:val="17"/>
                <w:color w:val="auto"/>
              </w:rPr>
            </w:pPr>
          </w:p>
        </w:tc>
        <w:tc>
          <w:tcPr>
            <w:tcW w:w="62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Deferred revenue (consideration received in advance)</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66"/>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23,621</w:t>
            </w:r>
          </w:p>
        </w:tc>
        <w:tc>
          <w:tcPr>
            <w:tcW w:w="60" w:type="dxa"/>
            <w:vAlign w:val="bottom"/>
          </w:tcPr>
          <w:p>
            <w:pPr>
              <w:spacing w:after="0"/>
              <w:rPr>
                <w:sz w:val="17"/>
                <w:szCs w:val="17"/>
                <w:color w:val="auto"/>
              </w:rPr>
            </w:pPr>
          </w:p>
        </w:tc>
      </w:tr>
      <w:tr>
        <w:trPr>
          <w:trHeight w:val="224"/>
        </w:trPr>
        <w:tc>
          <w:tcPr>
            <w:tcW w:w="360" w:type="dxa"/>
            <w:vAlign w:val="bottom"/>
          </w:tcPr>
          <w:p>
            <w:pPr>
              <w:spacing w:after="0"/>
              <w:rPr>
                <w:sz w:val="19"/>
                <w:szCs w:val="19"/>
                <w:color w:val="auto"/>
              </w:rPr>
            </w:pPr>
          </w:p>
        </w:tc>
        <w:tc>
          <w:tcPr>
            <w:tcW w:w="6460" w:type="dxa"/>
            <w:vAlign w:val="bottom"/>
            <w:gridSpan w:val="3"/>
          </w:tcPr>
          <w:p>
            <w:pPr>
              <w:ind w:left="360"/>
              <w:spacing w:after="0"/>
              <w:rPr>
                <w:sz w:val="20"/>
                <w:szCs w:val="20"/>
                <w:color w:val="auto"/>
              </w:rPr>
            </w:pPr>
            <w:r>
              <w:rPr>
                <w:rFonts w:ascii="Arial" w:cs="Arial" w:eastAsia="Arial" w:hAnsi="Arial"/>
                <w:sz w:val="16"/>
                <w:szCs w:val="16"/>
                <w:color w:val="auto"/>
              </w:rPr>
              <w:t>Consideration received for process transition activities</w:t>
            </w:r>
          </w:p>
        </w:tc>
        <w:tc>
          <w:tcPr>
            <w:tcW w:w="1040" w:type="dxa"/>
            <w:vAlign w:val="bottom"/>
          </w:tcPr>
          <w:p>
            <w:pPr>
              <w:jc w:val="right"/>
              <w:ind w:right="766"/>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9"/>
                <w:szCs w:val="19"/>
                <w:color w:val="auto"/>
              </w:rPr>
            </w:pPr>
          </w:p>
        </w:tc>
        <w:tc>
          <w:tcPr>
            <w:tcW w:w="72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679</w:t>
            </w:r>
          </w:p>
        </w:tc>
        <w:tc>
          <w:tcPr>
            <w:tcW w:w="60" w:type="dxa"/>
            <w:vAlign w:val="bottom"/>
          </w:tcPr>
          <w:p>
            <w:pPr>
              <w:spacing w:after="0"/>
              <w:rPr>
                <w:sz w:val="19"/>
                <w:szCs w:val="19"/>
                <w:color w:val="auto"/>
              </w:rPr>
            </w:pPr>
          </w:p>
        </w:tc>
      </w:tr>
      <w:tr>
        <w:trPr>
          <w:trHeight w:val="417"/>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8"/>
              </w:rPr>
              <w:t>Contract acquisition and fulfillment costs</w:t>
            </w:r>
          </w:p>
        </w:tc>
        <w:tc>
          <w:tcPr>
            <w:tcW w:w="4020" w:type="dxa"/>
            <w:vAlign w:val="bottom"/>
            <w:gridSpan w:val="2"/>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0"/>
        </w:trPr>
        <w:tc>
          <w:tcPr>
            <w:tcW w:w="6820" w:type="dxa"/>
            <w:vAlign w:val="bottom"/>
            <w:gridSpan w:val="4"/>
          </w:tcPr>
          <w:p>
            <w:pPr>
              <w:ind w:left="360"/>
              <w:spacing w:after="0"/>
              <w:rPr>
                <w:sz w:val="20"/>
                <w:szCs w:val="20"/>
                <w:color w:val="auto"/>
              </w:rPr>
            </w:pPr>
            <w:r>
              <w:rPr>
                <w:rFonts w:ascii="Arial" w:cs="Arial" w:eastAsia="Arial" w:hAnsi="Arial"/>
                <w:sz w:val="16"/>
                <w:szCs w:val="16"/>
                <w:color w:val="auto"/>
                <w:w w:val="96"/>
              </w:rPr>
              <w:t>The following table provides details of the Company’s contract acquisition and fulfillment costs:</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4"/>
        </w:trPr>
        <w:tc>
          <w:tcPr>
            <w:tcW w:w="3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20" w:type="dxa"/>
            <w:vAlign w:val="bottom"/>
            <w:gridSpan w:val="2"/>
          </w:tcPr>
          <w:p>
            <w:pPr>
              <w:ind w:left="2060"/>
              <w:spacing w:after="0"/>
              <w:rPr>
                <w:sz w:val="20"/>
                <w:szCs w:val="20"/>
                <w:color w:val="auto"/>
              </w:rPr>
            </w:pPr>
            <w:r>
              <w:rPr>
                <w:rFonts w:ascii="Arial" w:cs="Arial" w:eastAsia="Arial" w:hAnsi="Arial"/>
                <w:sz w:val="16"/>
                <w:szCs w:val="16"/>
                <w:b w:val="1"/>
                <w:bCs w:val="1"/>
                <w:color w:val="auto"/>
                <w:w w:val="94"/>
              </w:rPr>
              <w:t>Contract Acquisition Costs</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3"/>
          </w:tcPr>
          <w:p>
            <w:pPr>
              <w:ind w:left="80"/>
              <w:spacing w:after="0"/>
              <w:rPr>
                <w:sz w:val="20"/>
                <w:szCs w:val="20"/>
                <w:color w:val="auto"/>
              </w:rPr>
            </w:pPr>
            <w:r>
              <w:rPr>
                <w:rFonts w:ascii="Arial" w:cs="Arial" w:eastAsia="Arial" w:hAnsi="Arial"/>
                <w:sz w:val="16"/>
                <w:szCs w:val="16"/>
                <w:b w:val="1"/>
                <w:bCs w:val="1"/>
                <w:color w:val="auto"/>
                <w:w w:val="89"/>
              </w:rPr>
              <w:t>Contract Fulfillment Costs</w:t>
            </w:r>
          </w:p>
        </w:tc>
      </w:tr>
    </w:tbl>
    <w:p>
      <w:pPr>
        <w:spacing w:after="0" w:line="1" w:lineRule="exact"/>
        <w:rPr>
          <w:sz w:val="20"/>
          <w:szCs w:val="20"/>
          <w:color w:val="auto"/>
        </w:rPr>
      </w:pPr>
    </w:p>
    <w:p>
      <w:pPr>
        <w:sectPr>
          <w:pgSz w:w="11900" w:h="16838" w:orient="portrait"/>
          <w:cols w:equalWidth="0" w:num="1">
            <w:col w:w="11260"/>
          </w:cols>
          <w:pgMar w:left="320" w:top="123" w:right="319" w:bottom="1440" w:gutter="0" w:footer="0" w:header="0"/>
        </w:sectPr>
      </w:pPr>
    </w:p>
    <w:tbl>
      <w:tblPr>
        <w:tblLayout w:type="fixed"/>
        <w:tblInd w:w="3900" w:type="dxa"/>
        <w:tblCellMar>
          <w:top w:w="0" w:type="dxa"/>
          <w:left w:w="0" w:type="dxa"/>
          <w:bottom w:w="0" w:type="dxa"/>
          <w:right w:w="0" w:type="dxa"/>
        </w:tblCellMar>
      </w:tblPr>
      <w:tr>
        <w:trPr>
          <w:trHeight w:val="160"/>
        </w:trPr>
        <w:tc>
          <w:tcPr>
            <w:tcW w:w="2540" w:type="dxa"/>
            <w:vAlign w:val="bottom"/>
            <w:tcBorders>
              <w:top w:val="single" w:sz="8" w:color="auto"/>
            </w:tcBorders>
            <w:gridSpan w:val="3"/>
          </w:tcPr>
          <w:p>
            <w:pPr>
              <w:ind w:left="800"/>
              <w:spacing w:after="0"/>
              <w:rPr>
                <w:sz w:val="20"/>
                <w:szCs w:val="20"/>
                <w:color w:val="auto"/>
              </w:rPr>
            </w:pPr>
            <w:r>
              <w:rPr>
                <w:rFonts w:ascii="Arial" w:cs="Arial" w:eastAsia="Arial" w:hAnsi="Arial"/>
                <w:sz w:val="13"/>
                <w:szCs w:val="13"/>
                <w:b w:val="1"/>
                <w:bCs w:val="1"/>
                <w:color w:val="auto"/>
              </w:rPr>
              <w:t>Quarter Ended</w:t>
            </w: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Year Ended</w:t>
            </w:r>
          </w:p>
        </w:tc>
      </w:tr>
      <w:tr>
        <w:trPr>
          <w:trHeight w:val="157"/>
        </w:trPr>
        <w:tc>
          <w:tcPr>
            <w:tcW w:w="12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b w:val="1"/>
                <w:bCs w:val="1"/>
                <w:color w:val="auto"/>
              </w:rPr>
              <w:t>March 31, 2022</w:t>
            </w:r>
          </w:p>
        </w:tc>
        <w:tc>
          <w:tcPr>
            <w:tcW w:w="12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3"/>
                <w:szCs w:val="13"/>
                <w:b w:val="1"/>
                <w:bCs w:val="1"/>
                <w:color w:val="auto"/>
              </w:rPr>
              <w:t>March 31, 2021</w:t>
            </w:r>
          </w:p>
        </w:tc>
        <w:tc>
          <w:tcPr>
            <w:tcW w:w="100" w:type="dxa"/>
            <w:vAlign w:val="bottom"/>
          </w:tcPr>
          <w:p>
            <w:pPr>
              <w:spacing w:after="0"/>
              <w:rPr>
                <w:sz w:val="13"/>
                <w:szCs w:val="13"/>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December 31, 2021</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2120" w:type="dxa"/>
            <w:vAlign w:val="bottom"/>
            <w:tcBorders>
              <w:top w:val="single" w:sz="8" w:color="auto"/>
              <w:bottom w:val="single" w:sz="8" w:color="auto"/>
            </w:tcBorders>
            <w:gridSpan w:val="2"/>
          </w:tcPr>
          <w:p>
            <w:pPr>
              <w:ind w:left="600"/>
              <w:spacing w:after="0"/>
              <w:rPr>
                <w:sz w:val="20"/>
                <w:szCs w:val="20"/>
                <w:color w:val="auto"/>
              </w:rPr>
            </w:pPr>
            <w:r>
              <w:rPr>
                <w:rFonts w:ascii="Arial" w:cs="Arial" w:eastAsia="Arial" w:hAnsi="Arial"/>
                <w:sz w:val="13"/>
                <w:szCs w:val="13"/>
                <w:b w:val="1"/>
                <w:bCs w:val="1"/>
                <w:color w:val="auto"/>
              </w:rPr>
              <w:t>Quarter Ended</w:t>
            </w: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Year Ended</w:t>
            </w:r>
          </w:p>
        </w:tc>
      </w:tr>
      <w:tr>
        <w:trPr>
          <w:trHeight w:val="157"/>
        </w:trPr>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March 31, 2022</w:t>
            </w:r>
          </w:p>
        </w:tc>
        <w:tc>
          <w:tcPr>
            <w:tcW w:w="11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March 31, 2021</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December 31, 2021</w:t>
            </w:r>
          </w:p>
        </w:tc>
      </w:tr>
    </w:tbl>
    <w:p>
      <w:pPr>
        <w:spacing w:after="0" w:line="20" w:lineRule="exact"/>
        <w:rPr>
          <w:sz w:val="20"/>
          <w:szCs w:val="20"/>
          <w:color w:val="auto"/>
        </w:rPr>
      </w:pPr>
    </w:p>
    <w:p>
      <w:pPr>
        <w:sectPr>
          <w:pgSz w:w="11900" w:h="16838" w:orient="portrait"/>
          <w:cols w:equalWidth="0" w:num="2">
            <w:col w:w="7660" w:space="120"/>
            <w:col w:w="3480"/>
          </w:cols>
          <w:pgMar w:left="320" w:top="123" w:right="319" w:bottom="1440" w:gutter="0" w:footer="0" w:header="0"/>
          <w:type w:val="continuous"/>
        </w:sectPr>
      </w:pPr>
    </w:p>
    <w:tbl>
      <w:tblPr>
        <w:tblLayout w:type="fixed"/>
        <w:tblInd w:w="80" w:type="dxa"/>
        <w:tblCellMar>
          <w:top w:w="0" w:type="dxa"/>
          <w:left w:w="0" w:type="dxa"/>
          <w:bottom w:w="0" w:type="dxa"/>
          <w:right w:w="0" w:type="dxa"/>
        </w:tblCellMar>
      </w:tblPr>
      <w:tr>
        <w:trPr>
          <w:trHeight w:val="194"/>
        </w:trPr>
        <w:tc>
          <w:tcPr>
            <w:tcW w:w="3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01"/>
        </w:trPr>
        <w:tc>
          <w:tcPr>
            <w:tcW w:w="3820" w:type="dxa"/>
            <w:vAlign w:val="bottom"/>
          </w:tcPr>
          <w:p>
            <w:pPr>
              <w:spacing w:after="0"/>
              <w:rPr>
                <w:sz w:val="20"/>
                <w:szCs w:val="20"/>
                <w:color w:val="auto"/>
              </w:rPr>
            </w:pPr>
            <w:r>
              <w:rPr>
                <w:rFonts w:ascii="Arial" w:cs="Arial" w:eastAsia="Arial" w:hAnsi="Arial"/>
                <w:sz w:val="16"/>
                <w:szCs w:val="16"/>
                <w:color w:val="auto"/>
              </w:rPr>
              <w:t>Opening Balance</w:t>
            </w: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720" w:type="dxa"/>
            <w:vAlign w:val="bottom"/>
          </w:tcPr>
          <w:p>
            <w:pPr>
              <w:jc w:val="center"/>
              <w:ind w:left="281"/>
              <w:spacing w:after="0"/>
              <w:rPr>
                <w:sz w:val="20"/>
                <w:szCs w:val="20"/>
                <w:color w:val="auto"/>
              </w:rPr>
            </w:pPr>
            <w:r>
              <w:rPr>
                <w:rFonts w:ascii="Arial" w:cs="Arial" w:eastAsia="Arial" w:hAnsi="Arial"/>
                <w:sz w:val="16"/>
                <w:szCs w:val="16"/>
                <w:color w:val="auto"/>
                <w:w w:val="89"/>
              </w:rPr>
              <w:t>511</w:t>
            </w:r>
          </w:p>
        </w:tc>
        <w:tc>
          <w:tcPr>
            <w:tcW w:w="120" w:type="dxa"/>
            <w:vAlign w:val="bottom"/>
          </w:tcPr>
          <w:p>
            <w:pPr>
              <w:spacing w:after="0"/>
              <w:rPr>
                <w:sz w:val="17"/>
                <w:szCs w:val="17"/>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1,027</w:t>
            </w:r>
          </w:p>
        </w:tc>
        <w:tc>
          <w:tcPr>
            <w:tcW w:w="100" w:type="dxa"/>
            <w:vAlign w:val="bottom"/>
          </w:tcPr>
          <w:p>
            <w:pPr>
              <w:spacing w:after="0"/>
              <w:rPr>
                <w:sz w:val="17"/>
                <w:szCs w:val="17"/>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1,027</w:t>
            </w:r>
          </w:p>
        </w:tc>
        <w:tc>
          <w:tcPr>
            <w:tcW w:w="120" w:type="dxa"/>
            <w:vAlign w:val="bottom"/>
          </w:tcPr>
          <w:p>
            <w:pPr>
              <w:spacing w:after="0"/>
              <w:rPr>
                <w:sz w:val="17"/>
                <w:szCs w:val="17"/>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5,795</w:t>
            </w:r>
          </w:p>
        </w:tc>
        <w:tc>
          <w:tcPr>
            <w:tcW w:w="120" w:type="dxa"/>
            <w:vAlign w:val="bottom"/>
          </w:tcPr>
          <w:p>
            <w:pPr>
              <w:spacing w:after="0"/>
              <w:rPr>
                <w:sz w:val="17"/>
                <w:szCs w:val="17"/>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5,631</w:t>
            </w:r>
          </w:p>
        </w:tc>
        <w:tc>
          <w:tcPr>
            <w:tcW w:w="120" w:type="dxa"/>
            <w:vAlign w:val="bottom"/>
          </w:tcPr>
          <w:p>
            <w:pPr>
              <w:spacing w:after="0"/>
              <w:rPr>
                <w:sz w:val="17"/>
                <w:szCs w:val="17"/>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center"/>
              <w:ind w:left="261"/>
              <w:spacing w:after="0"/>
              <w:rPr>
                <w:sz w:val="20"/>
                <w:szCs w:val="20"/>
                <w:color w:val="auto"/>
              </w:rPr>
            </w:pPr>
            <w:r>
              <w:rPr>
                <w:rFonts w:ascii="Arial" w:cs="Arial" w:eastAsia="Arial" w:hAnsi="Arial"/>
                <w:sz w:val="16"/>
                <w:szCs w:val="16"/>
                <w:color w:val="auto"/>
                <w:w w:val="89"/>
              </w:rPr>
              <w:t>5,631</w:t>
            </w:r>
          </w:p>
        </w:tc>
      </w:tr>
      <w:tr>
        <w:trPr>
          <w:trHeight w:val="202"/>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Additions</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left="281"/>
              <w:spacing w:after="0"/>
              <w:rPr>
                <w:sz w:val="20"/>
                <w:szCs w:val="20"/>
                <w:color w:val="auto"/>
              </w:rPr>
            </w:pPr>
            <w:r>
              <w:rPr>
                <w:rFonts w:ascii="Arial" w:cs="Arial" w:eastAsia="Arial" w:hAnsi="Arial"/>
                <w:sz w:val="16"/>
                <w:szCs w:val="16"/>
                <w:color w:val="auto"/>
                <w:w w:val="89"/>
              </w:rPr>
              <w:t>547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261"/>
              <w:spacing w:after="0"/>
              <w:rPr>
                <w:sz w:val="20"/>
                <w:szCs w:val="20"/>
                <w:color w:val="auto"/>
              </w:rPr>
            </w:pPr>
            <w:r>
              <w:rPr>
                <w:rFonts w:ascii="Arial" w:cs="Arial" w:eastAsia="Arial" w:hAnsi="Arial"/>
                <w:sz w:val="16"/>
                <w:szCs w:val="16"/>
                <w:color w:val="auto"/>
                <w:w w:val="89"/>
              </w:rPr>
              <w:t>3,742</w:t>
            </w:r>
          </w:p>
        </w:tc>
      </w:tr>
      <w:tr>
        <w:trPr>
          <w:trHeight w:val="201"/>
        </w:trPr>
        <w:tc>
          <w:tcPr>
            <w:tcW w:w="38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Amortization</w:t>
            </w: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left="261"/>
              <w:spacing w:after="0"/>
              <w:rPr>
                <w:sz w:val="20"/>
                <w:szCs w:val="20"/>
                <w:color w:val="auto"/>
              </w:rPr>
            </w:pPr>
            <w:r>
              <w:rPr>
                <w:rFonts w:ascii="Arial" w:cs="Arial" w:eastAsia="Arial" w:hAnsi="Arial"/>
                <w:sz w:val="16"/>
                <w:szCs w:val="16"/>
                <w:color w:val="auto"/>
                <w:w w:val="90"/>
              </w:rPr>
              <w:t>(131)</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left="241"/>
              <w:spacing w:after="0"/>
              <w:rPr>
                <w:sz w:val="20"/>
                <w:szCs w:val="20"/>
                <w:color w:val="auto"/>
              </w:rPr>
            </w:pPr>
            <w:r>
              <w:rPr>
                <w:rFonts w:ascii="Arial" w:cs="Arial" w:eastAsia="Arial" w:hAnsi="Arial"/>
                <w:sz w:val="16"/>
                <w:szCs w:val="16"/>
                <w:color w:val="auto"/>
                <w:w w:val="90"/>
              </w:rPr>
              <w:t>(3,578)</w:t>
            </w:r>
          </w:p>
        </w:tc>
      </w:tr>
      <w:tr>
        <w:trPr>
          <w:trHeight w:val="219"/>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Closing Balance</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center"/>
              <w:ind w:left="281"/>
              <w:spacing w:after="0"/>
              <w:rPr>
                <w:sz w:val="20"/>
                <w:szCs w:val="20"/>
                <w:color w:val="auto"/>
              </w:rPr>
            </w:pPr>
            <w:r>
              <w:rPr>
                <w:rFonts w:ascii="Arial" w:cs="Arial" w:eastAsia="Arial" w:hAnsi="Arial"/>
                <w:sz w:val="16"/>
                <w:szCs w:val="16"/>
                <w:color w:val="auto"/>
                <w:w w:val="89"/>
              </w:rPr>
              <w:t>927</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785</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4,419</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center"/>
              <w:ind w:left="261"/>
              <w:spacing w:after="0"/>
              <w:rPr>
                <w:sz w:val="20"/>
                <w:szCs w:val="20"/>
                <w:color w:val="auto"/>
              </w:rPr>
            </w:pPr>
            <w:r>
              <w:rPr>
                <w:rFonts w:ascii="Arial" w:cs="Arial" w:eastAsia="Arial" w:hAnsi="Arial"/>
                <w:sz w:val="16"/>
                <w:szCs w:val="16"/>
                <w:color w:val="auto"/>
                <w:w w:val="89"/>
              </w:rPr>
              <w:t>5,795</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both"/>
        <w:ind w:right="20" w:firstLine="356"/>
        <w:spacing w:after="0" w:line="254" w:lineRule="auto"/>
        <w:rPr>
          <w:sz w:val="20"/>
          <w:szCs w:val="20"/>
          <w:color w:val="auto"/>
        </w:rPr>
      </w:pPr>
      <w:r>
        <w:rPr>
          <w:rFonts w:ascii="Arial" w:cs="Arial" w:eastAsia="Arial" w:hAnsi="Arial"/>
          <w:sz w:val="16"/>
          <w:szCs w:val="16"/>
          <w:color w:val="auto"/>
        </w:rPr>
        <w:t>There was no impairment for contract acquisition and contract fulfillment costs as of March 31, 2022 and December 31, 2021. The capitalized costs are amortized over the expected period of benefit of the contract.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Allowance for expected credit losses</w:t>
      </w:r>
    </w:p>
    <w:p>
      <w:pPr>
        <w:spacing w:after="0" w:line="224" w:lineRule="exact"/>
        <w:rPr>
          <w:sz w:val="20"/>
          <w:szCs w:val="20"/>
          <w:color w:val="auto"/>
        </w:rPr>
      </w:pPr>
    </w:p>
    <w:p>
      <w:pPr>
        <w:jc w:val="both"/>
        <w:ind w:firstLine="356"/>
        <w:spacing w:after="0" w:line="261" w:lineRule="auto"/>
        <w:rPr>
          <w:sz w:val="20"/>
          <w:szCs w:val="20"/>
          <w:color w:val="auto"/>
        </w:rPr>
      </w:pPr>
      <w:r>
        <w:rPr>
          <w:rFonts w:ascii="Arial" w:cs="Arial" w:eastAsia="Arial" w:hAnsi="Arial"/>
          <w:sz w:val="15"/>
          <w:szCs w:val="15"/>
          <w:color w:val="auto"/>
        </w:rPr>
        <w:t>The Company evaluates the credit risk of its customers based on a combination of various financial and qualitative factors that may affect the ability of each customer to pay. The Company considered current and anticipated future economic conditions relating to the industries of the Company’s customers and the countries where it operates. In calculating expected credit loss, the Company also considered past payment trends, credit rating and other related credit information for its significant customers to estimate the probability of default in the future and estimates relating to the possible effects resulting from COVID-19.</w:t>
      </w:r>
    </w:p>
    <w:p>
      <w:pPr>
        <w:spacing w:after="0" w:line="20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9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301"/>
              <w:spacing w:after="0"/>
              <w:rPr>
                <w:sz w:val="20"/>
                <w:szCs w:val="20"/>
                <w:color w:val="auto"/>
              </w:rPr>
            </w:pPr>
            <w:r>
              <w:rPr>
                <w:rFonts w:ascii="Arial" w:cs="Arial" w:eastAsia="Arial" w:hAnsi="Arial"/>
                <w:sz w:val="13"/>
                <w:szCs w:val="13"/>
                <w:b w:val="1"/>
                <w:bCs w:val="1"/>
                <w:color w:val="auto"/>
              </w:rPr>
              <w:t>As of</w:t>
            </w:r>
          </w:p>
        </w:tc>
        <w:tc>
          <w:tcPr>
            <w:tcW w:w="1680" w:type="dxa"/>
            <w:vAlign w:val="bottom"/>
            <w:tcBorders>
              <w:bottom w:val="single" w:sz="8" w:color="auto"/>
            </w:tcBorders>
          </w:tcPr>
          <w:p>
            <w:pPr>
              <w:spacing w:after="0"/>
              <w:rPr>
                <w:sz w:val="14"/>
                <w:szCs w:val="14"/>
                <w:color w:val="auto"/>
              </w:rPr>
            </w:pPr>
          </w:p>
        </w:tc>
      </w:tr>
      <w:tr>
        <w:trPr>
          <w:trHeight w:val="162"/>
        </w:trPr>
        <w:tc>
          <w:tcPr>
            <w:tcW w:w="59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ind w:right="485"/>
              <w:spacing w:after="0"/>
              <w:rPr>
                <w:sz w:val="20"/>
                <w:szCs w:val="20"/>
                <w:color w:val="auto"/>
              </w:rPr>
            </w:pPr>
            <w:r>
              <w:rPr>
                <w:rFonts w:ascii="Arial" w:cs="Arial" w:eastAsia="Arial" w:hAnsi="Arial"/>
                <w:sz w:val="13"/>
                <w:szCs w:val="13"/>
                <w:b w:val="1"/>
                <w:bCs w:val="1"/>
                <w:color w:val="auto"/>
              </w:rPr>
              <w:t>March 31, 2022</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3"/>
                <w:szCs w:val="13"/>
                <w:b w:val="1"/>
                <w:bCs w:val="1"/>
                <w:color w:val="auto"/>
              </w:rPr>
              <w:t>December 31, 2021</w:t>
            </w:r>
          </w:p>
        </w:tc>
      </w:tr>
      <w:tr>
        <w:trPr>
          <w:trHeight w:val="171"/>
        </w:trPr>
        <w:tc>
          <w:tcPr>
            <w:tcW w:w="5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2"/>
        </w:trPr>
        <w:tc>
          <w:tcPr>
            <w:tcW w:w="5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Accounts receivable, including unbilled receivables</w:t>
            </w:r>
          </w:p>
        </w:tc>
        <w:tc>
          <w:tcPr>
            <w:tcW w:w="6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239,867</w:t>
            </w:r>
          </w:p>
        </w:tc>
        <w:tc>
          <w:tcPr>
            <w:tcW w:w="74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194,805</w:t>
            </w:r>
          </w:p>
        </w:tc>
      </w:tr>
      <w:tr>
        <w:trPr>
          <w:trHeight w:val="201"/>
        </w:trPr>
        <w:tc>
          <w:tcPr>
            <w:tcW w:w="5980" w:type="dxa"/>
            <w:vAlign w:val="bottom"/>
            <w:tcBorders>
              <w:bottom w:val="single" w:sz="8" w:color="BFE4FF"/>
            </w:tcBorders>
          </w:tcPr>
          <w:p>
            <w:pPr>
              <w:ind w:left="380"/>
              <w:spacing w:after="0"/>
              <w:rPr>
                <w:sz w:val="20"/>
                <w:szCs w:val="20"/>
                <w:color w:val="auto"/>
              </w:rPr>
            </w:pPr>
            <w:r>
              <w:rPr>
                <w:rFonts w:ascii="Arial" w:cs="Arial" w:eastAsia="Arial" w:hAnsi="Arial"/>
                <w:sz w:val="16"/>
                <w:szCs w:val="16"/>
                <w:color w:val="auto"/>
              </w:rPr>
              <w:t>Less: Allowance for expected credit losses</w:t>
            </w:r>
          </w:p>
        </w:tc>
        <w:tc>
          <w:tcPr>
            <w:tcW w:w="6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w:t>
            </w:r>
          </w:p>
        </w:tc>
      </w:tr>
      <w:tr>
        <w:trPr>
          <w:trHeight w:val="219"/>
        </w:trPr>
        <w:tc>
          <w:tcPr>
            <w:tcW w:w="598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6"/>
                <w:szCs w:val="16"/>
                <w:b w:val="1"/>
                <w:bCs w:val="1"/>
                <w:color w:val="auto"/>
              </w:rPr>
              <w:t>Accounts receivable, net</w:t>
            </w:r>
          </w:p>
        </w:tc>
        <w:tc>
          <w:tcPr>
            <w:tcW w:w="680" w:type="dxa"/>
            <w:vAlign w:val="bottom"/>
            <w:tcBorders>
              <w:bottom w:val="single" w:sz="8" w:color="auto"/>
            </w:tcBorders>
            <w:shd w:val="clear" w:color="auto" w:fill="BFE4FF"/>
          </w:tcPr>
          <w:p>
            <w:pPr>
              <w:jc w:val="right"/>
              <w:ind w:right="141"/>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239,279</w:t>
            </w:r>
          </w:p>
        </w:tc>
        <w:tc>
          <w:tcPr>
            <w:tcW w:w="100" w:type="dxa"/>
            <w:vAlign w:val="bottom"/>
          </w:tcPr>
          <w:p>
            <w:pPr>
              <w:spacing w:after="0"/>
              <w:rPr>
                <w:sz w:val="18"/>
                <w:szCs w:val="18"/>
                <w:color w:val="auto"/>
              </w:rPr>
            </w:pPr>
          </w:p>
        </w:tc>
        <w:tc>
          <w:tcPr>
            <w:tcW w:w="640" w:type="dxa"/>
            <w:vAlign w:val="bottom"/>
            <w:tcBorders>
              <w:bottom w:val="single" w:sz="8" w:color="auto"/>
            </w:tcBorders>
            <w:shd w:val="clear" w:color="auto" w:fill="BFE4FF"/>
          </w:tcPr>
          <w:p>
            <w:pPr>
              <w:jc w:val="right"/>
              <w:ind w:right="101"/>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194,232</w:t>
            </w:r>
          </w:p>
        </w:tc>
      </w:tr>
      <w:tr>
        <w:trPr>
          <w:trHeight w:val="20"/>
        </w:trPr>
        <w:tc>
          <w:tcPr>
            <w:tcW w:w="5980" w:type="dxa"/>
            <w:vAlign w:val="bottom"/>
            <w:tcBorders>
              <w:top w:val="single" w:sz="8" w:color="BFE4FF"/>
            </w:tcBorders>
          </w:tcPr>
          <w:p>
            <w:pPr>
              <w:spacing w:after="0" w:line="20" w:lineRule="exact"/>
              <w:rPr>
                <w:sz w:val="1"/>
                <w:szCs w:val="1"/>
                <w:color w:val="auto"/>
              </w:rPr>
            </w:pPr>
          </w:p>
        </w:tc>
        <w:tc>
          <w:tcPr>
            <w:tcW w:w="680" w:type="dxa"/>
            <w:vAlign w:val="bottom"/>
            <w:tcBorders>
              <w:top w:val="single" w:sz="8" w:color="BFE4FF"/>
              <w:bottom w:val="single" w:sz="8" w:color="auto"/>
            </w:tcBorders>
          </w:tcPr>
          <w:p>
            <w:pPr>
              <w:spacing w:after="0" w:line="20" w:lineRule="exact"/>
              <w:rPr>
                <w:sz w:val="1"/>
                <w:szCs w:val="1"/>
                <w:color w:val="auto"/>
              </w:rPr>
            </w:pPr>
          </w:p>
        </w:tc>
        <w:tc>
          <w:tcPr>
            <w:tcW w:w="164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BFE4FF"/>
              <w:bottom w:val="single" w:sz="8" w:color="auto"/>
            </w:tcBorders>
          </w:tcPr>
          <w:p>
            <w:pPr>
              <w:spacing w:after="0" w:line="20" w:lineRule="exact"/>
              <w:rPr>
                <w:sz w:val="1"/>
                <w:szCs w:val="1"/>
                <w:color w:val="auto"/>
              </w:rPr>
            </w:pPr>
          </w:p>
        </w:tc>
        <w:tc>
          <w:tcPr>
            <w:tcW w:w="1680" w:type="dxa"/>
            <w:vAlign w:val="bottom"/>
            <w:tcBorders>
              <w:top w:val="single" w:sz="8" w:color="BFE4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movement in “Allowance for expected credit losses” on customer balances was as follows:</w:t>
      </w:r>
    </w:p>
    <w:p>
      <w:pPr>
        <w:spacing w:after="0" w:line="22"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5320" w:type="dxa"/>
            <w:vAlign w:val="bottom"/>
            <w:tcBorders>
              <w:bottom w:val="single" w:sz="8" w:color="CCEEFF"/>
            </w:tcBorders>
          </w:tcPr>
          <w:p>
            <w:pPr>
              <w:spacing w:after="0"/>
              <w:rPr>
                <w:sz w:val="14"/>
                <w:szCs w:val="14"/>
                <w:color w:val="auto"/>
              </w:rPr>
            </w:pPr>
          </w:p>
        </w:tc>
        <w:tc>
          <w:tcPr>
            <w:tcW w:w="3500" w:type="dxa"/>
            <w:vAlign w:val="bottom"/>
            <w:tcBorders>
              <w:bottom w:val="single" w:sz="8" w:color="auto"/>
            </w:tcBorders>
            <w:gridSpan w:val="6"/>
          </w:tcPr>
          <w:p>
            <w:pPr>
              <w:ind w:left="1140"/>
              <w:spacing w:after="0"/>
              <w:rPr>
                <w:sz w:val="20"/>
                <w:szCs w:val="20"/>
                <w:color w:val="auto"/>
              </w:rPr>
            </w:pPr>
            <w:r>
              <w:rPr>
                <w:rFonts w:ascii="Arial" w:cs="Arial" w:eastAsia="Arial" w:hAnsi="Arial"/>
                <w:sz w:val="13"/>
                <w:szCs w:val="13"/>
                <w:b w:val="1"/>
                <w:bCs w:val="1"/>
                <w:color w:val="auto"/>
              </w:rPr>
              <w:t>Three months ended</w:t>
            </w: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665"/>
              <w:spacing w:after="0"/>
              <w:rPr>
                <w:sz w:val="20"/>
                <w:szCs w:val="20"/>
                <w:color w:val="auto"/>
              </w:rPr>
            </w:pPr>
            <w:r>
              <w:rPr>
                <w:rFonts w:ascii="Arial" w:cs="Arial" w:eastAsia="Arial" w:hAnsi="Arial"/>
                <w:sz w:val="13"/>
                <w:szCs w:val="13"/>
                <w:b w:val="1"/>
                <w:bCs w:val="1"/>
                <w:color w:val="auto"/>
              </w:rPr>
              <w:t>Year ended</w:t>
            </w:r>
          </w:p>
        </w:tc>
      </w:tr>
      <w:tr>
        <w:trPr>
          <w:trHeight w:val="162"/>
        </w:trPr>
        <w:tc>
          <w:tcPr>
            <w:tcW w:w="53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March 31, 2022</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March 31, 2021</w:t>
            </w:r>
          </w:p>
        </w:tc>
        <w:tc>
          <w:tcPr>
            <w:tcW w:w="320" w:type="dxa"/>
            <w:vAlign w:val="bottom"/>
            <w:shd w:val="clear" w:color="auto" w:fill="CCEEFF"/>
          </w:tcPr>
          <w:p>
            <w:pPr>
              <w:spacing w:after="0"/>
              <w:rPr>
                <w:sz w:val="14"/>
                <w:szCs w:val="14"/>
                <w:color w:val="auto"/>
              </w:rPr>
            </w:pPr>
          </w:p>
        </w:tc>
        <w:tc>
          <w:tcPr>
            <w:tcW w:w="1760" w:type="dxa"/>
            <w:vAlign w:val="bottom"/>
            <w:shd w:val="clear" w:color="auto" w:fill="CCEEFF"/>
          </w:tcPr>
          <w:p>
            <w:pPr>
              <w:jc w:val="right"/>
              <w:ind w:right="445"/>
              <w:spacing w:after="0"/>
              <w:rPr>
                <w:sz w:val="20"/>
                <w:szCs w:val="20"/>
                <w:color w:val="auto"/>
              </w:rPr>
            </w:pPr>
            <w:r>
              <w:rPr>
                <w:rFonts w:ascii="Arial" w:cs="Arial" w:eastAsia="Arial" w:hAnsi="Arial"/>
                <w:sz w:val="13"/>
                <w:szCs w:val="13"/>
                <w:b w:val="1"/>
                <w:bCs w:val="1"/>
                <w:color w:val="auto"/>
              </w:rPr>
              <w:t>December 31, 2021</w:t>
            </w:r>
          </w:p>
        </w:tc>
      </w:tr>
      <w:tr>
        <w:trPr>
          <w:trHeight w:val="218"/>
        </w:trPr>
        <w:tc>
          <w:tcPr>
            <w:tcW w:w="53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r>
      <w:tr>
        <w:trPr>
          <w:trHeight w:val="202"/>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Balance at the beginning of the period</w:t>
            </w:r>
          </w:p>
        </w:tc>
        <w:tc>
          <w:tcPr>
            <w:tcW w:w="1260" w:type="dxa"/>
            <w:vAlign w:val="bottom"/>
            <w:shd w:val="clear" w:color="auto" w:fill="CCEEFF"/>
          </w:tcPr>
          <w:p>
            <w:pPr>
              <w:jc w:val="right"/>
              <w:ind w:right="108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w:t>
            </w:r>
          </w:p>
        </w:tc>
      </w:tr>
      <w:tr>
        <w:trPr>
          <w:trHeight w:val="201"/>
        </w:trPr>
        <w:tc>
          <w:tcPr>
            <w:tcW w:w="5320" w:type="dxa"/>
            <w:vAlign w:val="bottom"/>
          </w:tcPr>
          <w:p>
            <w:pPr>
              <w:spacing w:after="0"/>
              <w:rPr>
                <w:sz w:val="20"/>
                <w:szCs w:val="20"/>
                <w:color w:val="auto"/>
              </w:rPr>
            </w:pPr>
            <w:r>
              <w:rPr>
                <w:rFonts w:ascii="Arial" w:cs="Arial" w:eastAsia="Arial" w:hAnsi="Arial"/>
                <w:sz w:val="16"/>
                <w:szCs w:val="16"/>
                <w:color w:val="auto"/>
              </w:rPr>
              <w:t>Additions / (reductions) during the period</w:t>
            </w:r>
          </w:p>
        </w:tc>
        <w:tc>
          <w:tcPr>
            <w:tcW w:w="12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172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(496)</w:t>
            </w:r>
          </w:p>
        </w:tc>
      </w:tr>
      <w:tr>
        <w:trPr>
          <w:trHeight w:val="202"/>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Reductions due to write-off of Accounts Receivables</w:t>
            </w:r>
          </w:p>
        </w:tc>
        <w:tc>
          <w:tcPr>
            <w:tcW w:w="12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(158)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01"/>
        </w:trPr>
        <w:tc>
          <w:tcPr>
            <w:tcW w:w="53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Translation adjustment</w:t>
            </w:r>
          </w:p>
        </w:tc>
        <w:tc>
          <w:tcPr>
            <w:tcW w:w="12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the end of the period</w:t>
            </w:r>
          </w:p>
        </w:tc>
        <w:tc>
          <w:tcPr>
            <w:tcW w:w="1260" w:type="dxa"/>
            <w:vAlign w:val="bottom"/>
            <w:tcBorders>
              <w:bottom w:val="single" w:sz="8" w:color="auto"/>
            </w:tcBorders>
            <w:shd w:val="clear" w:color="auto" w:fill="CCEEFF"/>
          </w:tcPr>
          <w:p>
            <w:pPr>
              <w:jc w:val="right"/>
              <w:ind w:right="108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Earnings Per Share</w:t>
      </w:r>
    </w:p>
    <w:p>
      <w:pPr>
        <w:spacing w:after="0" w:line="212" w:lineRule="exact"/>
        <w:rPr>
          <w:sz w:val="20"/>
          <w:szCs w:val="20"/>
          <w:color w:val="auto"/>
        </w:rPr>
      </w:pPr>
    </w:p>
    <w:p>
      <w:pPr>
        <w:jc w:val="both"/>
        <w:ind w:firstLine="356"/>
        <w:spacing w:after="0" w:line="223"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 average number of common shares outstanding, adjusted for outstanding shares that are subject to repurchase during each period. Diluted earnings per share is computed using the weighted average number of common shares plus the potentially dilutive effect of common stock equivalents (outstanding stock options, restricted stock and restricted stock units) issued and outstanding at the reporting date, and an assumed conversion premium of outstanding convertible notes, using the treasury stock method (as discussed further in the subsequent paragraph). Common stock equivalents that are anti-dilutive are excluded from the computation of weighted average shares outstanding. The Company includes performance stock unit awards in dilutive potential common shares when they become contingently issuable and have a dilutive impact per authoritative guidance and excludes such awards when they are not contingently issuable.</w:t>
      </w:r>
    </w:p>
    <w:p>
      <w:pPr>
        <w:spacing w:after="0" w:line="193" w:lineRule="exact"/>
        <w:rPr>
          <w:sz w:val="20"/>
          <w:szCs w:val="20"/>
          <w:color w:val="auto"/>
        </w:rPr>
      </w:pPr>
    </w:p>
    <w:p>
      <w:pPr>
        <w:jc w:val="both"/>
        <w:ind w:firstLine="356"/>
        <w:spacing w:after="0" w:line="236" w:lineRule="auto"/>
        <w:rPr>
          <w:sz w:val="20"/>
          <w:szCs w:val="20"/>
          <w:color w:val="auto"/>
        </w:rPr>
      </w:pPr>
      <w:r>
        <w:rPr>
          <w:rFonts w:ascii="Arial" w:cs="Arial" w:eastAsia="Arial" w:hAnsi="Arial"/>
          <w:sz w:val="16"/>
          <w:szCs w:val="16"/>
          <w:color w:val="auto"/>
        </w:rPr>
        <w:t>In 2021, diluted weighted-average shares outstanding was affected by the treatment of the Company's 3.5% per annum Convertible Senior Notes due October 1, 2024 (the “Notes”). The Company had a choice to settle the Notes in cash, shares or any combination of the two. The Company had the ability to settle the principal balance of the Notes in cash, and as such, the Company applied the treasury stock method. The dilution related to the conversion premium, if any, of the Notes is included in the calculation of diluted weighted-average shares outstanding for the portion of the period until actual settlement and to the extent the issuance is dilutive based on the average stock price during the reporting period being greater than the conversion price of $75. During the third quarter of 2021, the Company settled the Notes by electing a combination of cash and shares of the Company’s common stock and as such included the count of shares issued on settlement in the calculation of basic earnings per share for the portion of the period outstanding.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computation of basic and diluted earnings per share:</w:t>
      </w:r>
    </w:p>
    <w:p>
      <w:pPr>
        <w:spacing w:after="0" w:line="129" w:lineRule="exact"/>
        <w:rPr>
          <w:sz w:val="20"/>
          <w:szCs w:val="20"/>
          <w:color w:val="auto"/>
        </w:rPr>
      </w:pPr>
    </w:p>
    <w:tbl>
      <w:tblPr>
        <w:tblLayout w:type="fixed"/>
        <w:tblInd w:w="42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4"/>
          </w:tcPr>
          <w:p>
            <w:pPr>
              <w:jc w:val="right"/>
              <w:ind w:right="903"/>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82"/>
        </w:trPr>
        <w:tc>
          <w:tcPr>
            <w:tcW w:w="63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4"/>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3"/>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7"/>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Numerators:</w:t>
            </w:r>
          </w:p>
        </w:tc>
        <w:tc>
          <w:tcPr>
            <w:tcW w:w="4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3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36,178</w:t>
            </w:r>
          </w:p>
        </w:tc>
        <w:tc>
          <w:tcPr>
            <w:tcW w:w="100" w:type="dxa"/>
            <w:vAlign w:val="bottom"/>
          </w:tcPr>
          <w:p>
            <w:pPr>
              <w:spacing w:after="0"/>
              <w:rPr>
                <w:sz w:val="17"/>
                <w:szCs w:val="17"/>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31,931</w:t>
            </w:r>
          </w:p>
        </w:tc>
        <w:tc>
          <w:tcPr>
            <w:tcW w:w="0" w:type="dxa"/>
            <w:vAlign w:val="bottom"/>
          </w:tcPr>
          <w:p>
            <w:pPr>
              <w:spacing w:after="0"/>
              <w:rPr>
                <w:sz w:val="1"/>
                <w:szCs w:val="1"/>
                <w:color w:val="auto"/>
              </w:rPr>
            </w:pPr>
          </w:p>
        </w:tc>
      </w:tr>
      <w:tr>
        <w:trPr>
          <w:trHeight w:val="202"/>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Denominators:</w:t>
            </w:r>
          </w:p>
        </w:tc>
        <w:tc>
          <w:tcPr>
            <w:tcW w:w="4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00" w:type="dxa"/>
            <w:vAlign w:val="bottom"/>
          </w:tcPr>
          <w:p>
            <w:pPr>
              <w:ind w:left="300"/>
              <w:spacing w:after="0"/>
              <w:rPr>
                <w:sz w:val="20"/>
                <w:szCs w:val="20"/>
                <w:color w:val="auto"/>
              </w:rPr>
            </w:pPr>
            <w:r>
              <w:rPr>
                <w:rFonts w:ascii="Arial" w:cs="Arial" w:eastAsia="Arial" w:hAnsi="Arial"/>
                <w:sz w:val="16"/>
                <w:szCs w:val="16"/>
                <w:color w:val="auto"/>
              </w:rPr>
              <w:t>Basic weighted average common shares outstanding</w:t>
            </w:r>
          </w:p>
        </w:tc>
        <w:tc>
          <w:tcPr>
            <w:tcW w:w="4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33,442,038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33,734,118</w:t>
            </w:r>
          </w:p>
        </w:tc>
        <w:tc>
          <w:tcPr>
            <w:tcW w:w="0" w:type="dxa"/>
            <w:vAlign w:val="bottom"/>
          </w:tcPr>
          <w:p>
            <w:pPr>
              <w:spacing w:after="0"/>
              <w:rPr>
                <w:sz w:val="1"/>
                <w:szCs w:val="1"/>
                <w:color w:val="auto"/>
              </w:rPr>
            </w:pPr>
          </w:p>
        </w:tc>
      </w:tr>
      <w:tr>
        <w:trPr>
          <w:trHeight w:val="202"/>
        </w:trPr>
        <w:tc>
          <w:tcPr>
            <w:tcW w:w="6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Dilutive effect of share based awards</w:t>
            </w:r>
          </w:p>
        </w:tc>
        <w:tc>
          <w:tcPr>
            <w:tcW w:w="4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452,830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342,993</w:t>
            </w:r>
          </w:p>
        </w:tc>
        <w:tc>
          <w:tcPr>
            <w:tcW w:w="0" w:type="dxa"/>
            <w:vAlign w:val="bottom"/>
          </w:tcPr>
          <w:p>
            <w:pPr>
              <w:spacing w:after="0"/>
              <w:rPr>
                <w:sz w:val="1"/>
                <w:szCs w:val="1"/>
                <w:color w:val="auto"/>
              </w:rPr>
            </w:pPr>
          </w:p>
        </w:tc>
      </w:tr>
      <w:tr>
        <w:trPr>
          <w:trHeight w:val="201"/>
        </w:trPr>
        <w:tc>
          <w:tcPr>
            <w:tcW w:w="6300" w:type="dxa"/>
            <w:vAlign w:val="bottom"/>
          </w:tcPr>
          <w:p>
            <w:pPr>
              <w:ind w:left="300"/>
              <w:spacing w:after="0"/>
              <w:rPr>
                <w:sz w:val="20"/>
                <w:szCs w:val="20"/>
                <w:color w:val="auto"/>
              </w:rPr>
            </w:pPr>
            <w:r>
              <w:rPr>
                <w:rFonts w:ascii="Arial" w:cs="Arial" w:eastAsia="Arial" w:hAnsi="Arial"/>
                <w:sz w:val="16"/>
                <w:szCs w:val="16"/>
                <w:color w:val="auto"/>
              </w:rPr>
              <w:t>Dilutive effect of conversion premium on the Notes</w:t>
            </w:r>
          </w:p>
        </w:tc>
        <w:tc>
          <w:tcPr>
            <w:tcW w:w="44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241,207</w:t>
            </w:r>
          </w:p>
        </w:tc>
        <w:tc>
          <w:tcPr>
            <w:tcW w:w="0" w:type="dxa"/>
            <w:vAlign w:val="bottom"/>
          </w:tcPr>
          <w:p>
            <w:pPr>
              <w:spacing w:after="0"/>
              <w:rPr>
                <w:sz w:val="1"/>
                <w:szCs w:val="1"/>
                <w:color w:val="auto"/>
              </w:rPr>
            </w:pPr>
          </w:p>
        </w:tc>
      </w:tr>
      <w:tr>
        <w:trPr>
          <w:trHeight w:val="219"/>
        </w:trPr>
        <w:tc>
          <w:tcPr>
            <w:tcW w:w="6300" w:type="dxa"/>
            <w:vAlign w:val="bottom"/>
            <w:tcBorders>
              <w:top w:val="single" w:sz="8" w:color="CCEEFF"/>
              <w:bottom w:val="single" w:sz="8" w:color="CCEEFF"/>
            </w:tcBorders>
            <w:shd w:val="clear" w:color="auto" w:fill="CCEEFF"/>
          </w:tcPr>
          <w:p>
            <w:pPr>
              <w:ind w:left="280"/>
              <w:spacing w:after="0" w:line="181" w:lineRule="exact"/>
              <w:rPr>
                <w:sz w:val="20"/>
                <w:szCs w:val="20"/>
                <w:color w:val="auto"/>
              </w:rPr>
            </w:pPr>
            <w:r>
              <w:rPr>
                <w:rFonts w:ascii="Arial" w:cs="Arial" w:eastAsia="Arial" w:hAnsi="Arial"/>
                <w:sz w:val="16"/>
                <w:szCs w:val="16"/>
                <w:color w:val="auto"/>
              </w:rPr>
              <w:t>Diluted weighted average common shares outstanding</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33,894,868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34,318,318</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per share attributable to ExlService Holdings Inc. stockholders: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3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3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Basic</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01"/>
        </w:trPr>
        <w:tc>
          <w:tcPr>
            <w:tcW w:w="6300" w:type="dxa"/>
            <w:vAlign w:val="bottom"/>
          </w:tcPr>
          <w:p>
            <w:pPr>
              <w:ind w:left="580"/>
              <w:spacing w:after="0"/>
              <w:rPr>
                <w:sz w:val="20"/>
                <w:szCs w:val="20"/>
                <w:color w:val="auto"/>
              </w:rPr>
            </w:pPr>
            <w:r>
              <w:rPr>
                <w:rFonts w:ascii="Arial" w:cs="Arial" w:eastAsia="Arial" w:hAnsi="Arial"/>
                <w:sz w:val="16"/>
                <w:szCs w:val="16"/>
                <w:color w:val="auto"/>
              </w:rPr>
              <w:t>Diluted</w:t>
            </w: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7"/>
                <w:szCs w:val="17"/>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155"/>
        </w:trPr>
        <w:tc>
          <w:tcPr>
            <w:tcW w:w="630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Weighted average potentially dilutive shares considered anti-dilutive and not included in</w:t>
            </w:r>
          </w:p>
        </w:tc>
        <w:tc>
          <w:tcPr>
            <w:tcW w:w="44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computing diluted earnings per share</w:t>
            </w:r>
          </w:p>
        </w:tc>
        <w:tc>
          <w:tcPr>
            <w:tcW w:w="440" w:type="dxa"/>
            <w:vAlign w:val="bottom"/>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4" w:name="page15"/>
    <w:bookmarkEnd w:id="1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Cash, Cash Equivalents and Restricted Cash</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purposes of the unaudited statements of cash flows, cash, cash equivalents and restricted cash comprise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420"/>
              <w:spacing w:after="0"/>
              <w:rPr>
                <w:sz w:val="20"/>
                <w:szCs w:val="20"/>
                <w:color w:val="auto"/>
              </w:rPr>
            </w:pPr>
            <w:r>
              <w:rPr>
                <w:rFonts w:ascii="Arial" w:cs="Arial" w:eastAsia="Arial" w:hAnsi="Arial"/>
                <w:sz w:val="13"/>
                <w:szCs w:val="13"/>
                <w:b w:val="1"/>
                <w:bCs w:val="1"/>
                <w:color w:val="auto"/>
              </w:rPr>
              <w:t>As of</w:t>
            </w: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r>
      <w:tr>
        <w:trPr>
          <w:trHeight w:val="182"/>
        </w:trPr>
        <w:tc>
          <w:tcPr>
            <w:tcW w:w="5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2"/>
          </w:tcPr>
          <w:p>
            <w:pPr>
              <w:ind w:left="220"/>
              <w:spacing w:after="0"/>
              <w:rPr>
                <w:sz w:val="20"/>
                <w:szCs w:val="20"/>
                <w:color w:val="auto"/>
              </w:rPr>
            </w:pPr>
            <w:r>
              <w:rPr>
                <w:rFonts w:ascii="Arial" w:cs="Arial" w:eastAsia="Arial" w:hAnsi="Arial"/>
                <w:sz w:val="13"/>
                <w:szCs w:val="13"/>
                <w:b w:val="1"/>
                <w:bCs w:val="1"/>
                <w:color w:val="auto"/>
              </w:rPr>
              <w:t>March 31, 2022</w:t>
            </w:r>
          </w:p>
        </w:tc>
        <w:tc>
          <w:tcPr>
            <w:tcW w:w="280" w:type="dxa"/>
            <w:vAlign w:val="bottom"/>
          </w:tcPr>
          <w:p>
            <w:pPr>
              <w:spacing w:after="0"/>
              <w:rPr>
                <w:sz w:val="15"/>
                <w:szCs w:val="15"/>
                <w:color w:val="auto"/>
              </w:rPr>
            </w:pPr>
          </w:p>
        </w:tc>
        <w:tc>
          <w:tcPr>
            <w:tcW w:w="1560" w:type="dxa"/>
            <w:vAlign w:val="bottom"/>
            <w:gridSpan w:val="2"/>
          </w:tcPr>
          <w:p>
            <w:pPr>
              <w:ind w:left="180"/>
              <w:spacing w:after="0"/>
              <w:rPr>
                <w:sz w:val="20"/>
                <w:szCs w:val="20"/>
                <w:color w:val="auto"/>
              </w:rPr>
            </w:pPr>
            <w:r>
              <w:rPr>
                <w:rFonts w:ascii="Arial" w:cs="Arial" w:eastAsia="Arial" w:hAnsi="Arial"/>
                <w:sz w:val="13"/>
                <w:szCs w:val="13"/>
                <w:b w:val="1"/>
                <w:bCs w:val="1"/>
                <w:color w:val="auto"/>
              </w:rPr>
              <w:t>March 31, 2021</w:t>
            </w:r>
          </w:p>
        </w:tc>
        <w:tc>
          <w:tcPr>
            <w:tcW w:w="220" w:type="dxa"/>
            <w:vAlign w:val="bottom"/>
          </w:tcPr>
          <w:p>
            <w:pPr>
              <w:spacing w:after="0"/>
              <w:rPr>
                <w:sz w:val="15"/>
                <w:szCs w:val="15"/>
                <w:color w:val="auto"/>
              </w:rPr>
            </w:pPr>
          </w:p>
        </w:tc>
        <w:tc>
          <w:tcPr>
            <w:tcW w:w="1540" w:type="dxa"/>
            <w:vAlign w:val="bottom"/>
          </w:tcPr>
          <w:p>
            <w:pPr>
              <w:jc w:val="right"/>
              <w:ind w:right="304"/>
              <w:spacing w:after="0"/>
              <w:rPr>
                <w:sz w:val="20"/>
                <w:szCs w:val="20"/>
                <w:color w:val="auto"/>
              </w:rPr>
            </w:pPr>
            <w:r>
              <w:rPr>
                <w:rFonts w:ascii="Arial" w:cs="Arial" w:eastAsia="Arial" w:hAnsi="Arial"/>
                <w:sz w:val="13"/>
                <w:szCs w:val="13"/>
                <w:b w:val="1"/>
                <w:bCs w:val="1"/>
                <w:color w:val="auto"/>
                <w:w w:val="97"/>
              </w:rPr>
              <w:t>December 31, 2021</w:t>
            </w:r>
          </w:p>
        </w:tc>
      </w:tr>
      <w:tr>
        <w:trPr>
          <w:trHeight w:val="19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106,540</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177,121</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135,337</w:t>
            </w:r>
          </w:p>
        </w:tc>
      </w:tr>
      <w:tr>
        <w:trPr>
          <w:trHeight w:val="201"/>
        </w:trPr>
        <w:tc>
          <w:tcPr>
            <w:tcW w:w="5740" w:type="dxa"/>
            <w:vAlign w:val="bottom"/>
          </w:tcPr>
          <w:p>
            <w:pPr>
              <w:ind w:left="20"/>
              <w:spacing w:after="0"/>
              <w:rPr>
                <w:sz w:val="20"/>
                <w:szCs w:val="20"/>
                <w:color w:val="auto"/>
              </w:rPr>
            </w:pPr>
            <w:r>
              <w:rPr>
                <w:rFonts w:ascii="Arial" w:cs="Arial" w:eastAsia="Arial" w:hAnsi="Arial"/>
                <w:sz w:val="16"/>
                <w:szCs w:val="16"/>
                <w:color w:val="auto"/>
              </w:rPr>
              <w:t>Restricted cash (current)</w:t>
            </w:r>
          </w:p>
        </w:tc>
        <w:tc>
          <w:tcPr>
            <w:tcW w:w="280" w:type="dxa"/>
            <w:vAlign w:val="bottom"/>
          </w:tcPr>
          <w:p>
            <w:pPr>
              <w:spacing w:after="0"/>
              <w:rPr>
                <w:sz w:val="17"/>
                <w:szCs w:val="17"/>
                <w:color w:val="auto"/>
              </w:rPr>
            </w:pPr>
          </w:p>
        </w:tc>
        <w:tc>
          <w:tcPr>
            <w:tcW w:w="1560" w:type="dxa"/>
            <w:vAlign w:val="bottom"/>
          </w:tcPr>
          <w:p>
            <w:pPr>
              <w:jc w:val="right"/>
              <w:ind w:right="4"/>
              <w:spacing w:after="0"/>
              <w:rPr>
                <w:sz w:val="20"/>
                <w:szCs w:val="20"/>
                <w:color w:val="auto"/>
              </w:rPr>
            </w:pPr>
            <w:r>
              <w:rPr>
                <w:rFonts w:ascii="Arial" w:cs="Arial" w:eastAsia="Arial" w:hAnsi="Arial"/>
                <w:sz w:val="16"/>
                <w:szCs w:val="16"/>
                <w:color w:val="auto"/>
              </w:rPr>
              <w:t>6,274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ind w:right="6"/>
              <w:spacing w:after="0"/>
              <w:rPr>
                <w:sz w:val="20"/>
                <w:szCs w:val="20"/>
                <w:color w:val="auto"/>
              </w:rPr>
            </w:pPr>
            <w:r>
              <w:rPr>
                <w:rFonts w:ascii="Arial" w:cs="Arial" w:eastAsia="Arial" w:hAnsi="Arial"/>
                <w:sz w:val="16"/>
                <w:szCs w:val="16"/>
                <w:color w:val="auto"/>
              </w:rPr>
              <w:t>5,295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6"/>
                <w:szCs w:val="16"/>
                <w:color w:val="auto"/>
              </w:rPr>
              <w:t>6,174</w:t>
            </w:r>
          </w:p>
        </w:tc>
      </w:tr>
      <w:tr>
        <w:trPr>
          <w:trHeight w:val="202"/>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(non-current)</w:t>
            </w:r>
          </w:p>
        </w:tc>
        <w:tc>
          <w:tcPr>
            <w:tcW w:w="2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2,255</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2,298</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2,299</w:t>
            </w:r>
          </w:p>
        </w:tc>
      </w:tr>
      <w:tr>
        <w:trPr>
          <w:trHeight w:val="193"/>
        </w:trPr>
        <w:tc>
          <w:tcPr>
            <w:tcW w:w="5740" w:type="dxa"/>
            <w:vAlign w:val="bottom"/>
          </w:tcPr>
          <w:p>
            <w:pPr>
              <w:ind w:left="20"/>
              <w:spacing w:after="0" w:line="181" w:lineRule="exact"/>
              <w:rPr>
                <w:sz w:val="20"/>
                <w:szCs w:val="20"/>
                <w:color w:val="auto"/>
              </w:rPr>
            </w:pPr>
            <w:r>
              <w:rPr>
                <w:rFonts w:ascii="Arial" w:cs="Arial" w:eastAsia="Arial" w:hAnsi="Arial"/>
                <w:sz w:val="16"/>
                <w:szCs w:val="16"/>
                <w:color w:val="auto"/>
              </w:rPr>
              <w:t>Cash, cash equivalents and restricted cash</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115,069</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184,714</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143,810</w:t>
            </w:r>
          </w:p>
        </w:tc>
      </w:tr>
      <w:tr>
        <w:trPr>
          <w:trHeight w:val="20"/>
        </w:trPr>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Other Income, net</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Other income, net consists of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1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4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4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Gain on sale and mark-to-market of mutual funds and money market funds</w:t>
            </w:r>
          </w:p>
        </w:tc>
        <w:tc>
          <w:tcPr>
            <w:tcW w:w="29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0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1,236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06"/>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1,103</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40" w:type="dxa"/>
            <w:vAlign w:val="bottom"/>
          </w:tcPr>
          <w:p>
            <w:pPr>
              <w:ind w:left="20"/>
              <w:spacing w:after="0"/>
              <w:rPr>
                <w:sz w:val="20"/>
                <w:szCs w:val="20"/>
                <w:color w:val="auto"/>
              </w:rPr>
            </w:pPr>
            <w:r>
              <w:rPr>
                <w:rFonts w:ascii="Arial" w:cs="Arial" w:eastAsia="Arial" w:hAnsi="Arial"/>
                <w:sz w:val="16"/>
                <w:szCs w:val="16"/>
                <w:color w:val="auto"/>
              </w:rPr>
              <w:t>Interest and dividend income</w:t>
            </w:r>
          </w:p>
        </w:tc>
        <w:tc>
          <w:tcPr>
            <w:tcW w:w="2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1,370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602</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Others, net</w:t>
            </w:r>
          </w:p>
        </w:tc>
        <w:tc>
          <w:tcPr>
            <w:tcW w:w="29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14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2940" w:type="dxa"/>
            <w:vAlign w:val="bottom"/>
          </w:tcPr>
          <w:p>
            <w:pPr>
              <w:spacing w:after="0"/>
              <w:rPr>
                <w:sz w:val="16"/>
                <w:szCs w:val="16"/>
                <w:color w:val="auto"/>
              </w:rPr>
            </w:pPr>
          </w:p>
        </w:tc>
        <w:tc>
          <w:tcPr>
            <w:tcW w:w="780" w:type="dxa"/>
            <w:vAlign w:val="bottom"/>
            <w:tcBorders>
              <w:bottom w:val="single" w:sz="8" w:color="auto"/>
            </w:tcBorders>
          </w:tcPr>
          <w:p>
            <w:pPr>
              <w:jc w:val="right"/>
              <w:ind w:right="60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2,411</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606"/>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1,410</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940" w:type="dxa"/>
            <w:vAlign w:val="bottom"/>
            <w:vMerge w:val="restart"/>
          </w:tcPr>
          <w:p>
            <w:pPr>
              <w:jc w:val="right"/>
              <w:ind w:right="2301"/>
              <w:spacing w:after="0"/>
              <w:rPr>
                <w:sz w:val="20"/>
                <w:szCs w:val="20"/>
                <w:color w:val="auto"/>
              </w:rPr>
            </w:pPr>
            <w:r>
              <w:rPr>
                <w:rFonts w:ascii="Arial" w:cs="Arial" w:eastAsia="Arial" w:hAnsi="Arial"/>
                <w:sz w:val="16"/>
                <w:szCs w:val="16"/>
                <w:color w:val="auto"/>
              </w:rPr>
              <w:t>15</w:t>
            </w: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2"/>
        </w:trPr>
        <w:tc>
          <w:tcPr>
            <w:tcW w:w="51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140" w:type="dxa"/>
            <w:vAlign w:val="bottom"/>
            <w:tcBorders>
              <w:bottom w:val="single" w:sz="8" w:color="9A9A9A"/>
            </w:tcBorders>
          </w:tcPr>
          <w:p>
            <w:pPr>
              <w:spacing w:after="0"/>
              <w:rPr>
                <w:sz w:val="8"/>
                <w:szCs w:val="8"/>
                <w:color w:val="auto"/>
              </w:rPr>
            </w:pPr>
          </w:p>
        </w:tc>
        <w:tc>
          <w:tcPr>
            <w:tcW w:w="29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5" w:name="page16"/>
    <w:bookmarkEnd w:id="1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Property and Equipment, net</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Property and equipment, net consists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600" w:type="dxa"/>
            <w:vAlign w:val="bottom"/>
          </w:tcPr>
          <w:p>
            <w:pPr>
              <w:spacing w:after="0"/>
              <w:rPr>
                <w:sz w:val="14"/>
                <w:szCs w:val="1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Estimated useful lives</w:t>
            </w: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3"/>
                <w:szCs w:val="13"/>
                <w:b w:val="1"/>
                <w:bCs w:val="1"/>
                <w:color w:val="auto"/>
              </w:rPr>
              <w:t>As of</w:t>
            </w:r>
          </w:p>
        </w:tc>
        <w:tc>
          <w:tcPr>
            <w:tcW w:w="1540" w:type="dxa"/>
            <w:vAlign w:val="bottom"/>
            <w:tcBorders>
              <w:bottom w:val="single" w:sz="8" w:color="auto"/>
            </w:tcBorders>
          </w:tcPr>
          <w:p>
            <w:pPr>
              <w:spacing w:after="0"/>
              <w:rPr>
                <w:sz w:val="14"/>
                <w:szCs w:val="14"/>
                <w:color w:val="auto"/>
              </w:rPr>
            </w:pPr>
          </w:p>
        </w:tc>
      </w:tr>
      <w:tr>
        <w:trPr>
          <w:trHeight w:val="166"/>
        </w:trPr>
        <w:tc>
          <w:tcPr>
            <w:tcW w:w="5600" w:type="dxa"/>
            <w:vAlign w:val="bottom"/>
          </w:tcPr>
          <w:p>
            <w:pPr>
              <w:spacing w:after="0"/>
              <w:rPr>
                <w:sz w:val="14"/>
                <w:szCs w:val="1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(Years)</w:t>
            </w:r>
          </w:p>
        </w:tc>
        <w:tc>
          <w:tcPr>
            <w:tcW w:w="280" w:type="dxa"/>
            <w:vAlign w:val="bottom"/>
          </w:tcPr>
          <w:p>
            <w:pPr>
              <w:spacing w:after="0"/>
              <w:rPr>
                <w:sz w:val="14"/>
                <w:szCs w:val="14"/>
                <w:color w:val="auto"/>
              </w:rPr>
            </w:pPr>
          </w:p>
        </w:tc>
        <w:tc>
          <w:tcPr>
            <w:tcW w:w="1620" w:type="dxa"/>
            <w:vAlign w:val="bottom"/>
            <w:gridSpan w:val="2"/>
          </w:tcPr>
          <w:p>
            <w:pPr>
              <w:ind w:left="200"/>
              <w:spacing w:after="0"/>
              <w:rPr>
                <w:sz w:val="20"/>
                <w:szCs w:val="20"/>
                <w:color w:val="auto"/>
              </w:rPr>
            </w:pPr>
            <w:r>
              <w:rPr>
                <w:rFonts w:ascii="Arial" w:cs="Arial" w:eastAsia="Arial" w:hAnsi="Arial"/>
                <w:sz w:val="13"/>
                <w:szCs w:val="13"/>
                <w:b w:val="1"/>
                <w:bCs w:val="1"/>
                <w:color w:val="auto"/>
              </w:rPr>
              <w:t>March 31, 2022</w:t>
            </w:r>
          </w:p>
        </w:tc>
        <w:tc>
          <w:tcPr>
            <w:tcW w:w="240" w:type="dxa"/>
            <w:vAlign w:val="bottom"/>
          </w:tcPr>
          <w:p>
            <w:pPr>
              <w:spacing w:after="0"/>
              <w:rPr>
                <w:sz w:val="14"/>
                <w:szCs w:val="14"/>
                <w:color w:val="auto"/>
              </w:rPr>
            </w:pPr>
          </w:p>
        </w:tc>
        <w:tc>
          <w:tcPr>
            <w:tcW w:w="1540" w:type="dxa"/>
            <w:vAlign w:val="bottom"/>
          </w:tcPr>
          <w:p>
            <w:pPr>
              <w:jc w:val="right"/>
              <w:ind w:right="302"/>
              <w:spacing w:after="0"/>
              <w:rPr>
                <w:sz w:val="20"/>
                <w:szCs w:val="20"/>
                <w:color w:val="auto"/>
              </w:rPr>
            </w:pPr>
            <w:r>
              <w:rPr>
                <w:rFonts w:ascii="Arial" w:cs="Arial" w:eastAsia="Arial" w:hAnsi="Arial"/>
                <w:sz w:val="13"/>
                <w:szCs w:val="13"/>
                <w:b w:val="1"/>
                <w:bCs w:val="1"/>
                <w:color w:val="auto"/>
                <w:w w:val="97"/>
              </w:rPr>
              <w:t>December 31, 2021</w:t>
            </w:r>
          </w:p>
        </w:tc>
      </w:tr>
      <w:tr>
        <w:trPr>
          <w:trHeight w:val="171"/>
        </w:trPr>
        <w:tc>
          <w:tcPr>
            <w:tcW w:w="5600" w:type="dxa"/>
            <w:vAlign w:val="bottom"/>
          </w:tcPr>
          <w:p>
            <w:pPr>
              <w:spacing w:after="0"/>
              <w:rPr>
                <w:sz w:val="14"/>
                <w:szCs w:val="14"/>
                <w:color w:val="auto"/>
              </w:rPr>
            </w:pPr>
          </w:p>
        </w:tc>
        <w:tc>
          <w:tcPr>
            <w:tcW w:w="1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r>
      <w:tr>
        <w:trPr>
          <w:trHeight w:val="202"/>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Owned Assets: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1"/>
        </w:trPr>
        <w:tc>
          <w:tcPr>
            <w:tcW w:w="5600" w:type="dxa"/>
            <w:vAlign w:val="bottom"/>
          </w:tcPr>
          <w:p>
            <w:pPr>
              <w:ind w:left="20"/>
              <w:spacing w:after="0"/>
              <w:rPr>
                <w:sz w:val="20"/>
                <w:szCs w:val="20"/>
                <w:color w:val="auto"/>
              </w:rPr>
            </w:pPr>
            <w:r>
              <w:rPr>
                <w:rFonts w:ascii="Arial" w:cs="Arial" w:eastAsia="Arial" w:hAnsi="Arial"/>
                <w:sz w:val="16"/>
                <w:szCs w:val="16"/>
                <w:color w:val="auto"/>
              </w:rPr>
              <w:t>Network equipment and computers</w:t>
            </w: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3-5</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2"/>
              <w:spacing w:after="0"/>
              <w:rPr>
                <w:sz w:val="20"/>
                <w:szCs w:val="20"/>
                <w:color w:val="auto"/>
              </w:rPr>
            </w:pPr>
            <w:r>
              <w:rPr>
                <w:rFonts w:ascii="Arial" w:cs="Arial" w:eastAsia="Arial" w:hAnsi="Arial"/>
                <w:sz w:val="16"/>
                <w:szCs w:val="16"/>
                <w:color w:val="auto"/>
              </w:rPr>
              <w:t>122,887</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116,023</w:t>
            </w:r>
          </w:p>
        </w:tc>
      </w:tr>
      <w:tr>
        <w:trPr>
          <w:trHeight w:val="202"/>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106,947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101,884</w:t>
            </w:r>
          </w:p>
        </w:tc>
      </w:tr>
      <w:tr>
        <w:trPr>
          <w:trHeight w:val="201"/>
        </w:trPr>
        <w:tc>
          <w:tcPr>
            <w:tcW w:w="560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3-8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right"/>
              <w:ind w:right="2"/>
              <w:spacing w:after="0"/>
              <w:rPr>
                <w:sz w:val="20"/>
                <w:szCs w:val="20"/>
                <w:color w:val="auto"/>
              </w:rPr>
            </w:pPr>
            <w:r>
              <w:rPr>
                <w:rFonts w:ascii="Arial" w:cs="Arial" w:eastAsia="Arial" w:hAnsi="Arial"/>
                <w:sz w:val="16"/>
                <w:szCs w:val="16"/>
                <w:color w:val="auto"/>
              </w:rPr>
              <w:t>45,853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46,401</w:t>
            </w:r>
          </w:p>
        </w:tc>
      </w:tr>
      <w:tr>
        <w:trPr>
          <w:trHeight w:val="202"/>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 furniture and equipment</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22,003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22,302</w:t>
            </w:r>
          </w:p>
        </w:tc>
      </w:tr>
      <w:tr>
        <w:trPr>
          <w:trHeight w:val="201"/>
        </w:trPr>
        <w:tc>
          <w:tcPr>
            <w:tcW w:w="5600" w:type="dxa"/>
            <w:vAlign w:val="bottom"/>
          </w:tcPr>
          <w:p>
            <w:pPr>
              <w:ind w:left="20"/>
              <w:spacing w:after="0"/>
              <w:rPr>
                <w:sz w:val="20"/>
                <w:szCs w:val="20"/>
                <w:color w:val="auto"/>
              </w:rPr>
            </w:pPr>
            <w:r>
              <w:rPr>
                <w:rFonts w:ascii="Arial" w:cs="Arial" w:eastAsia="Arial" w:hAnsi="Arial"/>
                <w:sz w:val="16"/>
                <w:szCs w:val="16"/>
                <w:color w:val="auto"/>
              </w:rPr>
              <w:t>Motor vehicles</w:t>
            </w: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right"/>
              <w:ind w:right="2"/>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693</w:t>
            </w:r>
          </w:p>
        </w:tc>
      </w:tr>
      <w:tr>
        <w:trPr>
          <w:trHeight w:val="202"/>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r>
      <w:tr>
        <w:trPr>
          <w:trHeight w:val="201"/>
        </w:trPr>
        <w:tc>
          <w:tcPr>
            <w:tcW w:w="5600" w:type="dxa"/>
            <w:vAlign w:val="bottom"/>
          </w:tcPr>
          <w:p>
            <w:pPr>
              <w:ind w:left="20"/>
              <w:spacing w:after="0"/>
              <w:rPr>
                <w:sz w:val="20"/>
                <w:szCs w:val="20"/>
                <w:color w:val="auto"/>
              </w:rPr>
            </w:pPr>
            <w:r>
              <w:rPr>
                <w:rFonts w:ascii="Arial" w:cs="Arial" w:eastAsia="Arial" w:hAnsi="Arial"/>
                <w:sz w:val="16"/>
                <w:szCs w:val="16"/>
                <w:color w:val="auto"/>
              </w:rPr>
              <w:t>Land</w:t>
            </w: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7"/>
                <w:szCs w:val="17"/>
                <w:color w:val="auto"/>
              </w:rPr>
            </w:pPr>
          </w:p>
        </w:tc>
        <w:tc>
          <w:tcPr>
            <w:tcW w:w="1520" w:type="dxa"/>
            <w:vAlign w:val="bottom"/>
          </w:tcPr>
          <w:p>
            <w:pPr>
              <w:jc w:val="right"/>
              <w:ind w:right="2"/>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02"/>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work in progress</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2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5,812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10,288</w:t>
            </w:r>
          </w:p>
        </w:tc>
      </w:tr>
      <w:tr>
        <w:trPr>
          <w:trHeight w:val="194"/>
        </w:trPr>
        <w:tc>
          <w:tcPr>
            <w:tcW w:w="56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ind w:right="2"/>
              <w:spacing w:after="0"/>
              <w:rPr>
                <w:sz w:val="20"/>
                <w:szCs w:val="20"/>
                <w:color w:val="auto"/>
              </w:rPr>
            </w:pPr>
            <w:r>
              <w:rPr>
                <w:rFonts w:ascii="Arial" w:cs="Arial" w:eastAsia="Arial" w:hAnsi="Arial"/>
                <w:sz w:val="16"/>
                <w:szCs w:val="16"/>
                <w:color w:val="auto"/>
              </w:rPr>
              <w:t>305,919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299,361</w:t>
            </w:r>
          </w:p>
        </w:tc>
      </w:tr>
      <w:tr>
        <w:trPr>
          <w:trHeight w:val="202"/>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(220,662)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(213,699)</w:t>
            </w:r>
          </w:p>
        </w:tc>
      </w:tr>
      <w:tr>
        <w:trPr>
          <w:trHeight w:val="194"/>
        </w:trPr>
        <w:tc>
          <w:tcPr>
            <w:tcW w:w="560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85,257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85,662</w:t>
            </w:r>
          </w:p>
        </w:tc>
      </w:tr>
      <w:tr>
        <w:trPr>
          <w:trHeight w:val="182"/>
        </w:trPr>
        <w:tc>
          <w:tcPr>
            <w:tcW w:w="56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Right-of-use assets under finance leases:*</w:t>
            </w: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01"/>
        </w:trPr>
        <w:tc>
          <w:tcPr>
            <w:tcW w:w="5600" w:type="dxa"/>
            <w:vAlign w:val="bottom"/>
          </w:tcPr>
          <w:p>
            <w:pPr>
              <w:ind w:left="20"/>
              <w:spacing w:after="0"/>
              <w:rPr>
                <w:sz w:val="20"/>
                <w:szCs w:val="20"/>
                <w:color w:val="auto"/>
              </w:rPr>
            </w:pPr>
            <w:r>
              <w:rPr>
                <w:rFonts w:ascii="Arial" w:cs="Arial" w:eastAsia="Arial" w:hAnsi="Arial"/>
                <w:sz w:val="16"/>
                <w:szCs w:val="16"/>
                <w:color w:val="auto"/>
              </w:rPr>
              <w:t>Network equipment and computers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2"/>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02"/>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1,105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w:t>
            </w:r>
          </w:p>
        </w:tc>
      </w:tr>
      <w:tr>
        <w:trPr>
          <w:trHeight w:val="201"/>
        </w:trPr>
        <w:tc>
          <w:tcPr>
            <w:tcW w:w="5600" w:type="dxa"/>
            <w:vAlign w:val="bottom"/>
          </w:tcPr>
          <w:p>
            <w:pPr>
              <w:ind w:left="20"/>
              <w:spacing w:after="0"/>
              <w:rPr>
                <w:sz w:val="20"/>
                <w:szCs w:val="20"/>
                <w:color w:val="auto"/>
              </w:rPr>
            </w:pPr>
            <w:r>
              <w:rPr>
                <w:rFonts w:ascii="Arial" w:cs="Arial" w:eastAsia="Arial" w:hAnsi="Arial"/>
                <w:sz w:val="16"/>
                <w:szCs w:val="16"/>
                <w:color w:val="auto"/>
              </w:rPr>
              <w:t>Office furniture and equipment</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right"/>
              <w:ind w:right="2"/>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787</w:t>
            </w:r>
          </w:p>
        </w:tc>
      </w:tr>
      <w:tr>
        <w:trPr>
          <w:trHeight w:val="202"/>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 vehicles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w:t>
            </w:r>
          </w:p>
        </w:tc>
      </w:tr>
      <w:tr>
        <w:trPr>
          <w:trHeight w:val="194"/>
        </w:trPr>
        <w:tc>
          <w:tcPr>
            <w:tcW w:w="56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ind w:right="2"/>
              <w:spacing w:after="0"/>
              <w:rPr>
                <w:sz w:val="20"/>
                <w:szCs w:val="20"/>
                <w:color w:val="auto"/>
              </w:rPr>
            </w:pPr>
            <w:r>
              <w:rPr>
                <w:rFonts w:ascii="Arial" w:cs="Arial" w:eastAsia="Arial" w:hAnsi="Arial"/>
                <w:sz w:val="16"/>
                <w:szCs w:val="16"/>
                <w:color w:val="auto"/>
              </w:rPr>
              <w:t>2,489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2,685</w:t>
            </w:r>
          </w:p>
        </w:tc>
      </w:tr>
      <w:tr>
        <w:trPr>
          <w:trHeight w:val="202"/>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(2,339)</w:t>
            </w:r>
          </w:p>
        </w:tc>
      </w:tr>
      <w:tr>
        <w:trPr>
          <w:trHeight w:val="194"/>
        </w:trPr>
        <w:tc>
          <w:tcPr>
            <w:tcW w:w="560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r>
      <w:tr>
        <w:trPr>
          <w:trHeight w:val="21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85,610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86,008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*Depreciation on assets held under finance leases are computed using the straight-line method over the shorter of the assets estimated useful lives or the lease term.</w:t>
      </w:r>
    </w:p>
    <w:p>
      <w:pPr>
        <w:spacing w:after="0" w:line="231" w:lineRule="exact"/>
        <w:rPr>
          <w:sz w:val="20"/>
          <w:szCs w:val="20"/>
          <w:color w:val="auto"/>
        </w:rPr>
      </w:pPr>
    </w:p>
    <w:p>
      <w:pPr>
        <w:jc w:val="both"/>
        <w:ind w:firstLine="356"/>
        <w:spacing w:after="0" w:line="254" w:lineRule="auto"/>
        <w:rPr>
          <w:sz w:val="20"/>
          <w:szCs w:val="20"/>
          <w:color w:val="auto"/>
        </w:rPr>
      </w:pPr>
      <w:r>
        <w:rPr>
          <w:rFonts w:ascii="Arial" w:cs="Arial" w:eastAsia="Arial" w:hAnsi="Arial"/>
          <w:sz w:val="16"/>
          <w:szCs w:val="16"/>
          <w:color w:val="auto"/>
        </w:rPr>
        <w:t>Capital work in progress represents advances paid towards acquisition of property and equipment and costs incurred on internally developed software not yet ready to be placed in service.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During the three months ended March 31, 2022, there were no changes in estimated useful lives of property and equipment during the ordinary course of operations.</w:t>
      </w:r>
    </w:p>
    <w:p>
      <w:pPr>
        <w:spacing w:after="0" w:line="231" w:lineRule="exact"/>
        <w:rPr>
          <w:sz w:val="20"/>
          <w:szCs w:val="20"/>
          <w:color w:val="auto"/>
        </w:rPr>
      </w:pPr>
    </w:p>
    <w:p>
      <w:pPr>
        <w:jc w:val="both"/>
        <w:ind w:firstLine="356"/>
        <w:spacing w:after="0" w:line="250" w:lineRule="auto"/>
        <w:rPr>
          <w:sz w:val="20"/>
          <w:szCs w:val="20"/>
          <w:color w:val="auto"/>
        </w:rPr>
      </w:pPr>
      <w:r>
        <w:rPr>
          <w:rFonts w:ascii="Arial" w:cs="Arial" w:eastAsia="Arial" w:hAnsi="Arial"/>
          <w:sz w:val="16"/>
          <w:szCs w:val="16"/>
          <w:color w:val="auto"/>
        </w:rPr>
        <w:t>The depreciation and amortization expense, excluding amortization of acquisition-related intangibles, recognized in the unaudited consolidated statements of income was as follows:</w:t>
      </w:r>
    </w:p>
    <w:p>
      <w:pPr>
        <w:spacing w:after="0" w:line="1" w:lineRule="exact"/>
        <w:rPr>
          <w:sz w:val="20"/>
          <w:szCs w:val="20"/>
          <w:color w:val="auto"/>
        </w:rPr>
      </w:pPr>
    </w:p>
    <w:p>
      <w:pPr>
        <w:ind w:left="728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4279900</wp:posOffset>
            </wp:positionH>
            <wp:positionV relativeFrom="paragraph">
              <wp:posOffset>15875</wp:posOffset>
            </wp:positionV>
            <wp:extent cx="175704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57045" cy="7620"/>
                    </a:xfrm>
                    <a:prstGeom prst="rect">
                      <a:avLst/>
                    </a:prstGeom>
                    <a:noFill/>
                  </pic:spPr>
                </pic:pic>
              </a:graphicData>
            </a:graphic>
          </wp:anchor>
        </w:drawing>
      </w:r>
    </w:p>
    <w:p>
      <w:pPr>
        <w:spacing w:after="0" w:line="9" w:lineRule="exact"/>
        <w:rPr>
          <w:sz w:val="20"/>
          <w:szCs w:val="20"/>
          <w:color w:val="auto"/>
        </w:rPr>
      </w:pPr>
    </w:p>
    <w:p>
      <w:pPr>
        <w:ind w:left="7280"/>
        <w:spacing w:after="0"/>
        <w:tabs>
          <w:tab w:leader="none" w:pos="8700"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15875</wp:posOffset>
            </wp:positionV>
            <wp:extent cx="5678170" cy="151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78170" cy="151130"/>
                    </a:xfrm>
                    <a:prstGeom prst="rect">
                      <a:avLst/>
                    </a:prstGeom>
                    <a:noFill/>
                  </pic:spPr>
                </pic:pic>
              </a:graphicData>
            </a:graphic>
          </wp:anchor>
        </w:drawing>
      </w:r>
    </w:p>
    <w:p>
      <w:pPr>
        <w:spacing w:after="0" w:line="16" w:lineRule="exact"/>
        <w:rPr>
          <w:sz w:val="20"/>
          <w:szCs w:val="20"/>
          <w:color w:val="auto"/>
        </w:rPr>
      </w:pPr>
    </w:p>
    <w:p>
      <w:pPr>
        <w:ind w:left="580"/>
        <w:spacing w:after="0"/>
        <w:tabs>
          <w:tab w:leader="none" w:pos="6740" w:val="left"/>
          <w:tab w:leader="none" w:pos="7640" w:val="left"/>
          <w:tab w:leader="none" w:pos="8180" w:val="left"/>
          <w:tab w:leader="none" w:pos="9060" w:val="left"/>
        </w:tabs>
        <w:rPr>
          <w:sz w:val="20"/>
          <w:szCs w:val="20"/>
          <w:color w:val="auto"/>
        </w:rPr>
      </w:pPr>
      <w:r>
        <w:rPr>
          <w:rFonts w:ascii="Arial" w:cs="Arial" w:eastAsia="Arial" w:hAnsi="Arial"/>
          <w:sz w:val="16"/>
          <w:szCs w:val="16"/>
          <w:color w:val="auto"/>
        </w:rPr>
        <w:t>Depreciation and amortization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9,116</w:t>
        <w:tab/>
        <w:t>$</w:t>
      </w:r>
      <w:r>
        <w:rPr>
          <w:sz w:val="20"/>
          <w:szCs w:val="20"/>
          <w:color w:val="auto"/>
        </w:rPr>
        <w:tab/>
      </w:r>
      <w:r>
        <w:rPr>
          <w:rFonts w:ascii="Arial" w:cs="Arial" w:eastAsia="Arial" w:hAnsi="Arial"/>
          <w:sz w:val="14"/>
          <w:szCs w:val="14"/>
          <w:color w:val="auto"/>
        </w:rPr>
        <w:t>8,740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4279900</wp:posOffset>
            </wp:positionH>
            <wp:positionV relativeFrom="paragraph">
              <wp:posOffset>34290</wp:posOffset>
            </wp:positionV>
            <wp:extent cx="175704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57045" cy="7620"/>
                    </a:xfrm>
                    <a:prstGeom prst="rect">
                      <a:avLst/>
                    </a:prstGeom>
                    <a:noFill/>
                  </pic:spPr>
                </pic:pic>
              </a:graphicData>
            </a:graphic>
          </wp:anchor>
        </w:drawing>
      </w:r>
    </w:p>
    <w:p>
      <w:pPr>
        <w:spacing w:after="0" w:line="33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effect of foreign exchange gain upon settlement of cash flow hedges recorded under depreciation and amortization, was as follows:</w:t>
      </w:r>
    </w:p>
    <w:p>
      <w:pPr>
        <w:spacing w:after="0" w:line="34" w:lineRule="exact"/>
        <w:rPr>
          <w:sz w:val="20"/>
          <w:szCs w:val="20"/>
          <w:color w:val="auto"/>
        </w:rPr>
      </w:pPr>
    </w:p>
    <w:tbl>
      <w:tblPr>
        <w:tblLayout w:type="fixed"/>
        <w:tblInd w:w="560" w:type="dxa"/>
        <w:tblCellMar>
          <w:top w:w="0" w:type="dxa"/>
          <w:left w:w="0" w:type="dxa"/>
          <w:bottom w:w="0" w:type="dxa"/>
          <w:right w:w="0" w:type="dxa"/>
        </w:tblCellMar>
      </w:tblPr>
      <w:tr>
        <w:trPr>
          <w:trHeight w:val="165"/>
        </w:trPr>
        <w:tc>
          <w:tcPr>
            <w:tcW w:w="5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b w:val="1"/>
                <w:bCs w:val="1"/>
                <w:color w:val="auto"/>
                <w:w w:val="88"/>
              </w:rPr>
              <w:t>Three months ended March 31,</w:t>
            </w:r>
          </w:p>
        </w:tc>
        <w:tc>
          <w:tcPr>
            <w:tcW w:w="800" w:type="dxa"/>
            <w:vAlign w:val="bottom"/>
          </w:tcPr>
          <w:p>
            <w:pPr>
              <w:spacing w:after="0"/>
              <w:rPr>
                <w:sz w:val="14"/>
                <w:szCs w:val="14"/>
                <w:color w:val="auto"/>
              </w:rPr>
            </w:pPr>
          </w:p>
        </w:tc>
      </w:tr>
      <w:tr>
        <w:trPr>
          <w:trHeight w:val="21"/>
        </w:trPr>
        <w:tc>
          <w:tcPr>
            <w:tcW w:w="55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57"/>
        </w:trPr>
        <w:tc>
          <w:tcPr>
            <w:tcW w:w="55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jc w:val="right"/>
              <w:ind w:right="473"/>
              <w:spacing w:after="0"/>
              <w:rPr>
                <w:sz w:val="20"/>
                <w:szCs w:val="20"/>
                <w:color w:val="auto"/>
              </w:rPr>
            </w:pPr>
            <w:r>
              <w:rPr>
                <w:rFonts w:ascii="Arial" w:cs="Arial" w:eastAsia="Arial" w:hAnsi="Arial"/>
                <w:sz w:val="13"/>
                <w:szCs w:val="13"/>
                <w:b w:val="1"/>
                <w:bCs w:val="1"/>
                <w:color w:val="auto"/>
                <w:w w:val="82"/>
              </w:rPr>
              <w:t>2021</w:t>
            </w:r>
          </w:p>
        </w:tc>
      </w:tr>
      <w:tr>
        <w:trPr>
          <w:trHeight w:val="203"/>
        </w:trPr>
        <w:tc>
          <w:tcPr>
            <w:tcW w:w="55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Effect of foreign exchange gain</w:t>
            </w:r>
          </w:p>
        </w:tc>
        <w:tc>
          <w:tcPr>
            <w:tcW w:w="1360" w:type="dxa"/>
            <w:vAlign w:val="bottom"/>
            <w:shd w:val="clear" w:color="auto" w:fill="CCEEFF"/>
          </w:tcPr>
          <w:p>
            <w:pPr>
              <w:jc w:val="right"/>
              <w:ind w:right="633"/>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13"/>
              <w:spacing w:after="0"/>
              <w:rPr>
                <w:sz w:val="20"/>
                <w:szCs w:val="20"/>
                <w:color w:val="auto"/>
              </w:rPr>
            </w:pPr>
            <w:r>
              <w:rPr>
                <w:rFonts w:ascii="Arial" w:cs="Arial" w:eastAsia="Arial" w:hAnsi="Arial"/>
                <w:sz w:val="14"/>
                <w:szCs w:val="14"/>
                <w:color w:val="auto"/>
              </w:rPr>
              <w:t>67</w:t>
            </w:r>
          </w:p>
        </w:tc>
        <w:tc>
          <w:tcPr>
            <w:tcW w:w="88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6" w:name="page17"/>
    <w:bookmarkEnd w:id="16"/>
    <w:p>
      <w:pPr>
        <w:ind w:left="5"/>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5"/>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5"/>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5"/>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65"/>
        <w:spacing w:after="0"/>
        <w:rPr>
          <w:sz w:val="20"/>
          <w:szCs w:val="20"/>
          <w:color w:val="auto"/>
        </w:rPr>
      </w:pPr>
      <w:r>
        <w:rPr>
          <w:rFonts w:ascii="Arial" w:cs="Arial" w:eastAsia="Arial" w:hAnsi="Arial"/>
          <w:sz w:val="16"/>
          <w:szCs w:val="16"/>
          <w:color w:val="auto"/>
        </w:rPr>
        <w:t>Internally developed software costs, included under Software, was as follows:</w:t>
      </w:r>
    </w:p>
    <w:p>
      <w:pPr>
        <w:spacing w:after="0" w:line="34" w:lineRule="exact"/>
        <w:rPr>
          <w:sz w:val="20"/>
          <w:szCs w:val="20"/>
          <w:color w:val="auto"/>
        </w:rPr>
      </w:pPr>
    </w:p>
    <w:tbl>
      <w:tblPr>
        <w:tblLayout w:type="fixed"/>
        <w:tblInd w:w="425" w:type="dxa"/>
        <w:tblCellMar>
          <w:top w:w="0" w:type="dxa"/>
          <w:left w:w="0" w:type="dxa"/>
          <w:bottom w:w="0" w:type="dxa"/>
          <w:right w:w="0" w:type="dxa"/>
        </w:tblCellMar>
      </w:tblPr>
      <w:tr>
        <w:trPr>
          <w:trHeight w:val="170"/>
        </w:trPr>
        <w:tc>
          <w:tcPr>
            <w:tcW w:w="592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6"/>
              <w:spacing w:after="0"/>
              <w:rPr>
                <w:sz w:val="20"/>
                <w:szCs w:val="20"/>
                <w:color w:val="auto"/>
              </w:rPr>
            </w:pPr>
            <w:r>
              <w:rPr>
                <w:rFonts w:ascii="Arial" w:cs="Arial" w:eastAsia="Arial" w:hAnsi="Arial"/>
                <w:sz w:val="13"/>
                <w:szCs w:val="13"/>
                <w:b w:val="1"/>
                <w:bCs w:val="1"/>
                <w:color w:val="auto"/>
                <w:w w:val="79"/>
              </w:rPr>
              <w:t>As of</w:t>
            </w:r>
          </w:p>
        </w:tc>
        <w:tc>
          <w:tcPr>
            <w:tcW w:w="1760" w:type="dxa"/>
            <w:vAlign w:val="bottom"/>
            <w:tcBorders>
              <w:bottom w:val="single" w:sz="8" w:color="auto"/>
            </w:tcBorders>
          </w:tcPr>
          <w:p>
            <w:pPr>
              <w:spacing w:after="0"/>
              <w:rPr>
                <w:sz w:val="14"/>
                <w:szCs w:val="14"/>
                <w:color w:val="auto"/>
              </w:rPr>
            </w:pPr>
          </w:p>
        </w:tc>
      </w:tr>
      <w:tr>
        <w:trPr>
          <w:trHeight w:val="162"/>
        </w:trPr>
        <w:tc>
          <w:tcPr>
            <w:tcW w:w="5920" w:type="dxa"/>
            <w:vAlign w:val="bottom"/>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2022</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December 31, 2021</w:t>
            </w:r>
          </w:p>
        </w:tc>
      </w:tr>
      <w:tr>
        <w:trPr>
          <w:trHeight w:val="171"/>
        </w:trPr>
        <w:tc>
          <w:tcPr>
            <w:tcW w:w="5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02"/>
        </w:trPr>
        <w:tc>
          <w:tcPr>
            <w:tcW w:w="5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w:t>
            </w:r>
          </w:p>
        </w:tc>
        <w:tc>
          <w:tcPr>
            <w:tcW w:w="1780" w:type="dxa"/>
            <w:vAlign w:val="bottom"/>
            <w:shd w:val="clear" w:color="auto" w:fill="CCEEFF"/>
          </w:tcPr>
          <w:p>
            <w:pPr>
              <w:jc w:val="right"/>
              <w:ind w:right="1266"/>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25,977</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19,289</w:t>
            </w:r>
          </w:p>
        </w:tc>
      </w:tr>
      <w:tr>
        <w:trPr>
          <w:trHeight w:val="201"/>
        </w:trPr>
        <w:tc>
          <w:tcPr>
            <w:tcW w:w="59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Less : Accumulated amortization</w:t>
            </w:r>
          </w:p>
        </w:tc>
        <w:tc>
          <w:tcPr>
            <w:tcW w:w="17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(11,265)</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(10,226)</w:t>
            </w:r>
          </w:p>
        </w:tc>
      </w:tr>
      <w:tr>
        <w:trPr>
          <w:trHeight w:val="219"/>
        </w:trPr>
        <w:tc>
          <w:tcPr>
            <w:tcW w:w="5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Internally developed software, net</w:t>
            </w:r>
          </w:p>
        </w:tc>
        <w:tc>
          <w:tcPr>
            <w:tcW w:w="1780" w:type="dxa"/>
            <w:vAlign w:val="bottom"/>
            <w:tcBorders>
              <w:bottom w:val="single" w:sz="8" w:color="auto"/>
            </w:tcBorders>
            <w:shd w:val="clear" w:color="auto" w:fill="CCEEFF"/>
          </w:tcPr>
          <w:p>
            <w:pPr>
              <w:jc w:val="right"/>
              <w:ind w:right="1266"/>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14,712</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9,063</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365"/>
        <w:spacing w:after="0"/>
        <w:rPr>
          <w:sz w:val="20"/>
          <w:szCs w:val="20"/>
          <w:color w:val="auto"/>
        </w:rPr>
      </w:pPr>
      <w:r>
        <w:rPr>
          <w:rFonts w:ascii="Arial" w:cs="Arial" w:eastAsia="Arial" w:hAnsi="Arial"/>
          <w:sz w:val="16"/>
          <w:szCs w:val="16"/>
          <w:color w:val="auto"/>
        </w:rPr>
        <w:t>The amortization expense on internally developed software recognized in the unaudited consolidated statements of income was as follows:</w:t>
      </w:r>
    </w:p>
    <w:p>
      <w:pPr>
        <w:spacing w:after="0" w:line="106" w:lineRule="exact"/>
        <w:rPr>
          <w:sz w:val="20"/>
          <w:szCs w:val="20"/>
          <w:color w:val="auto"/>
        </w:rPr>
      </w:pPr>
    </w:p>
    <w:p>
      <w:pPr>
        <w:ind w:left="8305"/>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4871720</wp:posOffset>
            </wp:positionH>
            <wp:positionV relativeFrom="paragraph">
              <wp:posOffset>15875</wp:posOffset>
            </wp:positionV>
            <wp:extent cx="187769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77695" cy="7620"/>
                    </a:xfrm>
                    <a:prstGeom prst="rect">
                      <a:avLst/>
                    </a:prstGeom>
                    <a:noFill/>
                  </pic:spPr>
                </pic:pic>
              </a:graphicData>
            </a:graphic>
          </wp:anchor>
        </w:drawing>
      </w:r>
    </w:p>
    <w:p>
      <w:pPr>
        <w:spacing w:after="0" w:line="9" w:lineRule="exact"/>
        <w:rPr>
          <w:sz w:val="20"/>
          <w:szCs w:val="20"/>
          <w:color w:val="auto"/>
        </w:rPr>
      </w:pPr>
    </w:p>
    <w:p>
      <w:pPr>
        <w:ind w:left="8245"/>
        <w:spacing w:after="0"/>
        <w:tabs>
          <w:tab w:leader="none" w:pos="9745"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15875</wp:posOffset>
            </wp:positionV>
            <wp:extent cx="6341745" cy="135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41745" cy="135890"/>
                    </a:xfrm>
                    <a:prstGeom prst="rect">
                      <a:avLst/>
                    </a:prstGeom>
                    <a:noFill/>
                  </pic:spPr>
                </pic:pic>
              </a:graphicData>
            </a:graphic>
          </wp:anchor>
        </w:drawing>
      </w:r>
    </w:p>
    <w:p>
      <w:pPr>
        <w:spacing w:after="0" w:line="16" w:lineRule="exact"/>
        <w:rPr>
          <w:sz w:val="20"/>
          <w:szCs w:val="20"/>
          <w:color w:val="auto"/>
        </w:rPr>
      </w:pPr>
    </w:p>
    <w:p>
      <w:pPr>
        <w:ind w:left="645"/>
        <w:spacing w:after="0"/>
        <w:tabs>
          <w:tab w:leader="none" w:pos="7665" w:val="left"/>
          <w:tab w:leader="none" w:pos="8625" w:val="left"/>
          <w:tab w:leader="none" w:pos="9165" w:val="left"/>
          <w:tab w:leader="none" w:pos="10185" w:val="left"/>
        </w:tabs>
        <w:rPr>
          <w:sz w:val="20"/>
          <w:szCs w:val="20"/>
          <w:color w:val="auto"/>
        </w:rPr>
      </w:pPr>
      <w:r>
        <w:rPr>
          <w:rFonts w:ascii="Arial" w:cs="Arial" w:eastAsia="Arial" w:hAnsi="Arial"/>
          <w:sz w:val="16"/>
          <w:szCs w:val="16"/>
          <w:color w:val="auto"/>
        </w:rPr>
        <w:t>Amortization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1,033</w:t>
        <w:tab/>
        <w:t>$</w:t>
      </w:r>
      <w:r>
        <w:rPr>
          <w:sz w:val="20"/>
          <w:szCs w:val="20"/>
          <w:color w:val="auto"/>
        </w:rPr>
        <w:tab/>
      </w:r>
      <w:r>
        <w:rPr>
          <w:rFonts w:ascii="Arial" w:cs="Arial" w:eastAsia="Arial" w:hAnsi="Arial"/>
          <w:sz w:val="14"/>
          <w:szCs w:val="14"/>
          <w:color w:val="auto"/>
        </w:rPr>
        <w:t>1,024</w:t>
      </w:r>
    </w:p>
    <w:p>
      <w:pPr>
        <w:spacing w:after="0" w:line="303" w:lineRule="exact"/>
        <w:rPr>
          <w:sz w:val="20"/>
          <w:szCs w:val="20"/>
          <w:color w:val="auto"/>
        </w:rPr>
      </w:pPr>
    </w:p>
    <w:p>
      <w:pPr>
        <w:jc w:val="both"/>
        <w:ind w:left="5" w:firstLine="356"/>
        <w:spacing w:after="0" w:line="277" w:lineRule="auto"/>
        <w:rPr>
          <w:sz w:val="20"/>
          <w:szCs w:val="20"/>
          <w:color w:val="auto"/>
        </w:rPr>
      </w:pPr>
      <w:r>
        <w:rPr>
          <w:rFonts w:ascii="Arial" w:cs="Arial" w:eastAsia="Arial" w:hAnsi="Arial"/>
          <w:sz w:val="14"/>
          <w:szCs w:val="14"/>
          <w:color w:val="auto"/>
        </w:rPr>
        <w:t>As of March 31, 2022 and December 31, 2021, the Company believes no impairment exists because the long-lived asset's future undiscounted net cash flows expected to be generated exceeds its carrying value; however, there can be no assurances that long-lived assets will not be impaired in future periods. Determining whether an impairment has occurred typically requires various estimates and assumptions, including determining which undiscounted cash flows are directly related to the potentially impaired asset, the useful life over which cash flows will occur, their amount, and the asset’s residual value, if any. It is reasonably possible that the judgments and estimates described above could change in future periods. The duration and severity of COVID-19 and continued market volatility is highly uncertain and, as such, the impact on undiscounted cash flows is subject to significant judgment and may cause variability in the Company’s assessment of the existence of any impairment.</w:t>
      </w:r>
    </w:p>
    <w:p>
      <w:pPr>
        <w:spacing w:after="0" w:line="259" w:lineRule="exact"/>
        <w:rPr>
          <w:sz w:val="20"/>
          <w:szCs w:val="20"/>
          <w:color w:val="auto"/>
        </w:rPr>
      </w:pPr>
    </w:p>
    <w:p>
      <w:pPr>
        <w:ind w:left="5" w:right="7420" w:hanging="5"/>
        <w:spacing w:after="0" w:line="399" w:lineRule="auto"/>
        <w:tabs>
          <w:tab w:leader="none" w:pos="163"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Business Combination, Goodwill and Intangible Assets Clairvoyant AI Inc.</w:t>
      </w:r>
    </w:p>
    <w:p>
      <w:pPr>
        <w:spacing w:after="0" w:line="81" w:lineRule="exact"/>
        <w:rPr>
          <w:sz w:val="20"/>
          <w:szCs w:val="20"/>
          <w:color w:val="auto"/>
        </w:rPr>
      </w:pPr>
    </w:p>
    <w:p>
      <w:pPr>
        <w:jc w:val="both"/>
        <w:ind w:left="5" w:firstLine="356"/>
        <w:spacing w:after="0" w:line="243" w:lineRule="auto"/>
        <w:rPr>
          <w:sz w:val="20"/>
          <w:szCs w:val="20"/>
          <w:color w:val="auto"/>
        </w:rPr>
      </w:pPr>
      <w:r>
        <w:rPr>
          <w:rFonts w:ascii="Arial" w:cs="Arial" w:eastAsia="Arial" w:hAnsi="Arial"/>
          <w:sz w:val="16"/>
          <w:szCs w:val="16"/>
          <w:color w:val="auto"/>
        </w:rPr>
        <w:t>On December 16, 2021, the Company, through its wholly owned subsidiary ExlService.com, LLC (“Buyer”), completed the acquisition of Clairvoyant, a Delaware corporation, pursuant to an equity securities purchase agreement dated December 16, 2021 (the "Purchase Agreement"). The Company purchased 100% of the issued and outstanding equity securities in Clairvoyant.</w:t>
      </w:r>
    </w:p>
    <w:p>
      <w:pPr>
        <w:spacing w:after="0" w:line="189" w:lineRule="exact"/>
        <w:rPr>
          <w:sz w:val="20"/>
          <w:szCs w:val="20"/>
          <w:color w:val="auto"/>
        </w:rPr>
      </w:pPr>
    </w:p>
    <w:p>
      <w:pPr>
        <w:jc w:val="both"/>
        <w:ind w:left="5" w:firstLine="356"/>
        <w:spacing w:after="0" w:line="239" w:lineRule="auto"/>
        <w:rPr>
          <w:sz w:val="20"/>
          <w:szCs w:val="20"/>
          <w:color w:val="auto"/>
        </w:rPr>
      </w:pPr>
      <w:r>
        <w:rPr>
          <w:rFonts w:ascii="Arial" w:cs="Arial" w:eastAsia="Arial" w:hAnsi="Arial"/>
          <w:sz w:val="16"/>
          <w:szCs w:val="16"/>
          <w:color w:val="auto"/>
        </w:rPr>
        <w:t>Clairvoyant is a global technology consulting and services company that helps organizations in their business transformation by maximizing the value of data through actionable insights. It provides data engineering, analytics, machine learning, product engineering, and cloud-based solutions. The acquisition strengthens the Company’s capabilities by adding additional expertise in data engineering and cloud enablement, further supporting its clients in insurance, healthcare, banking and financial services, and retail.</w:t>
      </w:r>
    </w:p>
    <w:p>
      <w:pPr>
        <w:spacing w:after="0" w:line="182" w:lineRule="exact"/>
        <w:rPr>
          <w:sz w:val="20"/>
          <w:szCs w:val="20"/>
          <w:color w:val="auto"/>
        </w:rPr>
      </w:pPr>
    </w:p>
    <w:p>
      <w:pPr>
        <w:jc w:val="both"/>
        <w:ind w:left="5" w:firstLine="356"/>
        <w:spacing w:after="0" w:line="257" w:lineRule="auto"/>
        <w:rPr>
          <w:sz w:val="20"/>
          <w:szCs w:val="20"/>
          <w:color w:val="auto"/>
        </w:rPr>
      </w:pPr>
      <w:r>
        <w:rPr>
          <w:rFonts w:ascii="Arial" w:cs="Arial" w:eastAsia="Arial" w:hAnsi="Arial"/>
          <w:sz w:val="14"/>
          <w:szCs w:val="14"/>
          <w:color w:val="auto"/>
        </w:rPr>
        <w:t>The base purchase consideration payable at Closing was $80,080, excluding cash and cash equivalents acquired, debt and other estimated post-closing adjustments. As of March 31, 2022 and December 31, 2021, of the total purchase consideration, the Company has paid $78,198 and $76,831, respectively, net of cash and cash equivalents acquired. The Purchase Agreement also allows sellers the ability to earn up to $20,000 in earn-out payments, based on the achievement of certain performance goals by Clairvoyant during 2022 and 2023 calendar years. The earn-out has an estimated fair value of $9,000 and has been presented as contingent consideration under “Other non-current liabilities” and “Accrued expenses and other current liabilities,” as applicable, as of March 31, 2022 and December 31, 2021 in the consolidated balance sheets. A portion of the purchase consideration otherwise payable was placed into escrow as security for the post-closing working capital adjustments and the indemnification obligations under the Purchase Agreement. To finance the acquisition at Closing, the Company utilized its revolving Credit Facility in the amount of $75,000 and paid the balance with available cash on hand.</w:t>
      </w:r>
    </w:p>
    <w:p>
      <w:pPr>
        <w:spacing w:after="0" w:line="183" w:lineRule="exact"/>
        <w:rPr>
          <w:sz w:val="20"/>
          <w:szCs w:val="20"/>
          <w:color w:val="auto"/>
        </w:rPr>
      </w:pPr>
    </w:p>
    <w:p>
      <w:pPr>
        <w:ind w:left="365"/>
        <w:spacing w:after="0"/>
        <w:rPr>
          <w:sz w:val="20"/>
          <w:szCs w:val="20"/>
          <w:color w:val="auto"/>
        </w:rPr>
      </w:pPr>
      <w:r>
        <w:rPr>
          <w:rFonts w:ascii="Arial" w:cs="Arial" w:eastAsia="Arial" w:hAnsi="Arial"/>
          <w:sz w:val="14"/>
          <w:szCs w:val="14"/>
          <w:color w:val="auto"/>
        </w:rPr>
        <w:t>The Company accounted for the business combination using the acquisition method of accounting. The measurement period will not exceed one year from the acquisition</w:t>
      </w:r>
    </w:p>
    <w:p>
      <w:pPr>
        <w:spacing w:after="0" w:line="31" w:lineRule="exact"/>
        <w:rPr>
          <w:sz w:val="20"/>
          <w:szCs w:val="20"/>
          <w:color w:val="auto"/>
        </w:rPr>
      </w:pPr>
    </w:p>
    <w:p>
      <w:pPr>
        <w:ind w:left="5"/>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59690</wp:posOffset>
            </wp:positionV>
            <wp:extent cx="7174230"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5"/>
          </w:cols>
          <w:pgMar w:left="315" w:top="123" w:right="319" w:bottom="1440" w:gutter="0" w:footer="0" w:header="0"/>
        </w:sectPr>
      </w:pPr>
    </w:p>
    <w:bookmarkStart w:id="17" w:name="page18"/>
    <w:bookmarkEnd w:id="1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356"/>
        <w:spacing w:after="0" w:line="254" w:lineRule="auto"/>
        <w:rPr>
          <w:sz w:val="20"/>
          <w:szCs w:val="20"/>
          <w:color w:val="auto"/>
        </w:rPr>
      </w:pPr>
      <w:r>
        <w:rPr>
          <w:rFonts w:ascii="Arial" w:cs="Arial" w:eastAsia="Arial" w:hAnsi="Arial"/>
          <w:sz w:val="15"/>
          <w:szCs w:val="15"/>
          <w:color w:val="auto"/>
        </w:rPr>
        <w:t>Pursuant to the Company’s business combinations accounting policy, the aggregate purchase consideration for Clairvoyant was allocated to identifiable net tangible and intangible assets based upon their preliminary fair values. The excess of the estimated purchase consideration over fair value of identifiable net tangible and intangible assets was recorded as goodwill. In order to allocate the consideration transferred for Clairvoyant, the fair values of all identifiable assets and liabilities must be established. For accounting and financial reporting purposes, fair value is defined under ASC No. 820, Fair Value Measurement and Disclosure, as the price that would be received upon sale of an asset or the amount paid to transfer a liability in an orderly transaction between market participants at the measurement date. Market participants are assumed to be buyers and sellers in the principal (most advantageous) market for the asset or liability. Additionally, fair value measurements for an asset assume the highest and best use of that asset by market participants. Use of different estimates and judgments could yield different results.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preliminary purchase price allocation to net tangible and intangible assets of Clairvoyant as of December 16, 2021 was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94"/>
        </w:trPr>
        <w:tc>
          <w:tcPr>
            <w:tcW w:w="6120" w:type="dxa"/>
            <w:vAlign w:val="bottom"/>
          </w:tcPr>
          <w:p>
            <w:pPr>
              <w:ind w:left="380"/>
              <w:spacing w:after="0"/>
              <w:rPr>
                <w:sz w:val="20"/>
                <w:szCs w:val="20"/>
                <w:color w:val="auto"/>
              </w:rPr>
            </w:pPr>
            <w:r>
              <w:rPr>
                <w:rFonts w:ascii="Arial" w:cs="Arial" w:eastAsia="Arial" w:hAnsi="Arial"/>
                <w:sz w:val="14"/>
                <w:szCs w:val="14"/>
                <w:b w:val="1"/>
                <w:bCs w:val="1"/>
                <w:color w:val="auto"/>
              </w:rPr>
              <w:t>Assets:</w:t>
            </w: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2"/>
        </w:trPr>
        <w:tc>
          <w:tcPr>
            <w:tcW w:w="6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040" w:type="dxa"/>
            <w:vAlign w:val="bottom"/>
            <w:shd w:val="clear" w:color="auto" w:fill="CCEEFF"/>
          </w:tcPr>
          <w:p>
            <w:pPr>
              <w:jc w:val="right"/>
              <w:ind w:right="5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5,606</w:t>
            </w:r>
          </w:p>
        </w:tc>
      </w:tr>
      <w:tr>
        <w:trPr>
          <w:trHeight w:val="207"/>
        </w:trPr>
        <w:tc>
          <w:tcPr>
            <w:tcW w:w="6120" w:type="dxa"/>
            <w:vAlign w:val="bottom"/>
          </w:tcPr>
          <w:p>
            <w:pPr>
              <w:ind w:left="380"/>
              <w:spacing w:after="0"/>
              <w:rPr>
                <w:sz w:val="20"/>
                <w:szCs w:val="20"/>
                <w:color w:val="auto"/>
              </w:rPr>
            </w:pPr>
            <w:r>
              <w:rPr>
                <w:rFonts w:ascii="Arial" w:cs="Arial" w:eastAsia="Arial" w:hAnsi="Arial"/>
                <w:sz w:val="14"/>
                <w:szCs w:val="14"/>
                <w:color w:val="auto"/>
              </w:rPr>
              <w:t>Accounts receivable, net</w:t>
            </w:r>
          </w:p>
        </w:tc>
        <w:tc>
          <w:tcPr>
            <w:tcW w:w="10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9,042</w:t>
            </w:r>
          </w:p>
        </w:tc>
      </w:tr>
      <w:tr>
        <w:trPr>
          <w:trHeight w:val="220"/>
        </w:trPr>
        <w:tc>
          <w:tcPr>
            <w:tcW w:w="6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assets</w:t>
            </w:r>
          </w:p>
        </w:tc>
        <w:tc>
          <w:tcPr>
            <w:tcW w:w="10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07"/>
        </w:trPr>
        <w:tc>
          <w:tcPr>
            <w:tcW w:w="6120" w:type="dxa"/>
            <w:vAlign w:val="bottom"/>
          </w:tcPr>
          <w:p>
            <w:pPr>
              <w:ind w:left="380"/>
              <w:spacing w:after="0"/>
              <w:rPr>
                <w:sz w:val="20"/>
                <w:szCs w:val="20"/>
                <w:color w:val="auto"/>
              </w:rPr>
            </w:pPr>
            <w:r>
              <w:rPr>
                <w:rFonts w:ascii="Arial" w:cs="Arial" w:eastAsia="Arial" w:hAnsi="Arial"/>
                <w:sz w:val="14"/>
                <w:szCs w:val="14"/>
                <w:color w:val="auto"/>
              </w:rPr>
              <w:t>Property and equipment, net</w:t>
            </w:r>
          </w:p>
        </w:tc>
        <w:tc>
          <w:tcPr>
            <w:tcW w:w="10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399</w:t>
            </w:r>
          </w:p>
        </w:tc>
      </w:tr>
      <w:tr>
        <w:trPr>
          <w:trHeight w:val="208"/>
        </w:trPr>
        <w:tc>
          <w:tcPr>
            <w:tcW w:w="6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Intangible assets, net</w:t>
            </w:r>
          </w:p>
        </w:tc>
        <w:tc>
          <w:tcPr>
            <w:tcW w:w="10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7"/>
        </w:trPr>
        <w:tc>
          <w:tcPr>
            <w:tcW w:w="6120" w:type="dxa"/>
            <w:vAlign w:val="bottom"/>
          </w:tcPr>
          <w:p>
            <w:pPr>
              <w:ind w:left="200"/>
              <w:spacing w:after="0"/>
              <w:rPr>
                <w:sz w:val="20"/>
                <w:szCs w:val="20"/>
                <w:color w:val="auto"/>
              </w:rPr>
            </w:pPr>
            <w:r>
              <w:rPr>
                <w:rFonts w:ascii="Arial" w:cs="Arial" w:eastAsia="Arial" w:hAnsi="Arial"/>
                <w:sz w:val="14"/>
                <w:szCs w:val="14"/>
                <w:color w:val="auto"/>
              </w:rPr>
              <w:t>Customer relationships</w:t>
            </w:r>
          </w:p>
        </w:tc>
        <w:tc>
          <w:tcPr>
            <w:tcW w:w="10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31,600</w:t>
            </w:r>
          </w:p>
        </w:tc>
      </w:tr>
      <w:tr>
        <w:trPr>
          <w:trHeight w:val="220"/>
        </w:trPr>
        <w:tc>
          <w:tcPr>
            <w:tcW w:w="6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Developed technology</w:t>
            </w:r>
          </w:p>
        </w:tc>
        <w:tc>
          <w:tcPr>
            <w:tcW w:w="10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w:t>
            </w:r>
          </w:p>
        </w:tc>
      </w:tr>
      <w:tr>
        <w:trPr>
          <w:trHeight w:val="207"/>
        </w:trPr>
        <w:tc>
          <w:tcPr>
            <w:tcW w:w="6120" w:type="dxa"/>
            <w:vAlign w:val="bottom"/>
          </w:tcPr>
          <w:p>
            <w:pPr>
              <w:ind w:left="200"/>
              <w:spacing w:after="0"/>
              <w:rPr>
                <w:sz w:val="20"/>
                <w:szCs w:val="20"/>
                <w:color w:val="auto"/>
              </w:rPr>
            </w:pPr>
            <w:r>
              <w:rPr>
                <w:rFonts w:ascii="Arial" w:cs="Arial" w:eastAsia="Arial" w:hAnsi="Arial"/>
                <w:sz w:val="14"/>
                <w:szCs w:val="14"/>
                <w:color w:val="auto"/>
              </w:rPr>
              <w:t>Trade names and trademarks</w:t>
            </w:r>
          </w:p>
        </w:tc>
        <w:tc>
          <w:tcPr>
            <w:tcW w:w="10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20"/>
        </w:trPr>
        <w:tc>
          <w:tcPr>
            <w:tcW w:w="6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Non-compete agreements</w:t>
            </w:r>
          </w:p>
        </w:tc>
        <w:tc>
          <w:tcPr>
            <w:tcW w:w="10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07"/>
        </w:trPr>
        <w:tc>
          <w:tcPr>
            <w:tcW w:w="61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assets</w:t>
            </w:r>
          </w:p>
        </w:tc>
        <w:tc>
          <w:tcPr>
            <w:tcW w:w="10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r>
      <w:tr>
        <w:trPr>
          <w:trHeight w:val="212"/>
        </w:trPr>
        <w:tc>
          <w:tcPr>
            <w:tcW w:w="6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1040" w:type="dxa"/>
            <w:vAlign w:val="bottom"/>
            <w:shd w:val="clear" w:color="auto" w:fill="CCEEFF"/>
          </w:tcPr>
          <w:p>
            <w:pPr>
              <w:jc w:val="right"/>
              <w:ind w:right="5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49,885</w:t>
            </w:r>
          </w:p>
        </w:tc>
      </w:tr>
      <w:tr>
        <w:trPr>
          <w:trHeight w:val="83"/>
        </w:trPr>
        <w:tc>
          <w:tcPr>
            <w:tcW w:w="6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r>
      <w:tr>
        <w:trPr>
          <w:trHeight w:val="202"/>
        </w:trPr>
        <w:tc>
          <w:tcPr>
            <w:tcW w:w="612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Liabilities:</w:t>
            </w:r>
          </w:p>
        </w:tc>
        <w:tc>
          <w:tcPr>
            <w:tcW w:w="10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7"/>
        </w:trPr>
        <w:tc>
          <w:tcPr>
            <w:tcW w:w="612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04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(1,241)</w:t>
            </w:r>
          </w:p>
        </w:tc>
      </w:tr>
      <w:tr>
        <w:trPr>
          <w:trHeight w:val="220"/>
        </w:trPr>
        <w:tc>
          <w:tcPr>
            <w:tcW w:w="6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10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(4,833)</w:t>
            </w:r>
          </w:p>
        </w:tc>
      </w:tr>
      <w:tr>
        <w:trPr>
          <w:trHeight w:val="207"/>
        </w:trPr>
        <w:tc>
          <w:tcPr>
            <w:tcW w:w="6120" w:type="dxa"/>
            <w:vAlign w:val="bottom"/>
          </w:tcPr>
          <w:p>
            <w:pPr>
              <w:ind w:left="380"/>
              <w:spacing w:after="0"/>
              <w:rPr>
                <w:sz w:val="20"/>
                <w:szCs w:val="20"/>
                <w:color w:val="auto"/>
              </w:rPr>
            </w:pPr>
            <w:r>
              <w:rPr>
                <w:rFonts w:ascii="Arial" w:cs="Arial" w:eastAsia="Arial" w:hAnsi="Arial"/>
                <w:sz w:val="14"/>
                <w:szCs w:val="14"/>
                <w:color w:val="auto"/>
              </w:rPr>
              <w:t>Deferred tax liabilities</w:t>
            </w:r>
          </w:p>
        </w:tc>
        <w:tc>
          <w:tcPr>
            <w:tcW w:w="10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(9,383)</w:t>
            </w:r>
          </w:p>
        </w:tc>
      </w:tr>
      <w:tr>
        <w:trPr>
          <w:trHeight w:val="220"/>
        </w:trPr>
        <w:tc>
          <w:tcPr>
            <w:tcW w:w="6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non-current liabilities</w:t>
            </w:r>
          </w:p>
        </w:tc>
        <w:tc>
          <w:tcPr>
            <w:tcW w:w="10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(1,226)</w:t>
            </w:r>
          </w:p>
        </w:tc>
      </w:tr>
      <w:tr>
        <w:trPr>
          <w:trHeight w:val="199"/>
        </w:trPr>
        <w:tc>
          <w:tcPr>
            <w:tcW w:w="612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10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(16,683)</w:t>
            </w:r>
          </w:p>
        </w:tc>
      </w:tr>
      <w:tr>
        <w:trPr>
          <w:trHeight w:val="220"/>
        </w:trPr>
        <w:tc>
          <w:tcPr>
            <w:tcW w:w="612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Net assets acquired</w:t>
            </w:r>
          </w:p>
        </w:tc>
        <w:tc>
          <w:tcPr>
            <w:tcW w:w="10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33,202</w:t>
            </w:r>
          </w:p>
        </w:tc>
      </w:tr>
      <w:tr>
        <w:trPr>
          <w:trHeight w:val="207"/>
        </w:trPr>
        <w:tc>
          <w:tcPr>
            <w:tcW w:w="61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Goodwill</w:t>
            </w:r>
          </w:p>
        </w:tc>
        <w:tc>
          <w:tcPr>
            <w:tcW w:w="10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56,373</w:t>
            </w:r>
          </w:p>
        </w:tc>
      </w:tr>
      <w:tr>
        <w:trPr>
          <w:trHeight w:val="208"/>
        </w:trPr>
        <w:tc>
          <w:tcPr>
            <w:tcW w:w="612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Total purchase consideration*</w:t>
            </w:r>
          </w:p>
        </w:tc>
        <w:tc>
          <w:tcPr>
            <w:tcW w:w="1040" w:type="dxa"/>
            <w:vAlign w:val="bottom"/>
            <w:tcBorders>
              <w:bottom w:val="single" w:sz="8" w:color="auto"/>
            </w:tcBorders>
            <w:shd w:val="clear" w:color="auto" w:fill="CCEEFF"/>
          </w:tcPr>
          <w:p>
            <w:pPr>
              <w:jc w:val="right"/>
              <w:ind w:right="521"/>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89,575</w:t>
            </w:r>
          </w:p>
        </w:tc>
      </w:tr>
    </w:tbl>
    <w:p>
      <w:pPr>
        <w:spacing w:after="0" w:line="284" w:lineRule="exact"/>
        <w:rPr>
          <w:sz w:val="20"/>
          <w:szCs w:val="20"/>
          <w:color w:val="auto"/>
        </w:rPr>
      </w:pPr>
    </w:p>
    <w:p>
      <w:pPr>
        <w:ind w:left="460" w:hanging="109"/>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Includes contingent consideration of $9,000 recognized at fair value.</w:t>
      </w:r>
    </w:p>
    <w:p>
      <w:pPr>
        <w:spacing w:after="0" w:line="208" w:lineRule="exact"/>
        <w:rPr>
          <w:sz w:val="20"/>
          <w:szCs w:val="20"/>
          <w:color w:val="auto"/>
        </w:rPr>
      </w:pPr>
    </w:p>
    <w:p>
      <w:pPr>
        <w:jc w:val="both"/>
        <w:ind w:right="20" w:firstLine="356"/>
        <w:spacing w:after="0" w:line="267" w:lineRule="auto"/>
        <w:rPr>
          <w:sz w:val="20"/>
          <w:szCs w:val="20"/>
          <w:color w:val="auto"/>
        </w:rPr>
      </w:pPr>
      <w:r>
        <w:rPr>
          <w:rFonts w:ascii="Arial" w:cs="Arial" w:eastAsia="Arial" w:hAnsi="Arial"/>
          <w:sz w:val="15"/>
          <w:szCs w:val="15"/>
          <w:color w:val="auto"/>
        </w:rPr>
        <w:t>The fair value of assets acquired and liabilities assumed from the acquisition of Clairvoyant is based on a preliminary valuation and, as such, the Company's estimates and assumptions are subject to change within the measurement period. The primary areas of the purchase price allocation that are not yet finalized are related to post-closing working capital and debt adjustments and reflect management’s best estimates and assumptions as of the reporting date.</w:t>
      </w:r>
    </w:p>
    <w:p>
      <w:pPr>
        <w:spacing w:after="0" w:line="172" w:lineRule="exact"/>
        <w:rPr>
          <w:sz w:val="20"/>
          <w:szCs w:val="20"/>
          <w:color w:val="auto"/>
        </w:rPr>
      </w:pPr>
    </w:p>
    <w:p>
      <w:pPr>
        <w:jc w:val="both"/>
        <w:ind w:right="20" w:firstLine="356"/>
        <w:spacing w:after="0" w:line="243" w:lineRule="auto"/>
        <w:rPr>
          <w:sz w:val="20"/>
          <w:szCs w:val="20"/>
          <w:color w:val="auto"/>
        </w:rPr>
      </w:pPr>
      <w:r>
        <w:rPr>
          <w:rFonts w:ascii="Arial" w:cs="Arial" w:eastAsia="Arial" w:hAnsi="Arial"/>
          <w:sz w:val="16"/>
          <w:szCs w:val="16"/>
          <w:color w:val="auto"/>
        </w:rPr>
        <w:t>During the three months ended March 31, 2022, the Company recognized measurement period adjustments, which led to increase in goodwill in an amount of $1,148. The adjustments related to measurement of favorable lease intangibles of $160 included under “other assets” and reserves for various tax matters of $988 included under “other current liabilities.”</w:t>
      </w:r>
    </w:p>
    <w:p>
      <w:pPr>
        <w:spacing w:after="0" w:line="189" w:lineRule="exact"/>
        <w:rPr>
          <w:sz w:val="20"/>
          <w:szCs w:val="20"/>
          <w:color w:val="auto"/>
        </w:rPr>
      </w:pPr>
    </w:p>
    <w:p>
      <w:pPr>
        <w:jc w:val="both"/>
        <w:ind w:right="20" w:firstLine="356"/>
        <w:spacing w:after="0" w:line="287" w:lineRule="auto"/>
        <w:rPr>
          <w:sz w:val="20"/>
          <w:szCs w:val="20"/>
          <w:color w:val="auto"/>
        </w:rPr>
      </w:pPr>
      <w:r>
        <w:rPr>
          <w:rFonts w:ascii="Arial" w:cs="Arial" w:eastAsia="Arial" w:hAnsi="Arial"/>
          <w:sz w:val="15"/>
          <w:szCs w:val="15"/>
          <w:color w:val="auto"/>
        </w:rPr>
        <w:t>The fair values of customer relationships were determined by using an “income approach,” specifically the Multi-Period Excess Earnings Method. The customer relationship assets are being amortized on a straight-line basis (which approximates the economic pattern of benefits) over the estimated economic life of 7 years</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8" w:name="page19"/>
    <w:bookmarkEnd w:id="1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100" w:firstLine="356"/>
        <w:spacing w:after="0" w:line="287" w:lineRule="auto"/>
        <w:rPr>
          <w:sz w:val="20"/>
          <w:szCs w:val="20"/>
          <w:color w:val="auto"/>
        </w:rPr>
      </w:pPr>
      <w:r>
        <w:rPr>
          <w:rFonts w:ascii="Arial" w:cs="Arial" w:eastAsia="Arial" w:hAnsi="Arial"/>
          <w:sz w:val="15"/>
          <w:szCs w:val="15"/>
          <w:color w:val="auto"/>
        </w:rPr>
        <w:t>The fair values of the developed technology intangible assets were determined by using the “cost approach,” specifically the replacement cost method. The technology assets are being amortized on a straight-line basis (which approximates the economic pattern of benefits) over the estimated economic life of 3 years.</w:t>
      </w:r>
    </w:p>
    <w:p>
      <w:pPr>
        <w:spacing w:after="0" w:line="158" w:lineRule="exact"/>
        <w:rPr>
          <w:sz w:val="20"/>
          <w:szCs w:val="20"/>
          <w:color w:val="auto"/>
        </w:rPr>
      </w:pPr>
    </w:p>
    <w:p>
      <w:pPr>
        <w:jc w:val="both"/>
        <w:ind w:right="80" w:firstLine="356"/>
        <w:spacing w:after="0" w:line="267" w:lineRule="auto"/>
        <w:rPr>
          <w:sz w:val="20"/>
          <w:szCs w:val="20"/>
          <w:color w:val="auto"/>
        </w:rPr>
      </w:pPr>
      <w:r>
        <w:rPr>
          <w:rFonts w:ascii="Arial" w:cs="Arial" w:eastAsia="Arial" w:hAnsi="Arial"/>
          <w:sz w:val="15"/>
          <w:szCs w:val="15"/>
          <w:color w:val="auto"/>
        </w:rPr>
        <w:t>The goodwill recognized represents the acquired capabilities, operating synergies and other benefits expected to result from combining the acquired operations with the Company’s existing operations. The amount of goodwill recognized from Clairvoyant’s acquisition is not deductible for tax purposes. The goodwill has been assigned to the Company’s Analytics reportable segment based upon the Company’s assessment of nature of services rendered by Clairvoyant.</w:t>
      </w:r>
    </w:p>
    <w:p>
      <w:pPr>
        <w:spacing w:after="0" w:line="172" w:lineRule="exact"/>
        <w:rPr>
          <w:sz w:val="20"/>
          <w:szCs w:val="20"/>
          <w:color w:val="auto"/>
        </w:rPr>
      </w:pPr>
    </w:p>
    <w:p>
      <w:pPr>
        <w:jc w:val="both"/>
        <w:ind w:right="80" w:firstLine="356"/>
        <w:spacing w:after="0" w:line="287" w:lineRule="auto"/>
        <w:rPr>
          <w:sz w:val="20"/>
          <w:szCs w:val="20"/>
          <w:color w:val="auto"/>
        </w:rPr>
      </w:pPr>
      <w:r>
        <w:rPr>
          <w:rFonts w:ascii="Arial" w:cs="Arial" w:eastAsia="Arial" w:hAnsi="Arial"/>
          <w:sz w:val="15"/>
          <w:szCs w:val="15"/>
          <w:color w:val="auto"/>
        </w:rPr>
        <w:t>Acquisition-related costs are being expensed as incurred and are included in general and administrative expenses in the consolidated statements of income. The Company recognized acquisition-related costs of $134 and $761 during the three months ended and year ended March 31, 2022 and December 31, 2021, respectively.</w:t>
      </w:r>
    </w:p>
    <w:p>
      <w:pPr>
        <w:spacing w:after="0" w:line="158" w:lineRule="exact"/>
        <w:rPr>
          <w:sz w:val="20"/>
          <w:szCs w:val="20"/>
          <w:color w:val="auto"/>
        </w:rPr>
      </w:pPr>
    </w:p>
    <w:p>
      <w:pPr>
        <w:jc w:val="both"/>
        <w:ind w:right="100" w:firstLine="356"/>
        <w:spacing w:after="0" w:line="243" w:lineRule="auto"/>
        <w:rPr>
          <w:sz w:val="20"/>
          <w:szCs w:val="20"/>
          <w:color w:val="auto"/>
        </w:rPr>
      </w:pPr>
      <w:r>
        <w:rPr>
          <w:rFonts w:ascii="Arial" w:cs="Arial" w:eastAsia="Arial" w:hAnsi="Arial"/>
          <w:sz w:val="16"/>
          <w:szCs w:val="16"/>
          <w:color w:val="auto"/>
        </w:rPr>
        <w:t>The results of operations of the acquired business and the fair value of the acquired assets and assumed liabilities are included in the Company’s consolidated financial statements with effect from the date of the acquisition. The acquisition did not materially impact the Company's financial position, results of operations or cash flows, and therefore, the Company has not provided supplemental pro forma results.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details of changes in goodwill by reportable segment of the Company:</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Insurance</w:t>
            </w:r>
          </w:p>
        </w:tc>
        <w:tc>
          <w:tcPr>
            <w:tcW w:w="74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Healthcare</w:t>
            </w:r>
          </w:p>
        </w:tc>
        <w:tc>
          <w:tcPr>
            <w:tcW w:w="7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Emerging</w:t>
            </w:r>
          </w:p>
        </w:tc>
        <w:tc>
          <w:tcPr>
            <w:tcW w:w="78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Analytics</w:t>
            </w:r>
          </w:p>
        </w:tc>
        <w:tc>
          <w:tcPr>
            <w:tcW w:w="840" w:type="dxa"/>
            <w:vAlign w:val="bottom"/>
          </w:tcPr>
          <w:p>
            <w:pPr>
              <w:spacing w:after="0"/>
              <w:rPr>
                <w:sz w:val="14"/>
                <w:szCs w:val="14"/>
                <w:color w:val="auto"/>
              </w:rPr>
            </w:pPr>
          </w:p>
        </w:tc>
        <w:tc>
          <w:tcPr>
            <w:tcW w:w="96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3"/>
        </w:trPr>
        <w:tc>
          <w:tcPr>
            <w:tcW w:w="1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80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Business</w:t>
            </w:r>
          </w:p>
        </w:tc>
        <w:tc>
          <w:tcPr>
            <w:tcW w:w="7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1660" w:type="dxa"/>
            <w:vAlign w:val="bottom"/>
            <w:tcBorders>
              <w:top w:val="single" w:sz="8" w:color="CCEEFF"/>
            </w:tcBorders>
            <w:shd w:val="clear" w:color="auto" w:fill="CCEEFF"/>
          </w:tcPr>
          <w:p>
            <w:pPr>
              <w:ind w:left="600"/>
              <w:spacing w:after="0" w:line="137" w:lineRule="exact"/>
              <w:rPr>
                <w:sz w:val="20"/>
                <w:szCs w:val="20"/>
                <w:color w:val="auto"/>
              </w:rPr>
            </w:pPr>
            <w:r>
              <w:rPr>
                <w:rFonts w:ascii="Arial" w:cs="Arial" w:eastAsia="Arial" w:hAnsi="Arial"/>
                <w:sz w:val="15"/>
                <w:szCs w:val="15"/>
                <w:color w:val="auto"/>
              </w:rPr>
              <w:t>Balance at</w:t>
            </w:r>
          </w:p>
        </w:tc>
        <w:tc>
          <w:tcPr>
            <w:tcW w:w="76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50,428</w:t>
            </w: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21,942</w:t>
            </w: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49,020</w:t>
            </w:r>
          </w:p>
        </w:tc>
        <w:tc>
          <w:tcPr>
            <w:tcW w:w="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282,512</w:t>
            </w: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vMerge w:val="restart"/>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403,902</w:t>
            </w:r>
          </w:p>
        </w:tc>
        <w:tc>
          <w:tcPr>
            <w:tcW w:w="0" w:type="dxa"/>
            <w:vAlign w:val="bottom"/>
          </w:tcPr>
          <w:p>
            <w:pPr>
              <w:spacing w:after="0"/>
              <w:rPr>
                <w:sz w:val="1"/>
                <w:szCs w:val="1"/>
                <w:color w:val="auto"/>
              </w:rPr>
            </w:pPr>
          </w:p>
        </w:tc>
      </w:tr>
      <w:tr>
        <w:trPr>
          <w:trHeight w:val="202"/>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1, 2022</w:t>
            </w:r>
          </w:p>
        </w:tc>
        <w:tc>
          <w:tcPr>
            <w:tcW w:w="76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780"/>
              <w:spacing w:after="0" w:line="155" w:lineRule="exact"/>
              <w:rPr>
                <w:sz w:val="20"/>
                <w:szCs w:val="20"/>
                <w:color w:val="auto"/>
              </w:rPr>
            </w:pPr>
            <w:r>
              <w:rPr>
                <w:rFonts w:ascii="Arial" w:cs="Arial" w:eastAsia="Arial" w:hAnsi="Arial"/>
                <w:sz w:val="16"/>
                <w:szCs w:val="16"/>
                <w:color w:val="auto"/>
                <w:w w:val="87"/>
              </w:rPr>
              <w:t>Measurement</w:t>
            </w:r>
          </w:p>
        </w:tc>
        <w:tc>
          <w:tcPr>
            <w:tcW w:w="760" w:type="dxa"/>
            <w:vAlign w:val="bottom"/>
          </w:tcPr>
          <w:p>
            <w:pPr>
              <w:spacing w:after="0"/>
              <w:rPr>
                <w:sz w:val="13"/>
                <w:szCs w:val="13"/>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3"/>
                <w:szCs w:val="13"/>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1,148</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01"/>
        </w:trPr>
        <w:tc>
          <w:tcPr>
            <w:tcW w:w="1660" w:type="dxa"/>
            <w:vAlign w:val="bottom"/>
          </w:tcPr>
          <w:p>
            <w:pPr>
              <w:ind w:left="220"/>
              <w:spacing w:after="0"/>
              <w:rPr>
                <w:sz w:val="20"/>
                <w:szCs w:val="20"/>
                <w:color w:val="auto"/>
              </w:rPr>
            </w:pPr>
            <w:r>
              <w:rPr>
                <w:rFonts w:ascii="Arial" w:cs="Arial" w:eastAsia="Arial" w:hAnsi="Arial"/>
                <w:sz w:val="16"/>
                <w:szCs w:val="16"/>
                <w:color w:val="auto"/>
              </w:rPr>
              <w:t>period adjustments</w:t>
            </w:r>
          </w:p>
        </w:tc>
        <w:tc>
          <w:tcPr>
            <w:tcW w:w="7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660" w:type="dxa"/>
            <w:vAlign w:val="bottom"/>
            <w:shd w:val="clear" w:color="auto" w:fill="CCEEFF"/>
          </w:tcPr>
          <w:p>
            <w:pPr>
              <w:ind w:left="780"/>
              <w:spacing w:after="0" w:line="155" w:lineRule="exact"/>
              <w:rPr>
                <w:sz w:val="20"/>
                <w:szCs w:val="20"/>
                <w:color w:val="auto"/>
              </w:rPr>
            </w:pPr>
            <w:r>
              <w:rPr>
                <w:rFonts w:ascii="Arial" w:cs="Arial" w:eastAsia="Arial" w:hAnsi="Arial"/>
                <w:sz w:val="16"/>
                <w:szCs w:val="16"/>
                <w:color w:val="auto"/>
              </w:rPr>
              <w:t>Currency</w:t>
            </w:r>
          </w:p>
        </w:tc>
        <w:tc>
          <w:tcPr>
            <w:tcW w:w="7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60" w:type="dxa"/>
            <w:vAlign w:val="bottom"/>
            <w:shd w:val="clear" w:color="auto" w:fill="CCEEFF"/>
          </w:tcPr>
          <w:p>
            <w:pPr>
              <w:ind w:left="220"/>
              <w:spacing w:after="0" w:line="155" w:lineRule="exact"/>
              <w:rPr>
                <w:sz w:val="20"/>
                <w:szCs w:val="20"/>
                <w:color w:val="auto"/>
              </w:rPr>
            </w:pPr>
            <w:r>
              <w:rPr>
                <w:rFonts w:ascii="Arial" w:cs="Arial" w:eastAsia="Arial" w:hAnsi="Arial"/>
                <w:sz w:val="16"/>
                <w:szCs w:val="16"/>
                <w:color w:val="auto"/>
              </w:rPr>
              <w:t>translation</w:t>
            </w:r>
          </w:p>
        </w:tc>
        <w:tc>
          <w:tcPr>
            <w:tcW w:w="7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02"/>
        </w:trPr>
        <w:tc>
          <w:tcPr>
            <w:tcW w:w="1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w:t>
            </w:r>
          </w:p>
        </w:tc>
        <w:tc>
          <w:tcPr>
            <w:tcW w:w="7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1660" w:type="dxa"/>
            <w:vAlign w:val="bottom"/>
          </w:tcPr>
          <w:p>
            <w:pPr>
              <w:ind w:left="600"/>
              <w:spacing w:after="0" w:line="134" w:lineRule="exact"/>
              <w:rPr>
                <w:sz w:val="20"/>
                <w:szCs w:val="20"/>
                <w:color w:val="auto"/>
              </w:rPr>
            </w:pPr>
            <w:r>
              <w:rPr>
                <w:rFonts w:ascii="Arial" w:cs="Arial" w:eastAsia="Arial" w:hAnsi="Arial"/>
                <w:sz w:val="15"/>
                <w:szCs w:val="15"/>
                <w:color w:val="auto"/>
              </w:rPr>
              <w:t>Balance at</w:t>
            </w:r>
          </w:p>
        </w:tc>
        <w:tc>
          <w:tcPr>
            <w:tcW w:w="76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50,312</w:t>
            </w:r>
          </w:p>
        </w:tc>
        <w:tc>
          <w:tcPr>
            <w:tcW w:w="80" w:type="dxa"/>
            <w:vAlign w:val="bottom"/>
          </w:tcPr>
          <w:p>
            <w:pPr>
              <w:spacing w:after="0"/>
              <w:rPr>
                <w:sz w:val="11"/>
                <w:szCs w:val="11"/>
                <w:color w:val="auto"/>
              </w:rPr>
            </w:pPr>
          </w:p>
        </w:tc>
        <w:tc>
          <w:tcPr>
            <w:tcW w:w="74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21,930</w:t>
            </w:r>
          </w:p>
        </w:tc>
        <w:tc>
          <w:tcPr>
            <w:tcW w:w="80" w:type="dxa"/>
            <w:vAlign w:val="bottom"/>
          </w:tcPr>
          <w:p>
            <w:pPr>
              <w:spacing w:after="0"/>
              <w:rPr>
                <w:sz w:val="11"/>
                <w:szCs w:val="11"/>
                <w:color w:val="auto"/>
              </w:rPr>
            </w:pPr>
          </w:p>
        </w:tc>
        <w:tc>
          <w:tcPr>
            <w:tcW w:w="760" w:type="dxa"/>
            <w:vAlign w:val="bottom"/>
            <w:tcBorders>
              <w:top w:val="single" w:sz="8" w:color="auto"/>
            </w:tcBorders>
            <w:vMerge w:val="restart"/>
          </w:tcPr>
          <w:p>
            <w:pPr>
              <w:ind w:left="58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48,659</w:t>
            </w:r>
          </w:p>
        </w:tc>
        <w:tc>
          <w:tcPr>
            <w:tcW w:w="60" w:type="dxa"/>
            <w:vAlign w:val="bottom"/>
          </w:tcPr>
          <w:p>
            <w:pPr>
              <w:spacing w:after="0"/>
              <w:rPr>
                <w:sz w:val="11"/>
                <w:szCs w:val="11"/>
                <w:color w:val="auto"/>
              </w:rPr>
            </w:pPr>
          </w:p>
        </w:tc>
        <w:tc>
          <w:tcPr>
            <w:tcW w:w="78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283,660</w:t>
            </w:r>
          </w:p>
        </w:tc>
        <w:tc>
          <w:tcPr>
            <w:tcW w:w="80" w:type="dxa"/>
            <w:vAlign w:val="bottom"/>
          </w:tcPr>
          <w:p>
            <w:pPr>
              <w:spacing w:after="0"/>
              <w:rPr>
                <w:sz w:val="11"/>
                <w:szCs w:val="11"/>
                <w:color w:val="auto"/>
              </w:rPr>
            </w:pPr>
          </w:p>
        </w:tc>
        <w:tc>
          <w:tcPr>
            <w:tcW w:w="840" w:type="dxa"/>
            <w:vAlign w:val="bottom"/>
            <w:tcBorders>
              <w:top w:val="single" w:sz="8" w:color="auto"/>
            </w:tcBorders>
            <w:vMerge w:val="restart"/>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404,561</w:t>
            </w:r>
          </w:p>
        </w:tc>
        <w:tc>
          <w:tcPr>
            <w:tcW w:w="0" w:type="dxa"/>
            <w:vAlign w:val="bottom"/>
          </w:tcPr>
          <w:p>
            <w:pPr>
              <w:spacing w:after="0"/>
              <w:rPr>
                <w:sz w:val="1"/>
                <w:szCs w:val="1"/>
                <w:color w:val="auto"/>
              </w:rPr>
            </w:pPr>
          </w:p>
        </w:tc>
      </w:tr>
      <w:tr>
        <w:trPr>
          <w:trHeight w:val="183"/>
        </w:trPr>
        <w:tc>
          <w:tcPr>
            <w:tcW w:w="1660" w:type="dxa"/>
            <w:vAlign w:val="bottom"/>
          </w:tcPr>
          <w:p>
            <w:pPr>
              <w:ind w:left="20"/>
              <w:spacing w:after="0" w:line="178" w:lineRule="exact"/>
              <w:rPr>
                <w:sz w:val="20"/>
                <w:szCs w:val="20"/>
                <w:color w:val="auto"/>
              </w:rPr>
            </w:pPr>
            <w:r>
              <w:rPr>
                <w:rFonts w:ascii="Arial" w:cs="Arial" w:eastAsia="Arial" w:hAnsi="Arial"/>
                <w:sz w:val="16"/>
                <w:szCs w:val="16"/>
                <w:color w:val="auto"/>
              </w:rPr>
              <w:t>March 31, 2022</w:t>
            </w:r>
          </w:p>
        </w:tc>
        <w:tc>
          <w:tcPr>
            <w:tcW w:w="76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both"/>
        <w:ind w:right="80" w:firstLine="185"/>
        <w:spacing w:after="0" w:line="254" w:lineRule="auto"/>
        <w:rPr>
          <w:sz w:val="20"/>
          <w:szCs w:val="20"/>
          <w:color w:val="auto"/>
        </w:rPr>
      </w:pPr>
      <w:r>
        <w:rPr>
          <w:rFonts w:ascii="Arial" w:cs="Arial" w:eastAsia="Arial" w:hAnsi="Arial"/>
          <w:sz w:val="16"/>
          <w:szCs w:val="16"/>
          <w:color w:val="auto"/>
        </w:rPr>
        <w:t>During the fourth quarter of 2021, the Company performed its annual impairment test of goodwill for those reporting units that had goodwill recorded. Based on the results, the fair values of each of the Company’s reporting units exceeded their carrying value and the goodwill was not impaired.</w:t>
      </w:r>
    </w:p>
    <w:p>
      <w:pPr>
        <w:spacing w:after="0" w:line="181" w:lineRule="exact"/>
        <w:rPr>
          <w:sz w:val="20"/>
          <w:szCs w:val="20"/>
          <w:color w:val="auto"/>
        </w:rPr>
      </w:pPr>
    </w:p>
    <w:p>
      <w:pPr>
        <w:jc w:val="both"/>
        <w:ind w:right="80" w:firstLine="356"/>
        <w:spacing w:after="0" w:line="237" w:lineRule="auto"/>
        <w:rPr>
          <w:sz w:val="20"/>
          <w:szCs w:val="20"/>
          <w:color w:val="auto"/>
        </w:rPr>
      </w:pPr>
      <w:r>
        <w:rPr>
          <w:rFonts w:ascii="Arial" w:cs="Arial" w:eastAsia="Arial" w:hAnsi="Arial"/>
          <w:sz w:val="16"/>
          <w:szCs w:val="16"/>
          <w:color w:val="auto"/>
        </w:rPr>
        <w:t>As of March 31, 2022, the Company evaluated the continuing effects of COVID-19 and its impact on the global economy on each of the Company’s reporting units to assess whether there was a triggering event during the quarter requiring the Company to perform a goodwill impairment test. The Company considered certain improvements in current and forecasted economic and market conditions and qualitative factors, such as the Company’s performance in the first quarter and business forecasts for the remainder of the year, stock price movements and expansion plans. The Company reviewed key assumptions, including revisions of projected future revenues for reporting units against the results of the annual impairment test performed during the fourth quarter of 2021. The Company did not identify any triggers or indications of potential impairment for its reporting units as of March 31, 2022.</w:t>
      </w:r>
    </w:p>
    <w:p>
      <w:pPr>
        <w:spacing w:after="0" w:line="192" w:lineRule="exact"/>
        <w:rPr>
          <w:sz w:val="20"/>
          <w:szCs w:val="20"/>
          <w:color w:val="auto"/>
        </w:rPr>
      </w:pPr>
    </w:p>
    <w:p>
      <w:pPr>
        <w:jc w:val="both"/>
        <w:ind w:right="80" w:firstLine="356"/>
        <w:spacing w:after="0" w:line="255" w:lineRule="auto"/>
        <w:rPr>
          <w:sz w:val="20"/>
          <w:szCs w:val="20"/>
          <w:color w:val="auto"/>
        </w:rPr>
      </w:pPr>
      <w:r>
        <w:rPr>
          <w:rFonts w:ascii="Arial" w:cs="Arial" w:eastAsia="Arial" w:hAnsi="Arial"/>
          <w:sz w:val="15"/>
          <w:szCs w:val="15"/>
          <w:color w:val="auto"/>
        </w:rPr>
        <w:t>There can be no assurances that goodwill will not be impaired in future periods. Estimating the fair value of reporting units requires the use of estimates and significant judgments that are based on a number of factors including actual operating results. These estimates and judgements may not be within the control of the Company and accordingly it is reasonably possible that the judgments and estimates described above could change in future periods. The duration and severity of COVID-19 and continued market volatility is highly uncertain and, as such, the impact on cash flows, long-term debt-free net cash flow growth rate in the terminal year and discount rates are subject to significant judgments and may cause variability in the Company’s assessment of existence of any impairment. The Company continues to monitor the impacts of COVID-19 on the Company and significant changes in key assumptions that could result in future period impairment charges.</w:t>
      </w:r>
    </w:p>
    <w:p>
      <w:pPr>
        <w:spacing w:after="0" w:line="183" w:lineRule="exact"/>
        <w:rPr>
          <w:sz w:val="20"/>
          <w:szCs w:val="20"/>
          <w:color w:val="auto"/>
        </w:rPr>
      </w:pPr>
    </w:p>
    <w:p>
      <w:pPr>
        <w:jc w:val="both"/>
        <w:ind w:right="80" w:firstLine="356"/>
        <w:spacing w:after="0" w:line="325" w:lineRule="auto"/>
        <w:rPr>
          <w:sz w:val="20"/>
          <w:szCs w:val="20"/>
          <w:color w:val="auto"/>
        </w:rPr>
      </w:pPr>
      <w:r>
        <w:rPr>
          <w:rFonts w:ascii="Arial" w:cs="Arial" w:eastAsia="Arial" w:hAnsi="Arial"/>
          <w:sz w:val="14"/>
          <w:szCs w:val="14"/>
          <w:color w:val="auto"/>
        </w:rPr>
        <w:t>The recoverability of goodwill is dependent upon the continued growth of cash flows from the Company’s business activities. This growth is based on business forecasts and improvement in profitability of its reporting units. The Company continues to maintain its focus on cultivating long-term client relationships as well as attracting new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Information regarding the Company’s intangible assets is set forth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9"/>
          </w:tcPr>
          <w:p>
            <w:pPr>
              <w:ind w:left="420"/>
              <w:spacing w:after="0"/>
              <w:rPr>
                <w:sz w:val="20"/>
                <w:szCs w:val="20"/>
                <w:color w:val="auto"/>
              </w:rPr>
            </w:pPr>
            <w:r>
              <w:rPr>
                <w:rFonts w:ascii="Arial" w:cs="Arial" w:eastAsia="Arial" w:hAnsi="Arial"/>
                <w:sz w:val="13"/>
                <w:szCs w:val="13"/>
                <w:b w:val="1"/>
                <w:bCs w:val="1"/>
                <w:color w:val="auto"/>
              </w:rPr>
              <w:t>As of March 31, 2022</w:t>
            </w: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gridSpan w:val="3"/>
          </w:tcPr>
          <w:p>
            <w:pPr>
              <w:jc w:val="right"/>
              <w:ind w:right="547"/>
              <w:spacing w:after="0" w:line="116"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7"/>
          </w:tcPr>
          <w:p>
            <w:pPr>
              <w:ind w:left="80"/>
              <w:spacing w:after="0" w:line="116"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0"/>
                <w:szCs w:val="10"/>
                <w:color w:val="auto"/>
              </w:rPr>
            </w:pPr>
          </w:p>
        </w:tc>
        <w:tc>
          <w:tcPr>
            <w:tcW w:w="1240" w:type="dxa"/>
            <w:vAlign w:val="bottom"/>
            <w:gridSpan w:val="3"/>
          </w:tcPr>
          <w:p>
            <w:pPr>
              <w:jc w:val="right"/>
              <w:ind w:right="320"/>
              <w:spacing w:after="0" w:line="116" w:lineRule="exact"/>
              <w:rPr>
                <w:sz w:val="20"/>
                <w:szCs w:val="20"/>
                <w:color w:val="auto"/>
              </w:rPr>
            </w:pPr>
            <w:r>
              <w:rPr>
                <w:rFonts w:ascii="Arial" w:cs="Arial" w:eastAsia="Arial" w:hAnsi="Arial"/>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60" w:type="dxa"/>
            <w:vAlign w:val="bottom"/>
            <w:gridSpan w:val="4"/>
          </w:tcPr>
          <w:p>
            <w:pPr>
              <w:jc w:val="right"/>
              <w:ind w:right="427"/>
              <w:spacing w:after="0"/>
              <w:rPr>
                <w:sz w:val="20"/>
                <w:szCs w:val="20"/>
                <w:color w:val="auto"/>
              </w:rPr>
            </w:pPr>
            <w:r>
              <w:rPr>
                <w:rFonts w:ascii="Arial" w:cs="Arial" w:eastAsia="Arial" w:hAnsi="Arial"/>
                <w:sz w:val="13"/>
                <w:szCs w:val="13"/>
                <w:b w:val="1"/>
                <w:bCs w:val="1"/>
                <w:color w:val="auto"/>
              </w:rPr>
              <w:t>Carrying Amount</w:t>
            </w:r>
          </w:p>
        </w:tc>
        <w:tc>
          <w:tcPr>
            <w:tcW w:w="120" w:type="dxa"/>
            <w:vAlign w:val="bottom"/>
          </w:tcPr>
          <w:p>
            <w:pPr>
              <w:spacing w:after="0"/>
              <w:rPr>
                <w:sz w:val="14"/>
                <w:szCs w:val="14"/>
                <w:color w:val="auto"/>
              </w:rPr>
            </w:pPr>
          </w:p>
        </w:tc>
        <w:tc>
          <w:tcPr>
            <w:tcW w:w="2220" w:type="dxa"/>
            <w:vAlign w:val="bottom"/>
            <w:gridSpan w:val="9"/>
          </w:tcPr>
          <w:p>
            <w:pPr>
              <w:ind w:left="500"/>
              <w:spacing w:after="0"/>
              <w:rPr>
                <w:sz w:val="20"/>
                <w:szCs w:val="20"/>
                <w:color w:val="auto"/>
              </w:rPr>
            </w:pPr>
            <w:r>
              <w:rPr>
                <w:rFonts w:ascii="Arial" w:cs="Arial" w:eastAsia="Arial" w:hAnsi="Arial"/>
                <w:sz w:val="13"/>
                <w:szCs w:val="13"/>
                <w:b w:val="1"/>
                <w:bCs w:val="1"/>
                <w:color w:val="auto"/>
              </w:rPr>
              <w:t>Amortization</w:t>
            </w:r>
          </w:p>
        </w:tc>
        <w:tc>
          <w:tcPr>
            <w:tcW w:w="180" w:type="dxa"/>
            <w:vAlign w:val="bottom"/>
          </w:tcPr>
          <w:p>
            <w:pPr>
              <w:spacing w:after="0"/>
              <w:rPr>
                <w:sz w:val="14"/>
                <w:szCs w:val="14"/>
                <w:color w:val="auto"/>
              </w:rPr>
            </w:pPr>
          </w:p>
        </w:tc>
        <w:tc>
          <w:tcPr>
            <w:tcW w:w="1280" w:type="dxa"/>
            <w:vAlign w:val="bottom"/>
            <w:gridSpan w:val="4"/>
          </w:tcPr>
          <w:p>
            <w:pPr>
              <w:ind w:left="12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83"/>
        </w:trPr>
        <w:tc>
          <w:tcPr>
            <w:tcW w:w="5500" w:type="dxa"/>
            <w:vAlign w:val="bottom"/>
            <w:tcBorders>
              <w:top w:val="single" w:sz="8" w:color="CCEEFF"/>
            </w:tcBorders>
            <w:gridSpan w:val="3"/>
            <w:shd w:val="clear" w:color="auto" w:fill="CCEEFF"/>
          </w:tcPr>
          <w:p>
            <w:pPr>
              <w:ind w:left="440"/>
              <w:spacing w:after="0" w:line="183" w:lineRule="exact"/>
              <w:rPr>
                <w:sz w:val="20"/>
                <w:szCs w:val="20"/>
                <w:color w:val="auto"/>
              </w:rPr>
            </w:pPr>
            <w:r>
              <w:rPr>
                <w:rFonts w:ascii="Arial" w:cs="Arial" w:eastAsia="Arial" w:hAnsi="Arial"/>
                <w:sz w:val="16"/>
                <w:szCs w:val="16"/>
                <w:b w:val="1"/>
                <w:bCs w:val="1"/>
                <w:color w:val="auto"/>
              </w:rPr>
              <w:t>Finite-lived intangible assets:</w:t>
            </w: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500" w:type="dxa"/>
            <w:vAlign w:val="bottom"/>
            <w:gridSpan w:val="3"/>
          </w:tcPr>
          <w:p>
            <w:pPr>
              <w:ind w:left="440"/>
              <w:spacing w:after="0"/>
              <w:rPr>
                <w:sz w:val="20"/>
                <w:szCs w:val="20"/>
                <w:color w:val="auto"/>
              </w:rPr>
            </w:pPr>
            <w:r>
              <w:rPr>
                <w:rFonts w:ascii="Arial" w:cs="Arial" w:eastAsia="Arial" w:hAnsi="Arial"/>
                <w:sz w:val="16"/>
                <w:szCs w:val="16"/>
                <w:color w:val="auto"/>
              </w:rPr>
              <w:t>Customer relationships</w:t>
            </w:r>
          </w:p>
        </w:tc>
        <w:tc>
          <w:tcPr>
            <w:tcW w:w="960" w:type="dxa"/>
            <w:vAlign w:val="bottom"/>
          </w:tcPr>
          <w:p>
            <w:pPr>
              <w:jc w:val="right"/>
              <w:ind w:right="36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98,266</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w w:val="90"/>
              </w:rPr>
              <w:t>(31,360)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66,906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00" w:type="dxa"/>
            <w:vAlign w:val="bottom"/>
            <w:gridSpan w:val="3"/>
            <w:shd w:val="clear" w:color="auto" w:fill="CCEEFF"/>
          </w:tcPr>
          <w:p>
            <w:pPr>
              <w:ind w:left="440"/>
              <w:spacing w:after="0"/>
              <w:rPr>
                <w:sz w:val="20"/>
                <w:szCs w:val="20"/>
                <w:color w:val="auto"/>
              </w:rPr>
            </w:pPr>
            <w:r>
              <w:rPr>
                <w:rFonts w:ascii="Arial" w:cs="Arial" w:eastAsia="Arial" w:hAnsi="Arial"/>
                <w:sz w:val="16"/>
                <w:szCs w:val="16"/>
                <w:color w:val="auto"/>
              </w:rPr>
              <w:t>Developed technology</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24,998</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0"/>
              </w:rPr>
              <w:t>(17,119)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7,879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500" w:type="dxa"/>
            <w:vAlign w:val="bottom"/>
            <w:gridSpan w:val="3"/>
          </w:tcPr>
          <w:p>
            <w:pPr>
              <w:ind w:left="440"/>
              <w:spacing w:after="0"/>
              <w:rPr>
                <w:sz w:val="20"/>
                <w:szCs w:val="20"/>
                <w:color w:val="auto"/>
              </w:rPr>
            </w:pPr>
            <w:r>
              <w:rPr>
                <w:rFonts w:ascii="Arial" w:cs="Arial" w:eastAsia="Arial" w:hAnsi="Arial"/>
                <w:sz w:val="16"/>
                <w:szCs w:val="16"/>
                <w:color w:val="auto"/>
              </w:rPr>
              <w:t>Trade names and trademarks</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1,700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(1,085)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615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00" w:type="dxa"/>
            <w:vAlign w:val="bottom"/>
            <w:gridSpan w:val="3"/>
            <w:shd w:val="clear" w:color="auto" w:fill="CCEEFF"/>
          </w:tcPr>
          <w:p>
            <w:pPr>
              <w:ind w:left="440"/>
              <w:spacing w:after="0"/>
              <w:rPr>
                <w:sz w:val="20"/>
                <w:szCs w:val="20"/>
                <w:color w:val="auto"/>
              </w:rPr>
            </w:pPr>
            <w:r>
              <w:rPr>
                <w:rFonts w:ascii="Arial" w:cs="Arial" w:eastAsia="Arial" w:hAnsi="Arial"/>
                <w:sz w:val="16"/>
                <w:szCs w:val="16"/>
                <w:color w:val="auto"/>
              </w:rPr>
              <w:t>Non-compete agreements</w:t>
            </w:r>
          </w:p>
        </w:tc>
        <w:tc>
          <w:tcPr>
            <w:tcW w:w="9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960" w:type="dxa"/>
            <w:vAlign w:val="bottom"/>
          </w:tcPr>
          <w:p>
            <w:pPr>
              <w:jc w:val="right"/>
              <w:ind w:right="36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125,264</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w w:val="90"/>
              </w:rPr>
              <w:t>(49,586)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75,678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00" w:type="dxa"/>
            <w:vAlign w:val="bottom"/>
            <w:gridSpan w:val="3"/>
            <w:shd w:val="clear" w:color="auto" w:fill="CCEEFF"/>
          </w:tcPr>
          <w:p>
            <w:pPr>
              <w:ind w:left="440"/>
              <w:spacing w:after="0"/>
              <w:rPr>
                <w:sz w:val="20"/>
                <w:szCs w:val="20"/>
                <w:color w:val="auto"/>
              </w:rPr>
            </w:pPr>
            <w:r>
              <w:rPr>
                <w:rFonts w:ascii="Arial" w:cs="Arial" w:eastAsia="Arial" w:hAnsi="Arial"/>
                <w:sz w:val="14"/>
                <w:szCs w:val="14"/>
                <w:b w:val="1"/>
                <w:bCs w:val="1"/>
                <w:color w:val="auto"/>
              </w:rPr>
              <w:t>Indefinite-lived intangible assets:</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500" w:type="dxa"/>
            <w:vAlign w:val="bottom"/>
            <w:gridSpan w:val="3"/>
          </w:tcPr>
          <w:p>
            <w:pPr>
              <w:ind w:left="440"/>
              <w:spacing w:after="0"/>
              <w:rPr>
                <w:sz w:val="20"/>
                <w:szCs w:val="20"/>
                <w:color w:val="auto"/>
              </w:rPr>
            </w:pPr>
            <w:r>
              <w:rPr>
                <w:rFonts w:ascii="Arial" w:cs="Arial" w:eastAsia="Arial" w:hAnsi="Arial"/>
                <w:sz w:val="16"/>
                <w:szCs w:val="16"/>
                <w:color w:val="auto"/>
              </w:rPr>
              <w:t>Trade names and trademarks</w:t>
            </w:r>
          </w:p>
        </w:tc>
        <w:tc>
          <w:tcPr>
            <w:tcW w:w="960" w:type="dxa"/>
            <w:vAlign w:val="bottom"/>
          </w:tcPr>
          <w:p>
            <w:pPr>
              <w:jc w:val="right"/>
              <w:ind w:right="36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900</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4"/>
          </w:tcPr>
          <w:p>
            <w:pPr>
              <w:ind w:lef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900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00" w:type="dxa"/>
            <w:vAlign w:val="bottom"/>
            <w:tcBorders>
              <w:top w:val="single" w:sz="8" w:color="CCEEFF"/>
              <w:bottom w:val="single" w:sz="8" w:color="CCEEFF"/>
            </w:tcBorders>
            <w:gridSpan w:val="3"/>
            <w:shd w:val="clear" w:color="auto" w:fill="CCEEFF"/>
          </w:tcPr>
          <w:p>
            <w:pPr>
              <w:ind w:left="440"/>
              <w:spacing w:after="0"/>
              <w:rPr>
                <w:sz w:val="20"/>
                <w:szCs w:val="20"/>
                <w:color w:val="auto"/>
              </w:rPr>
            </w:pPr>
            <w:r>
              <w:rPr>
                <w:rFonts w:ascii="Arial" w:cs="Arial" w:eastAsia="Arial" w:hAnsi="Arial"/>
                <w:sz w:val="16"/>
                <w:szCs w:val="16"/>
                <w:b w:val="1"/>
                <w:bCs w:val="1"/>
                <w:color w:val="auto"/>
              </w:rPr>
              <w:t>Total intangible assets</w:t>
            </w:r>
          </w:p>
        </w:tc>
        <w:tc>
          <w:tcPr>
            <w:tcW w:w="960" w:type="dxa"/>
            <w:vAlign w:val="bottom"/>
            <w:tcBorders>
              <w:top w:val="single" w:sz="8" w:color="auto"/>
              <w:bottom w:val="single" w:sz="8" w:color="auto"/>
            </w:tcBorders>
            <w:shd w:val="clear" w:color="auto" w:fill="CCEEFF"/>
          </w:tcPr>
          <w:p>
            <w:pPr>
              <w:jc w:val="right"/>
              <w:ind w:right="363"/>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126,164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0"/>
              </w:rPr>
              <w:t>(49,586)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76,578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8"/>
          </w:tcPr>
          <w:p>
            <w:pPr>
              <w:ind w:left="60"/>
              <w:spacing w:after="0"/>
              <w:rPr>
                <w:sz w:val="20"/>
                <w:szCs w:val="20"/>
                <w:color w:val="auto"/>
              </w:rPr>
            </w:pPr>
            <w:r>
              <w:rPr>
                <w:rFonts w:ascii="Arial" w:cs="Arial" w:eastAsia="Arial" w:hAnsi="Arial"/>
                <w:sz w:val="13"/>
                <w:szCs w:val="13"/>
                <w:b w:val="1"/>
                <w:bCs w:val="1"/>
                <w:color w:val="auto"/>
              </w:rPr>
              <w:t>As of December 31, 2021</w:t>
            </w: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4"/>
            <w:vMerge w:val="restart"/>
          </w:tcPr>
          <w:p>
            <w:pPr>
              <w:jc w:val="right"/>
              <w:ind w:right="110"/>
              <w:spacing w:after="0"/>
              <w:rPr>
                <w:sz w:val="20"/>
                <w:szCs w:val="20"/>
                <w:color w:val="auto"/>
              </w:rPr>
            </w:pPr>
            <w:r>
              <w:rPr>
                <w:rFonts w:ascii="Arial" w:cs="Arial" w:eastAsia="Arial" w:hAnsi="Arial"/>
                <w:sz w:val="13"/>
                <w:szCs w:val="13"/>
                <w:b w:val="1"/>
                <w:bCs w:val="1"/>
                <w:color w:val="auto"/>
                <w:w w:val="89"/>
              </w:rPr>
              <w:t>Gross Carrying Amount</w:t>
            </w:r>
          </w:p>
        </w:tc>
        <w:tc>
          <w:tcPr>
            <w:tcW w:w="100" w:type="dxa"/>
            <w:vAlign w:val="bottom"/>
          </w:tcPr>
          <w:p>
            <w:pPr>
              <w:spacing w:after="0"/>
              <w:rPr>
                <w:sz w:val="10"/>
                <w:szCs w:val="10"/>
                <w:color w:val="auto"/>
              </w:rPr>
            </w:pPr>
          </w:p>
        </w:tc>
        <w:tc>
          <w:tcPr>
            <w:tcW w:w="1580" w:type="dxa"/>
            <w:vAlign w:val="bottom"/>
            <w:gridSpan w:val="7"/>
          </w:tcPr>
          <w:p>
            <w:pPr>
              <w:jc w:val="center"/>
              <w:ind w:right="100"/>
              <w:spacing w:after="0" w:line="116" w:lineRule="exact"/>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0"/>
                <w:szCs w:val="10"/>
                <w:color w:val="auto"/>
              </w:rPr>
            </w:pPr>
          </w:p>
        </w:tc>
        <w:tc>
          <w:tcPr>
            <w:tcW w:w="1240" w:type="dxa"/>
            <w:vAlign w:val="bottom"/>
            <w:gridSpan w:val="3"/>
          </w:tcPr>
          <w:p>
            <w:pPr>
              <w:jc w:val="center"/>
              <w:ind w:right="160"/>
              <w:spacing w:after="0" w:line="116" w:lineRule="exact"/>
              <w:rPr>
                <w:sz w:val="20"/>
                <w:szCs w:val="20"/>
                <w:color w:val="auto"/>
              </w:rPr>
            </w:pPr>
            <w:r>
              <w:rPr>
                <w:rFonts w:ascii="Arial" w:cs="Arial" w:eastAsia="Arial" w:hAnsi="Arial"/>
                <w:sz w:val="13"/>
                <w:szCs w:val="13"/>
                <w:b w:val="1"/>
                <w:bCs w:val="1"/>
                <w:color w:val="auto"/>
                <w:w w:val="92"/>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7"/>
          </w:tcPr>
          <w:p>
            <w:pPr>
              <w:jc w:val="center"/>
              <w:ind w:right="100"/>
              <w:spacing w:after="0"/>
              <w:rPr>
                <w:sz w:val="20"/>
                <w:szCs w:val="20"/>
                <w:color w:val="auto"/>
              </w:rPr>
            </w:pPr>
            <w:r>
              <w:rPr>
                <w:rFonts w:ascii="Arial" w:cs="Arial" w:eastAsia="Arial" w:hAnsi="Arial"/>
                <w:sz w:val="13"/>
                <w:szCs w:val="13"/>
                <w:b w:val="1"/>
                <w:bCs w:val="1"/>
                <w:color w:val="auto"/>
                <w:w w:val="90"/>
              </w:rPr>
              <w:t>Amortization</w:t>
            </w:r>
          </w:p>
        </w:tc>
        <w:tc>
          <w:tcPr>
            <w:tcW w:w="180" w:type="dxa"/>
            <w:vAlign w:val="bottom"/>
          </w:tcPr>
          <w:p>
            <w:pPr>
              <w:spacing w:after="0"/>
              <w:rPr>
                <w:sz w:val="14"/>
                <w:szCs w:val="14"/>
                <w:color w:val="auto"/>
              </w:rPr>
            </w:pPr>
          </w:p>
        </w:tc>
        <w:tc>
          <w:tcPr>
            <w:tcW w:w="128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9"/>
              </w:rPr>
              <w:t>Amount</w:t>
            </w:r>
          </w:p>
        </w:tc>
        <w:tc>
          <w:tcPr>
            <w:tcW w:w="0" w:type="dxa"/>
            <w:vAlign w:val="bottom"/>
          </w:tcPr>
          <w:p>
            <w:pPr>
              <w:spacing w:after="0"/>
              <w:rPr>
                <w:sz w:val="1"/>
                <w:szCs w:val="1"/>
                <w:color w:val="auto"/>
              </w:rPr>
            </w:pPr>
          </w:p>
        </w:tc>
      </w:tr>
      <w:tr>
        <w:trPr>
          <w:trHeight w:val="183"/>
        </w:trPr>
        <w:tc>
          <w:tcPr>
            <w:tcW w:w="5500" w:type="dxa"/>
            <w:vAlign w:val="bottom"/>
            <w:tcBorders>
              <w:top w:val="single" w:sz="8" w:color="CCEEFF"/>
            </w:tcBorders>
            <w:gridSpan w:val="3"/>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Finite-lived intangible assets:</w:t>
            </w:r>
          </w:p>
        </w:tc>
        <w:tc>
          <w:tcPr>
            <w:tcW w:w="9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500" w:type="dxa"/>
            <w:vAlign w:val="bottom"/>
            <w:gridSpan w:val="3"/>
          </w:tcPr>
          <w:p>
            <w:pPr>
              <w:ind w:left="20"/>
              <w:spacing w:after="0"/>
              <w:rPr>
                <w:sz w:val="20"/>
                <w:szCs w:val="20"/>
                <w:color w:val="auto"/>
              </w:rPr>
            </w:pPr>
            <w:r>
              <w:rPr>
                <w:rFonts w:ascii="Arial" w:cs="Arial" w:eastAsia="Arial" w:hAnsi="Arial"/>
                <w:sz w:val="16"/>
                <w:szCs w:val="16"/>
                <w:color w:val="auto"/>
              </w:rPr>
              <w:t>Customer relationships</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103,016</w:t>
            </w:r>
          </w:p>
        </w:tc>
        <w:tc>
          <w:tcPr>
            <w:tcW w:w="620" w:type="dxa"/>
            <w:vAlign w:val="bottom"/>
            <w:gridSpan w:val="2"/>
          </w:tcPr>
          <w:p>
            <w:pPr>
              <w:jc w:val="right"/>
              <w:ind w:right="350"/>
              <w:spacing w:after="0"/>
              <w:rPr>
                <w:sz w:val="20"/>
                <w:szCs w:val="20"/>
                <w:color w:val="auto"/>
              </w:rPr>
            </w:pPr>
            <w:r>
              <w:rPr>
                <w:rFonts w:ascii="Arial" w:cs="Arial" w:eastAsia="Arial" w:hAnsi="Arial"/>
                <w:sz w:val="16"/>
                <w:szCs w:val="16"/>
                <w:color w:val="auto"/>
              </w:rPr>
              <w:t>$</w:t>
            </w:r>
          </w:p>
        </w:tc>
        <w:tc>
          <w:tcPr>
            <w:tcW w:w="940" w:type="dxa"/>
            <w:vAlign w:val="bottom"/>
            <w:gridSpan w:val="5"/>
          </w:tcPr>
          <w:p>
            <w:pPr>
              <w:jc w:val="right"/>
              <w:spacing w:after="0"/>
              <w:rPr>
                <w:sz w:val="20"/>
                <w:szCs w:val="20"/>
                <w:color w:val="auto"/>
              </w:rPr>
            </w:pPr>
            <w:r>
              <w:rPr>
                <w:rFonts w:ascii="Arial" w:cs="Arial" w:eastAsia="Arial" w:hAnsi="Arial"/>
                <w:sz w:val="16"/>
                <w:szCs w:val="16"/>
                <w:color w:val="auto"/>
              </w:rPr>
              <w:t>(33,018)</w:t>
            </w:r>
          </w:p>
        </w:tc>
        <w:tc>
          <w:tcPr>
            <w:tcW w:w="1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gridSpan w:val="3"/>
          </w:tcPr>
          <w:p>
            <w:pPr>
              <w:jc w:val="right"/>
              <w:ind w:right="40"/>
              <w:spacing w:after="0"/>
              <w:rPr>
                <w:sz w:val="20"/>
                <w:szCs w:val="20"/>
                <w:color w:val="auto"/>
              </w:rPr>
            </w:pPr>
            <w:r>
              <w:rPr>
                <w:rFonts w:ascii="Arial" w:cs="Arial" w:eastAsia="Arial" w:hAnsi="Arial"/>
                <w:sz w:val="16"/>
                <w:szCs w:val="16"/>
                <w:color w:val="auto"/>
              </w:rPr>
              <w:t>69,998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25,040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(15,850)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9,190</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500" w:type="dxa"/>
            <w:vAlign w:val="bottom"/>
            <w:gridSpan w:val="3"/>
          </w:tcPr>
          <w:p>
            <w:pPr>
              <w:ind w:left="20"/>
              <w:spacing w:after="0"/>
              <w:rPr>
                <w:sz w:val="20"/>
                <w:szCs w:val="20"/>
                <w:color w:val="auto"/>
              </w:rPr>
            </w:pPr>
            <w:r>
              <w:rPr>
                <w:rFonts w:ascii="Arial" w:cs="Arial" w:eastAsia="Arial" w:hAnsi="Arial"/>
                <w:sz w:val="16"/>
                <w:szCs w:val="16"/>
                <w:color w:val="auto"/>
              </w:rPr>
              <w:t>Trade names and trademarks</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gridSpan w:val="5"/>
          </w:tcPr>
          <w:p>
            <w:pPr>
              <w:jc w:val="right"/>
              <w:spacing w:after="0"/>
              <w:rPr>
                <w:sz w:val="20"/>
                <w:szCs w:val="20"/>
                <w:color w:val="auto"/>
              </w:rPr>
            </w:pPr>
            <w:r>
              <w:rPr>
                <w:rFonts w:ascii="Arial" w:cs="Arial" w:eastAsia="Arial" w:hAnsi="Arial"/>
                <w:sz w:val="16"/>
                <w:szCs w:val="16"/>
                <w:color w:val="auto"/>
              </w:rPr>
              <w:t>(1,006)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6"/>
                <w:szCs w:val="16"/>
                <w:color w:val="auto"/>
              </w:rPr>
              <w:t>694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Non-compete agreements</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300</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130,056</w:t>
            </w:r>
          </w:p>
        </w:tc>
        <w:tc>
          <w:tcPr>
            <w:tcW w:w="100" w:type="dxa"/>
            <w:vAlign w:val="bottom"/>
          </w:tcPr>
          <w:p>
            <w:pPr>
              <w:spacing w:after="0"/>
              <w:rPr>
                <w:sz w:val="16"/>
                <w:szCs w:val="16"/>
                <w:color w:val="auto"/>
              </w:rPr>
            </w:pPr>
          </w:p>
        </w:tc>
        <w:tc>
          <w:tcPr>
            <w:tcW w:w="520" w:type="dxa"/>
            <w:vAlign w:val="bottom"/>
            <w:tcBorders>
              <w:top w:val="single" w:sz="8" w:color="auto"/>
            </w:tcBorders>
          </w:tcPr>
          <w:p>
            <w:pPr>
              <w:jc w:val="right"/>
              <w:ind w:right="350"/>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gridSpan w:val="5"/>
          </w:tcPr>
          <w:p>
            <w:pPr>
              <w:jc w:val="right"/>
              <w:spacing w:after="0"/>
              <w:rPr>
                <w:sz w:val="20"/>
                <w:szCs w:val="20"/>
                <w:color w:val="auto"/>
              </w:rPr>
            </w:pPr>
            <w:r>
              <w:rPr>
                <w:rFonts w:ascii="Arial" w:cs="Arial" w:eastAsia="Arial" w:hAnsi="Arial"/>
                <w:sz w:val="16"/>
                <w:szCs w:val="16"/>
                <w:color w:val="auto"/>
              </w:rPr>
              <w:t>(49,874)</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80,182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Indefinite-lived intangible assets:</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500" w:type="dxa"/>
            <w:vAlign w:val="bottom"/>
            <w:gridSpan w:val="3"/>
          </w:tcPr>
          <w:p>
            <w:pPr>
              <w:ind w:left="20"/>
              <w:spacing w:after="0"/>
              <w:rPr>
                <w:sz w:val="20"/>
                <w:szCs w:val="20"/>
                <w:color w:val="auto"/>
              </w:rPr>
            </w:pPr>
            <w:r>
              <w:rPr>
                <w:rFonts w:ascii="Arial" w:cs="Arial" w:eastAsia="Arial" w:hAnsi="Arial"/>
                <w:sz w:val="16"/>
                <w:szCs w:val="16"/>
                <w:color w:val="auto"/>
              </w:rPr>
              <w:t>Trade names and trademarks</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900</w:t>
            </w:r>
          </w:p>
        </w:tc>
        <w:tc>
          <w:tcPr>
            <w:tcW w:w="620" w:type="dxa"/>
            <w:vAlign w:val="bottom"/>
            <w:gridSpan w:val="2"/>
          </w:tcPr>
          <w:p>
            <w:pPr>
              <w:jc w:val="right"/>
              <w:ind w:right="35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gridSpan w:val="3"/>
          </w:tcPr>
          <w:p>
            <w:pPr>
              <w:jc w:val="right"/>
              <w:ind w:right="40"/>
              <w:spacing w:after="0"/>
              <w:rPr>
                <w:sz w:val="20"/>
                <w:szCs w:val="20"/>
                <w:color w:val="auto"/>
              </w:rPr>
            </w:pPr>
            <w:r>
              <w:rPr>
                <w:rFonts w:ascii="Arial" w:cs="Arial" w:eastAsia="Arial" w:hAnsi="Arial"/>
                <w:sz w:val="16"/>
                <w:szCs w:val="16"/>
                <w:color w:val="auto"/>
              </w:rPr>
              <w:t>900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intangible assets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130,956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color w:val="auto"/>
              </w:rPr>
              <w:t>(49,874)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81,082</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7460" w:type="dxa"/>
            <w:vAlign w:val="bottom"/>
            <w:gridSpan w:val="7"/>
          </w:tcPr>
          <w:p>
            <w:pPr>
              <w:ind w:left="360"/>
              <w:spacing w:after="0"/>
              <w:rPr>
                <w:sz w:val="20"/>
                <w:szCs w:val="20"/>
                <w:color w:val="auto"/>
              </w:rPr>
            </w:pPr>
            <w:r>
              <w:rPr>
                <w:rFonts w:ascii="Arial" w:cs="Arial" w:eastAsia="Arial" w:hAnsi="Arial"/>
                <w:sz w:val="16"/>
                <w:szCs w:val="16"/>
                <w:color w:val="auto"/>
                <w:w w:val="94"/>
              </w:rPr>
              <w:t>The amortization expense recognized in the unaudited consolidated statements of income was as follows:</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9"/>
          </w:tcPr>
          <w:p>
            <w:pPr>
              <w:ind w:left="400"/>
              <w:spacing w:after="0"/>
              <w:rPr>
                <w:sz w:val="20"/>
                <w:szCs w:val="20"/>
                <w:color w:val="auto"/>
              </w:rPr>
            </w:pPr>
            <w:r>
              <w:rPr>
                <w:rFonts w:ascii="Arial" w:cs="Arial" w:eastAsia="Arial" w:hAnsi="Arial"/>
                <w:sz w:val="13"/>
                <w:szCs w:val="13"/>
                <w:b w:val="1"/>
                <w:bCs w:val="1"/>
                <w:color w:val="auto"/>
                <w:w w:val="94"/>
              </w:rPr>
              <w:t>Three months ended March 31,</w:t>
            </w: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7"/>
          </w:tcPr>
          <w:p>
            <w:pPr>
              <w:jc w:val="right"/>
              <w:ind w:right="84"/>
              <w:spacing w:after="0"/>
              <w:rPr>
                <w:sz w:val="20"/>
                <w:szCs w:val="20"/>
                <w:color w:val="auto"/>
              </w:rPr>
            </w:pPr>
            <w:r>
              <w:rPr>
                <w:rFonts w:ascii="Arial" w:cs="Arial" w:eastAsia="Arial" w:hAnsi="Arial"/>
                <w:sz w:val="13"/>
                <w:szCs w:val="13"/>
                <w:b w:val="1"/>
                <w:bCs w:val="1"/>
                <w:color w:val="auto"/>
              </w:rPr>
              <w:t>2021</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60" w:type="dxa"/>
            <w:vAlign w:val="bottom"/>
          </w:tcPr>
          <w:p>
            <w:pPr>
              <w:spacing w:after="0"/>
              <w:rPr>
                <w:sz w:val="16"/>
                <w:szCs w:val="16"/>
                <w:color w:val="auto"/>
              </w:rPr>
            </w:pPr>
          </w:p>
        </w:tc>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Amortization expense</w:t>
            </w:r>
          </w:p>
        </w:tc>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4,486</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center"/>
              <w:ind w:right="221"/>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3,361</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00" w:type="dxa"/>
            <w:vAlign w:val="bottom"/>
            <w:gridSpan w:val="3"/>
            <w:vMerge w:val="restart"/>
          </w:tcPr>
          <w:p>
            <w:pPr>
              <w:ind w:left="360"/>
              <w:spacing w:after="0"/>
              <w:rPr>
                <w:sz w:val="20"/>
                <w:szCs w:val="20"/>
                <w:color w:val="auto"/>
              </w:rPr>
            </w:pPr>
            <w:r>
              <w:rPr>
                <w:rFonts w:ascii="Arial" w:cs="Arial" w:eastAsia="Arial" w:hAnsi="Arial"/>
                <w:sz w:val="16"/>
                <w:szCs w:val="16"/>
                <w:color w:val="auto"/>
              </w:rPr>
              <w:t>The remaining weighted average life of intangible assets is as follows:</w:t>
            </w: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500" w:type="dxa"/>
            <w:vAlign w:val="bottom"/>
            <w:gridSpan w:val="3"/>
            <w:vMerge w:val="continue"/>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w w:val="92"/>
              </w:rPr>
              <w:t>(in years)</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Customer relationships</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ind w:left="360"/>
              <w:spacing w:after="0"/>
              <w:rPr>
                <w:sz w:val="20"/>
                <w:szCs w:val="20"/>
                <w:color w:val="auto"/>
              </w:rPr>
            </w:pPr>
            <w:r>
              <w:rPr>
                <w:rFonts w:ascii="Arial" w:cs="Arial" w:eastAsia="Arial" w:hAnsi="Arial"/>
                <w:sz w:val="16"/>
                <w:szCs w:val="16"/>
                <w:color w:val="auto"/>
              </w:rPr>
              <w:t>Developed technology</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Trade names and trademarks (Finite lived)</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6"/>
                <w:szCs w:val="16"/>
                <w:color w:val="auto"/>
              </w:rPr>
              <w:t>Non-compete agreements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3.7</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6"/>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960" w:type="dxa"/>
            <w:vAlign w:val="bottom"/>
          </w:tcPr>
          <w:p>
            <w:pPr>
              <w:jc w:val="right"/>
              <w:ind w:right="683"/>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7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5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0" w:name="page21"/>
    <w:bookmarkEnd w:id="2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40" w:type="dxa"/>
            <w:vAlign w:val="bottom"/>
            <w:gridSpan w:val="4"/>
          </w:tcPr>
          <w:p>
            <w:pPr>
              <w:spacing w:after="0"/>
              <w:rPr>
                <w:sz w:val="20"/>
                <w:szCs w:val="20"/>
                <w:color w:val="auto"/>
              </w:rPr>
            </w:pPr>
            <w:r>
              <w:rPr>
                <w:rFonts w:ascii="Arial" w:cs="Arial" w:eastAsia="Arial" w:hAnsi="Arial"/>
                <w:sz w:val="16"/>
                <w:szCs w:val="16"/>
                <w:color w:val="auto"/>
              </w:rPr>
              <w:t>Estimated future amortization expense related to finite-lived intangible assets as of March 31, 2022 was as follows: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tcBorders>
              <w:right w:val="single" w:sz="8" w:color="CCEEFF"/>
            </w:tcBorders>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2022 (April 1 - December 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center"/>
              <w:ind w:left="521"/>
              <w:spacing w:after="0"/>
              <w:rPr>
                <w:sz w:val="20"/>
                <w:szCs w:val="20"/>
                <w:color w:val="auto"/>
              </w:rPr>
            </w:pPr>
            <w:r>
              <w:rPr>
                <w:rFonts w:ascii="Arial" w:cs="Arial" w:eastAsia="Arial" w:hAnsi="Arial"/>
                <w:sz w:val="16"/>
                <w:szCs w:val="16"/>
                <w:color w:val="auto"/>
                <w:w w:val="89"/>
              </w:rPr>
              <w:t>12,514</w:t>
            </w:r>
          </w:p>
        </w:tc>
        <w:tc>
          <w:tcPr>
            <w:tcW w:w="3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left="521"/>
              <w:spacing w:after="0"/>
              <w:rPr>
                <w:sz w:val="20"/>
                <w:szCs w:val="20"/>
                <w:color w:val="auto"/>
              </w:rPr>
            </w:pPr>
            <w:r>
              <w:rPr>
                <w:rFonts w:ascii="Arial" w:cs="Arial" w:eastAsia="Arial" w:hAnsi="Arial"/>
                <w:sz w:val="16"/>
                <w:szCs w:val="16"/>
                <w:color w:val="auto"/>
                <w:w w:val="89"/>
              </w:rPr>
              <w:t>14,464</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40" w:type="dxa"/>
            <w:vAlign w:val="bottom"/>
            <w:tcBorders>
              <w:right w:val="single" w:sz="8" w:color="CCEEFF"/>
            </w:tcBorders>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ind w:left="521"/>
              <w:spacing w:after="0"/>
              <w:rPr>
                <w:sz w:val="20"/>
                <w:szCs w:val="20"/>
                <w:color w:val="auto"/>
              </w:rPr>
            </w:pPr>
            <w:r>
              <w:rPr>
                <w:rFonts w:ascii="Arial" w:cs="Arial" w:eastAsia="Arial" w:hAnsi="Arial"/>
                <w:sz w:val="16"/>
                <w:szCs w:val="16"/>
                <w:color w:val="auto"/>
                <w:w w:val="89"/>
              </w:rPr>
              <w:t>11,962</w:t>
            </w:r>
          </w:p>
        </w:tc>
        <w:tc>
          <w:tcPr>
            <w:tcW w:w="3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left="521"/>
              <w:spacing w:after="0"/>
              <w:rPr>
                <w:sz w:val="20"/>
                <w:szCs w:val="20"/>
                <w:color w:val="auto"/>
              </w:rPr>
            </w:pPr>
            <w:r>
              <w:rPr>
                <w:rFonts w:ascii="Arial" w:cs="Arial" w:eastAsia="Arial" w:hAnsi="Arial"/>
                <w:sz w:val="16"/>
                <w:szCs w:val="16"/>
                <w:color w:val="auto"/>
                <w:w w:val="89"/>
              </w:rPr>
              <w:t>10,534</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40" w:type="dxa"/>
            <w:vAlign w:val="bottom"/>
            <w:tcBorders>
              <w:right w:val="single" w:sz="8" w:color="CCEEFF"/>
            </w:tcBorders>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ind w:left="521"/>
              <w:spacing w:after="0"/>
              <w:rPr>
                <w:sz w:val="20"/>
                <w:szCs w:val="20"/>
                <w:color w:val="auto"/>
              </w:rPr>
            </w:pPr>
            <w:r>
              <w:rPr>
                <w:rFonts w:ascii="Arial" w:cs="Arial" w:eastAsia="Arial" w:hAnsi="Arial"/>
                <w:sz w:val="16"/>
                <w:szCs w:val="16"/>
                <w:color w:val="auto"/>
                <w:w w:val="89"/>
              </w:rPr>
              <w:t>10,193</w:t>
            </w:r>
          </w:p>
        </w:tc>
        <w:tc>
          <w:tcPr>
            <w:tcW w:w="3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2027 and thereafter</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521"/>
              <w:spacing w:after="0"/>
              <w:rPr>
                <w:sz w:val="20"/>
                <w:szCs w:val="20"/>
                <w:color w:val="auto"/>
              </w:rPr>
            </w:pPr>
            <w:r>
              <w:rPr>
                <w:rFonts w:ascii="Arial" w:cs="Arial" w:eastAsia="Arial" w:hAnsi="Arial"/>
                <w:sz w:val="16"/>
                <w:szCs w:val="16"/>
                <w:color w:val="auto"/>
                <w:w w:val="89"/>
              </w:rPr>
              <w:t>16,011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340" w:type="dxa"/>
            <w:vAlign w:val="bottom"/>
            <w:tcBorders>
              <w:right w:val="single" w:sz="8" w:color="CCEEFF"/>
            </w:tcBorders>
          </w:tcPr>
          <w:p>
            <w:pPr>
              <w:spacing w:after="0"/>
              <w:rPr>
                <w:sz w:val="16"/>
                <w:szCs w:val="16"/>
                <w:color w:val="auto"/>
              </w:rPr>
            </w:pPr>
          </w:p>
        </w:tc>
        <w:tc>
          <w:tcPr>
            <w:tcW w:w="664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center"/>
              <w:ind w:left="521"/>
              <w:spacing w:after="0"/>
              <w:rPr>
                <w:sz w:val="20"/>
                <w:szCs w:val="20"/>
                <w:color w:val="auto"/>
              </w:rPr>
            </w:pPr>
            <w:r>
              <w:rPr>
                <w:rFonts w:ascii="Arial" w:cs="Arial" w:eastAsia="Arial" w:hAnsi="Arial"/>
                <w:sz w:val="16"/>
                <w:szCs w:val="16"/>
                <w:color w:val="auto"/>
                <w:w w:val="89"/>
              </w:rPr>
              <w:t>75,678</w:t>
            </w:r>
          </w:p>
        </w:tc>
        <w:tc>
          <w:tcPr>
            <w:tcW w:w="3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0" w:type="dxa"/>
            <w:vAlign w:val="bottom"/>
            <w:tcBorders>
              <w:right w:val="single" w:sz="8" w:color="CCEEFF"/>
            </w:tcBorders>
          </w:tcPr>
          <w:p>
            <w:pPr>
              <w:spacing w:after="0" w:line="20" w:lineRule="exact"/>
              <w:rPr>
                <w:sz w:val="1"/>
                <w:szCs w:val="1"/>
                <w:color w:val="auto"/>
              </w:rPr>
            </w:pPr>
          </w:p>
        </w:tc>
        <w:tc>
          <w:tcPr>
            <w:tcW w:w="66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10. Other Current Assets</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73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340" w:type="dxa"/>
            <w:vAlign w:val="bottom"/>
            <w:gridSpan w:val="3"/>
          </w:tcPr>
          <w:p>
            <w:pPr>
              <w:ind w:left="360"/>
              <w:spacing w:after="0"/>
              <w:rPr>
                <w:sz w:val="20"/>
                <w:szCs w:val="20"/>
                <w:color w:val="auto"/>
              </w:rPr>
            </w:pPr>
            <w:r>
              <w:rPr>
                <w:rFonts w:ascii="Arial" w:cs="Arial" w:eastAsia="Arial" w:hAnsi="Arial"/>
                <w:sz w:val="16"/>
                <w:szCs w:val="16"/>
                <w:color w:val="auto"/>
              </w:rPr>
              <w:t>Other current assets consist of the following:</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3"/>
                <w:szCs w:val="13"/>
                <w:b w:val="1"/>
                <w:bCs w:val="1"/>
                <w:color w:val="auto"/>
              </w:rPr>
              <w:t>As of</w:t>
            </w: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3"/>
                <w:szCs w:val="13"/>
                <w:b w:val="1"/>
                <w:bCs w:val="1"/>
                <w:color w:val="auto"/>
              </w:rPr>
              <w:t>March 31, 2022</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3"/>
                <w:szCs w:val="13"/>
                <w:b w:val="1"/>
                <w:bCs w:val="1"/>
                <w:color w:val="auto"/>
                <w:w w:val="93"/>
              </w:rPr>
              <w:t>December 31, 2021</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6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Receivables from statutory authorities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4"/>
            <w:shd w:val="clear" w:color="auto" w:fill="CCEEFF"/>
          </w:tcPr>
          <w:p>
            <w:pPr>
              <w:jc w:val="right"/>
              <w:ind w:right="9"/>
              <w:spacing w:after="0"/>
              <w:rPr>
                <w:sz w:val="20"/>
                <w:szCs w:val="20"/>
                <w:color w:val="auto"/>
              </w:rPr>
            </w:pPr>
            <w:r>
              <w:rPr>
                <w:rFonts w:ascii="Arial" w:cs="Arial" w:eastAsia="Arial" w:hAnsi="Arial"/>
                <w:sz w:val="16"/>
                <w:szCs w:val="16"/>
                <w:color w:val="auto"/>
              </w:rPr>
              <w:t>14,509</w:t>
            </w:r>
          </w:p>
        </w:tc>
        <w:tc>
          <w:tcPr>
            <w:tcW w:w="300" w:type="dxa"/>
            <w:vAlign w:val="bottom"/>
            <w:gridSpan w:val="3"/>
            <w:shd w:val="clear" w:color="auto" w:fill="CCEEFF"/>
          </w:tcPr>
          <w:p>
            <w:pPr>
              <w:jc w:val="right"/>
              <w:ind w:right="47"/>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18,023</w:t>
            </w:r>
          </w:p>
        </w:tc>
        <w:tc>
          <w:tcPr>
            <w:tcW w:w="0" w:type="dxa"/>
            <w:vAlign w:val="bottom"/>
          </w:tcPr>
          <w:p>
            <w:pPr>
              <w:spacing w:after="0"/>
              <w:rPr>
                <w:sz w:val="1"/>
                <w:szCs w:val="1"/>
                <w:color w:val="auto"/>
              </w:rPr>
            </w:pPr>
          </w:p>
        </w:tc>
      </w:tr>
      <w:tr>
        <w:trPr>
          <w:trHeight w:val="201"/>
        </w:trPr>
        <w:tc>
          <w:tcPr>
            <w:tcW w:w="360" w:type="dxa"/>
            <w:vAlign w:val="bottom"/>
          </w:tcPr>
          <w:p>
            <w:pPr>
              <w:spacing w:after="0"/>
              <w:rPr>
                <w:sz w:val="17"/>
                <w:szCs w:val="17"/>
                <w:color w:val="auto"/>
              </w:rPr>
            </w:pPr>
          </w:p>
        </w:tc>
        <w:tc>
          <w:tcPr>
            <w:tcW w:w="6980" w:type="dxa"/>
            <w:vAlign w:val="bottom"/>
            <w:gridSpan w:val="2"/>
          </w:tcPr>
          <w:p>
            <w:pPr>
              <w:ind w:left="20"/>
              <w:spacing w:after="0"/>
              <w:rPr>
                <w:sz w:val="20"/>
                <w:szCs w:val="20"/>
                <w:color w:val="auto"/>
              </w:rPr>
            </w:pPr>
            <w:r>
              <w:rPr>
                <w:rFonts w:ascii="Arial" w:cs="Arial" w:eastAsia="Arial" w:hAnsi="Arial"/>
                <w:sz w:val="16"/>
                <w:szCs w:val="16"/>
                <w:color w:val="auto"/>
              </w:rPr>
              <w:t>Derivative instruments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4"/>
          </w:tcPr>
          <w:p>
            <w:pPr>
              <w:jc w:val="right"/>
              <w:ind w:right="9"/>
              <w:spacing w:after="0"/>
              <w:rPr>
                <w:sz w:val="20"/>
                <w:szCs w:val="20"/>
                <w:color w:val="auto"/>
              </w:rPr>
            </w:pPr>
            <w:r>
              <w:rPr>
                <w:rFonts w:ascii="Arial" w:cs="Arial" w:eastAsia="Arial" w:hAnsi="Arial"/>
                <w:sz w:val="16"/>
                <w:szCs w:val="16"/>
                <w:color w:val="auto"/>
              </w:rPr>
              <w:t>7,399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8,682</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6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Advances to suppliers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9"/>
              <w:spacing w:after="0"/>
              <w:rPr>
                <w:sz w:val="20"/>
                <w:szCs w:val="20"/>
                <w:color w:val="auto"/>
              </w:rPr>
            </w:pPr>
            <w:r>
              <w:rPr>
                <w:rFonts w:ascii="Arial" w:cs="Arial" w:eastAsia="Arial" w:hAnsi="Arial"/>
                <w:sz w:val="16"/>
                <w:szCs w:val="16"/>
                <w:color w:val="auto"/>
                <w:w w:val="82"/>
              </w:rPr>
              <w:t>991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1,464</w:t>
            </w:r>
          </w:p>
        </w:tc>
        <w:tc>
          <w:tcPr>
            <w:tcW w:w="0" w:type="dxa"/>
            <w:vAlign w:val="bottom"/>
          </w:tcPr>
          <w:p>
            <w:pPr>
              <w:spacing w:after="0"/>
              <w:rPr>
                <w:sz w:val="1"/>
                <w:szCs w:val="1"/>
                <w:color w:val="auto"/>
              </w:rPr>
            </w:pPr>
          </w:p>
        </w:tc>
      </w:tr>
      <w:tr>
        <w:trPr>
          <w:trHeight w:val="201"/>
        </w:trPr>
        <w:tc>
          <w:tcPr>
            <w:tcW w:w="360" w:type="dxa"/>
            <w:vAlign w:val="bottom"/>
          </w:tcPr>
          <w:p>
            <w:pPr>
              <w:spacing w:after="0"/>
              <w:rPr>
                <w:sz w:val="17"/>
                <w:szCs w:val="17"/>
                <w:color w:val="auto"/>
              </w:rPr>
            </w:pPr>
          </w:p>
        </w:tc>
        <w:tc>
          <w:tcPr>
            <w:tcW w:w="6980" w:type="dxa"/>
            <w:vAlign w:val="bottom"/>
            <w:gridSpan w:val="2"/>
          </w:tcPr>
          <w:p>
            <w:pPr>
              <w:ind w:left="20"/>
              <w:spacing w:after="0"/>
              <w:rPr>
                <w:sz w:val="20"/>
                <w:szCs w:val="20"/>
                <w:color w:val="auto"/>
              </w:rPr>
            </w:pPr>
            <w:r>
              <w:rPr>
                <w:rFonts w:ascii="Arial" w:cs="Arial" w:eastAsia="Arial" w:hAnsi="Arial"/>
                <w:sz w:val="16"/>
                <w:szCs w:val="16"/>
                <w:color w:val="auto"/>
              </w:rPr>
              <w:t>Deferred contract fulfillment costs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4"/>
          </w:tcPr>
          <w:p>
            <w:pPr>
              <w:jc w:val="right"/>
              <w:ind w:right="9"/>
              <w:spacing w:after="0"/>
              <w:rPr>
                <w:sz w:val="20"/>
                <w:szCs w:val="20"/>
                <w:color w:val="auto"/>
              </w:rPr>
            </w:pPr>
            <w:r>
              <w:rPr>
                <w:rFonts w:ascii="Arial" w:cs="Arial" w:eastAsia="Arial" w:hAnsi="Arial"/>
                <w:sz w:val="16"/>
                <w:szCs w:val="16"/>
                <w:color w:val="auto"/>
              </w:rPr>
              <w:t>1,587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1,483</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6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4"/>
            <w:shd w:val="clear" w:color="auto" w:fill="CCEEFF"/>
          </w:tcPr>
          <w:p>
            <w:pPr>
              <w:jc w:val="right"/>
              <w:ind w:right="9"/>
              <w:spacing w:after="0"/>
              <w:rPr>
                <w:sz w:val="20"/>
                <w:szCs w:val="20"/>
                <w:color w:val="auto"/>
              </w:rPr>
            </w:pPr>
            <w:r>
              <w:rPr>
                <w:rFonts w:ascii="Arial" w:cs="Arial" w:eastAsia="Arial" w:hAnsi="Arial"/>
                <w:sz w:val="16"/>
                <w:szCs w:val="16"/>
                <w:color w:val="auto"/>
              </w:rPr>
              <w:t>1,140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1,319</w:t>
            </w:r>
          </w:p>
        </w:tc>
        <w:tc>
          <w:tcPr>
            <w:tcW w:w="0" w:type="dxa"/>
            <w:vAlign w:val="bottom"/>
          </w:tcPr>
          <w:p>
            <w:pPr>
              <w:spacing w:after="0"/>
              <w:rPr>
                <w:sz w:val="1"/>
                <w:szCs w:val="1"/>
                <w:color w:val="auto"/>
              </w:rPr>
            </w:pPr>
          </w:p>
        </w:tc>
      </w:tr>
      <w:tr>
        <w:trPr>
          <w:trHeight w:val="201"/>
        </w:trPr>
        <w:tc>
          <w:tcPr>
            <w:tcW w:w="360" w:type="dxa"/>
            <w:vAlign w:val="bottom"/>
          </w:tcPr>
          <w:p>
            <w:pPr>
              <w:spacing w:after="0"/>
              <w:rPr>
                <w:sz w:val="17"/>
                <w:szCs w:val="17"/>
                <w:color w:val="auto"/>
              </w:rPr>
            </w:pPr>
          </w:p>
        </w:tc>
        <w:tc>
          <w:tcPr>
            <w:tcW w:w="6980" w:type="dxa"/>
            <w:vAlign w:val="bottom"/>
            <w:gridSpan w:val="2"/>
          </w:tcPr>
          <w:p>
            <w:pPr>
              <w:ind w:left="20"/>
              <w:spacing w:after="0"/>
              <w:rPr>
                <w:sz w:val="20"/>
                <w:szCs w:val="20"/>
                <w:color w:val="auto"/>
              </w:rPr>
            </w:pPr>
            <w:r>
              <w:rPr>
                <w:rFonts w:ascii="Arial" w:cs="Arial" w:eastAsia="Arial" w:hAnsi="Arial"/>
                <w:sz w:val="16"/>
                <w:szCs w:val="16"/>
                <w:color w:val="auto"/>
              </w:rPr>
              <w:t>Interest accrued on term deposits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gridSpan w:val="3"/>
          </w:tcPr>
          <w:p>
            <w:pPr>
              <w:jc w:val="right"/>
              <w:ind w:right="9"/>
              <w:spacing w:after="0"/>
              <w:rPr>
                <w:sz w:val="20"/>
                <w:szCs w:val="20"/>
                <w:color w:val="auto"/>
              </w:rPr>
            </w:pPr>
            <w:r>
              <w:rPr>
                <w:rFonts w:ascii="Arial" w:cs="Arial" w:eastAsia="Arial" w:hAnsi="Arial"/>
                <w:sz w:val="16"/>
                <w:szCs w:val="16"/>
                <w:color w:val="auto"/>
                <w:w w:val="82"/>
              </w:rPr>
              <w:t>665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6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gridSpan w:val="4"/>
            <w:shd w:val="clear" w:color="auto" w:fill="CCEEFF"/>
          </w:tcPr>
          <w:p>
            <w:pPr>
              <w:jc w:val="right"/>
              <w:ind w:right="9"/>
              <w:spacing w:after="0"/>
              <w:rPr>
                <w:sz w:val="20"/>
                <w:szCs w:val="20"/>
                <w:color w:val="auto"/>
              </w:rPr>
            </w:pPr>
            <w:r>
              <w:rPr>
                <w:rFonts w:ascii="Arial" w:cs="Arial" w:eastAsia="Arial" w:hAnsi="Arial"/>
                <w:sz w:val="16"/>
                <w:szCs w:val="16"/>
                <w:color w:val="auto"/>
              </w:rPr>
              <w:t>2,086</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2,146</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6980" w:type="dxa"/>
            <w:vAlign w:val="bottom"/>
            <w:gridSpan w:val="2"/>
          </w:tcPr>
          <w:p>
            <w:pPr>
              <w:ind w:left="20"/>
              <w:spacing w:after="0"/>
              <w:rPr>
                <w:sz w:val="20"/>
                <w:szCs w:val="20"/>
                <w:color w:val="auto"/>
              </w:rPr>
            </w:pPr>
            <w:r>
              <w:rPr>
                <w:rFonts w:ascii="Arial" w:cs="Arial" w:eastAsia="Arial" w:hAnsi="Arial"/>
                <w:sz w:val="16"/>
                <w:szCs w:val="16"/>
                <w:color w:val="auto"/>
              </w:rPr>
              <w:t>Other current assets</w:t>
            </w:r>
          </w:p>
        </w:tc>
        <w:tc>
          <w:tcPr>
            <w:tcW w:w="1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6"/>
                <w:szCs w:val="16"/>
                <w:color w:val="auto"/>
              </w:rPr>
              <w:t>28,377</w:t>
            </w:r>
          </w:p>
        </w:tc>
        <w:tc>
          <w:tcPr>
            <w:tcW w:w="100" w:type="dxa"/>
            <w:vAlign w:val="bottom"/>
          </w:tcPr>
          <w:p>
            <w:pPr>
              <w:spacing w:after="0"/>
              <w:rPr>
                <w:sz w:val="16"/>
                <w:szCs w:val="16"/>
                <w:color w:val="auto"/>
              </w:rPr>
            </w:pPr>
          </w:p>
        </w:tc>
        <w:tc>
          <w:tcPr>
            <w:tcW w:w="20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34,009</w:t>
            </w:r>
          </w:p>
        </w:tc>
        <w:tc>
          <w:tcPr>
            <w:tcW w:w="0" w:type="dxa"/>
            <w:vAlign w:val="bottom"/>
          </w:tcPr>
          <w:p>
            <w:pPr>
              <w:spacing w:after="0"/>
              <w:rPr>
                <w:sz w:val="1"/>
                <w:szCs w:val="1"/>
                <w:color w:val="auto"/>
              </w:rPr>
            </w:pPr>
          </w:p>
        </w:tc>
      </w:tr>
      <w:tr>
        <w:trPr>
          <w:trHeight w:val="20"/>
        </w:trPr>
        <w:tc>
          <w:tcPr>
            <w:tcW w:w="73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11. Other Assets</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73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340" w:type="dxa"/>
            <w:vAlign w:val="bottom"/>
            <w:gridSpan w:val="3"/>
          </w:tcPr>
          <w:p>
            <w:pPr>
              <w:ind w:left="360"/>
              <w:spacing w:after="0"/>
              <w:rPr>
                <w:sz w:val="20"/>
                <w:szCs w:val="20"/>
                <w:color w:val="auto"/>
              </w:rPr>
            </w:pPr>
            <w:r>
              <w:rPr>
                <w:rFonts w:ascii="Arial" w:cs="Arial" w:eastAsia="Arial" w:hAnsi="Arial"/>
                <w:sz w:val="16"/>
                <w:szCs w:val="16"/>
                <w:color w:val="auto"/>
              </w:rPr>
              <w:t>Other assets consist of the following:</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3"/>
                <w:szCs w:val="13"/>
                <w:b w:val="1"/>
                <w:bCs w:val="1"/>
                <w:color w:val="auto"/>
              </w:rPr>
              <w:t>As of</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w w:val="92"/>
              </w:rPr>
              <w:t>March 31, 2022</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3"/>
                <w:szCs w:val="13"/>
                <w:b w:val="1"/>
                <w:bCs w:val="1"/>
                <w:color w:val="auto"/>
                <w:w w:val="93"/>
              </w:rPr>
              <w:t>December 31, 2021</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deposits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9,772</w:t>
            </w:r>
          </w:p>
        </w:tc>
        <w:tc>
          <w:tcPr>
            <w:tcW w:w="320" w:type="dxa"/>
            <w:vAlign w:val="bottom"/>
            <w:gridSpan w:val="3"/>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ind w:left="521"/>
              <w:spacing w:after="0"/>
              <w:rPr>
                <w:sz w:val="20"/>
                <w:szCs w:val="20"/>
                <w:color w:val="auto"/>
              </w:rPr>
            </w:pPr>
            <w:r>
              <w:rPr>
                <w:rFonts w:ascii="Arial" w:cs="Arial" w:eastAsia="Arial" w:hAnsi="Arial"/>
                <w:sz w:val="16"/>
                <w:szCs w:val="16"/>
                <w:color w:val="auto"/>
                <w:w w:val="89"/>
              </w:rPr>
              <w:t>9,649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40" w:type="dxa"/>
            <w:vAlign w:val="bottom"/>
          </w:tcPr>
          <w:p>
            <w:pPr>
              <w:ind w:left="20"/>
              <w:spacing w:after="0"/>
              <w:rPr>
                <w:sz w:val="20"/>
                <w:szCs w:val="20"/>
                <w:color w:val="auto"/>
              </w:rPr>
            </w:pPr>
            <w:r>
              <w:rPr>
                <w:rFonts w:ascii="Arial" w:cs="Arial" w:eastAsia="Arial" w:hAnsi="Arial"/>
                <w:sz w:val="16"/>
                <w:szCs w:val="16"/>
                <w:color w:val="auto"/>
              </w:rPr>
              <w:t>Deposits with statutory authorities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7,277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left="521"/>
              <w:spacing w:after="0"/>
              <w:rPr>
                <w:sz w:val="20"/>
                <w:szCs w:val="20"/>
                <w:color w:val="auto"/>
              </w:rPr>
            </w:pPr>
            <w:r>
              <w:rPr>
                <w:rFonts w:ascii="Arial" w:cs="Arial" w:eastAsia="Arial" w:hAnsi="Arial"/>
                <w:sz w:val="16"/>
                <w:szCs w:val="16"/>
                <w:color w:val="auto"/>
                <w:w w:val="89"/>
              </w:rPr>
              <w:t>6,417</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contract fulfillment costs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ind w:left="521"/>
              <w:spacing w:after="0"/>
              <w:rPr>
                <w:sz w:val="20"/>
                <w:szCs w:val="20"/>
                <w:color w:val="auto"/>
              </w:rPr>
            </w:pPr>
            <w:r>
              <w:rPr>
                <w:rFonts w:ascii="Arial" w:cs="Arial" w:eastAsia="Arial" w:hAnsi="Arial"/>
                <w:sz w:val="16"/>
                <w:szCs w:val="16"/>
                <w:color w:val="auto"/>
                <w:w w:val="89"/>
              </w:rPr>
              <w:t>4,312</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40" w:type="dxa"/>
            <w:vAlign w:val="bottom"/>
          </w:tcPr>
          <w:p>
            <w:pPr>
              <w:ind w:left="20"/>
              <w:spacing w:after="0"/>
              <w:rPr>
                <w:sz w:val="20"/>
                <w:szCs w:val="20"/>
                <w:color w:val="auto"/>
              </w:rPr>
            </w:pPr>
            <w:r>
              <w:rPr>
                <w:rFonts w:ascii="Arial" w:cs="Arial" w:eastAsia="Arial" w:hAnsi="Arial"/>
                <w:sz w:val="16"/>
                <w:szCs w:val="16"/>
                <w:color w:val="auto"/>
              </w:rPr>
              <w:t>Derivative instruments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5,531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left="521"/>
              <w:spacing w:after="0"/>
              <w:rPr>
                <w:sz w:val="20"/>
                <w:szCs w:val="20"/>
                <w:color w:val="auto"/>
              </w:rPr>
            </w:pPr>
            <w:r>
              <w:rPr>
                <w:rFonts w:ascii="Arial" w:cs="Arial" w:eastAsia="Arial" w:hAnsi="Arial"/>
                <w:sz w:val="16"/>
                <w:szCs w:val="16"/>
                <w:color w:val="auto"/>
                <w:w w:val="89"/>
              </w:rPr>
              <w:t>6,307</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ind w:left="521"/>
              <w:spacing w:after="0"/>
              <w:rPr>
                <w:sz w:val="20"/>
                <w:szCs w:val="20"/>
                <w:color w:val="auto"/>
              </w:rPr>
            </w:pPr>
            <w:r>
              <w:rPr>
                <w:rFonts w:ascii="Arial" w:cs="Arial" w:eastAsia="Arial" w:hAnsi="Arial"/>
                <w:sz w:val="16"/>
                <w:szCs w:val="16"/>
                <w:color w:val="auto"/>
                <w:w w:val="89"/>
              </w:rPr>
              <w:t>1,205</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40" w:type="dxa"/>
            <w:vAlign w:val="bottom"/>
          </w:tcPr>
          <w:p>
            <w:pPr>
              <w:ind w:left="20"/>
              <w:spacing w:after="0"/>
              <w:rPr>
                <w:sz w:val="20"/>
                <w:szCs w:val="20"/>
                <w:color w:val="auto"/>
              </w:rPr>
            </w:pPr>
            <w:r>
              <w:rPr>
                <w:rFonts w:ascii="Arial" w:cs="Arial" w:eastAsia="Arial" w:hAnsi="Arial"/>
                <w:sz w:val="16"/>
                <w:szCs w:val="16"/>
                <w:color w:val="auto"/>
              </w:rPr>
              <w:t>Receivable from Statutory authorities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222</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deposits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Others</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2,370</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521"/>
              <w:spacing w:after="0"/>
              <w:rPr>
                <w:sz w:val="20"/>
                <w:szCs w:val="20"/>
                <w:color w:val="auto"/>
              </w:rPr>
            </w:pPr>
            <w:r>
              <w:rPr>
                <w:rFonts w:ascii="Arial" w:cs="Arial" w:eastAsia="Arial" w:hAnsi="Arial"/>
                <w:sz w:val="16"/>
                <w:szCs w:val="16"/>
                <w:color w:val="auto"/>
                <w:w w:val="89"/>
              </w:rPr>
              <w:t>2,071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32,215</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30,369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0900"/>
          </w:cols>
          <w:pgMar w:left="320" w:top="123" w:right="679" w:bottom="1440" w:gutter="0" w:footer="0" w:header="0"/>
        </w:sectPr>
      </w:pPr>
    </w:p>
    <w:bookmarkStart w:id="21" w:name="page22"/>
    <w:bookmarkEnd w:id="2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Accrued Expenses and Other Current Liabilities</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expenses and other current liabilities consist of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41"/>
              <w:spacing w:after="0"/>
              <w:rPr>
                <w:sz w:val="20"/>
                <w:szCs w:val="20"/>
                <w:color w:val="auto"/>
              </w:rPr>
            </w:pPr>
            <w:r>
              <w:rPr>
                <w:rFonts w:ascii="Arial" w:cs="Arial" w:eastAsia="Arial" w:hAnsi="Arial"/>
                <w:sz w:val="13"/>
                <w:szCs w:val="13"/>
                <w:b w:val="1"/>
                <w:bCs w:val="1"/>
                <w:color w:val="auto"/>
              </w:rPr>
              <w:t>As of</w:t>
            </w:r>
          </w:p>
        </w:tc>
        <w:tc>
          <w:tcPr>
            <w:tcW w:w="1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tcPr>
          <w:p>
            <w:pPr>
              <w:ind w:left="140"/>
              <w:spacing w:after="0"/>
              <w:rPr>
                <w:sz w:val="20"/>
                <w:szCs w:val="20"/>
                <w:color w:val="auto"/>
              </w:rPr>
            </w:pPr>
            <w:r>
              <w:rPr>
                <w:rFonts w:ascii="Arial" w:cs="Arial" w:eastAsia="Arial" w:hAnsi="Arial"/>
                <w:sz w:val="13"/>
                <w:szCs w:val="13"/>
                <w:b w:val="1"/>
                <w:bCs w:val="1"/>
                <w:color w:val="auto"/>
              </w:rPr>
              <w:t>March 31, 2022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 2021</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00" w:type="dxa"/>
            <w:vAlign w:val="bottom"/>
            <w:tcBorders>
              <w:right w:val="single" w:sz="8" w:color="CCEEFF"/>
            </w:tcBorders>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Accrued expenses</w:t>
            </w:r>
          </w:p>
        </w:tc>
        <w:tc>
          <w:tcPr>
            <w:tcW w:w="260" w:type="dxa"/>
            <w:vAlign w:val="bottom"/>
            <w:gridSpan w:val="2"/>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45,626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44,405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Payable to statutory authorities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28,077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13,902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0" w:type="dxa"/>
            <w:vAlign w:val="bottom"/>
            <w:tcBorders>
              <w:right w:val="single" w:sz="8" w:color="CCEEFF"/>
            </w:tcBorders>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Client liabilities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Accrued capital expenditures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1,891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8,630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0" w:type="dxa"/>
            <w:vAlign w:val="bottom"/>
            <w:tcBorders>
              <w:right w:val="single" w:sz="8" w:color="CCEEFF"/>
            </w:tcBorders>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Derivative instruments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Interest payable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0" w:type="dxa"/>
            <w:vAlign w:val="bottom"/>
            <w:tcBorders>
              <w:right w:val="single" w:sz="8" w:color="CCEEFF"/>
            </w:tcBorders>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Finance lease liabilities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6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current liabilities</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00" w:type="dxa"/>
            <w:vAlign w:val="bottom"/>
            <w:tcBorders>
              <w:right w:val="single" w:sz="8" w:color="CCEEFF"/>
            </w:tcBorders>
          </w:tcPr>
          <w:p>
            <w:pPr>
              <w:spacing w:after="0"/>
              <w:rPr>
                <w:sz w:val="16"/>
                <w:szCs w:val="16"/>
                <w:color w:val="auto"/>
              </w:rPr>
            </w:pPr>
          </w:p>
        </w:tc>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Borders>
              <w:bottom w:val="single" w:sz="8" w:color="auto"/>
            </w:tcBorders>
            <w:gridSpan w:val="2"/>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86,911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76,350</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CCEEFF"/>
            </w:tcBorders>
          </w:tcPr>
          <w:p>
            <w:pPr>
              <w:spacing w:after="0" w:line="20" w:lineRule="exact"/>
              <w:rPr>
                <w:sz w:val="1"/>
                <w:szCs w:val="1"/>
                <w:color w:val="auto"/>
              </w:rPr>
            </w:pPr>
          </w:p>
        </w:tc>
        <w:tc>
          <w:tcPr>
            <w:tcW w:w="69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13. Other Non-Current Liabilities</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74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400" w:type="dxa"/>
            <w:vAlign w:val="bottom"/>
            <w:gridSpan w:val="2"/>
          </w:tcPr>
          <w:p>
            <w:pPr>
              <w:ind w:left="380"/>
              <w:spacing w:after="0"/>
              <w:rPr>
                <w:sz w:val="20"/>
                <w:szCs w:val="20"/>
                <w:color w:val="auto"/>
              </w:rPr>
            </w:pPr>
            <w:r>
              <w:rPr>
                <w:rFonts w:ascii="Arial" w:cs="Arial" w:eastAsia="Arial" w:hAnsi="Arial"/>
                <w:sz w:val="16"/>
                <w:szCs w:val="16"/>
                <w:color w:val="auto"/>
              </w:rPr>
              <w:t>Other non-current liabilities consist of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5"/>
          </w:tcPr>
          <w:p>
            <w:pPr>
              <w:jc w:val="right"/>
              <w:ind w:right="61"/>
              <w:spacing w:after="0"/>
              <w:rPr>
                <w:sz w:val="20"/>
                <w:szCs w:val="20"/>
                <w:color w:val="auto"/>
              </w:rPr>
            </w:pPr>
            <w:r>
              <w:rPr>
                <w:rFonts w:ascii="Arial" w:cs="Arial" w:eastAsia="Arial" w:hAnsi="Arial"/>
                <w:sz w:val="13"/>
                <w:szCs w:val="13"/>
                <w:b w:val="1"/>
                <w:bCs w:val="1"/>
                <w:color w:val="auto"/>
              </w:rPr>
              <w:t>As of</w:t>
            </w:r>
          </w:p>
        </w:tc>
        <w:tc>
          <w:tcPr>
            <w:tcW w:w="140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tcPr>
          <w:p>
            <w:pPr>
              <w:ind w:left="160"/>
              <w:spacing w:after="0"/>
              <w:rPr>
                <w:sz w:val="20"/>
                <w:szCs w:val="20"/>
                <w:color w:val="auto"/>
              </w:rPr>
            </w:pPr>
            <w:r>
              <w:rPr>
                <w:rFonts w:ascii="Arial" w:cs="Arial" w:eastAsia="Arial" w:hAnsi="Arial"/>
                <w:sz w:val="13"/>
                <w:szCs w:val="13"/>
                <w:b w:val="1"/>
                <w:bCs w:val="1"/>
                <w:color w:val="auto"/>
              </w:rPr>
              <w:t>March 31, 2022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203"/>
              <w:spacing w:after="0"/>
              <w:rPr>
                <w:sz w:val="20"/>
                <w:szCs w:val="20"/>
                <w:color w:val="auto"/>
              </w:rPr>
            </w:pPr>
            <w:r>
              <w:rPr>
                <w:rFonts w:ascii="Arial" w:cs="Arial" w:eastAsia="Arial" w:hAnsi="Arial"/>
                <w:sz w:val="13"/>
                <w:szCs w:val="13"/>
                <w:b w:val="1"/>
                <w:bCs w:val="1"/>
                <w:color w:val="auto"/>
                <w:w w:val="93"/>
              </w:rPr>
              <w:t>December 31, 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Retirement benefits</w:t>
            </w:r>
          </w:p>
        </w:tc>
        <w:tc>
          <w:tcPr>
            <w:tcW w:w="2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9,604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6900" w:type="dxa"/>
            <w:vAlign w:val="bottom"/>
          </w:tcPr>
          <w:p>
            <w:pPr>
              <w:ind w:left="20"/>
              <w:spacing w:after="0"/>
              <w:rPr>
                <w:sz w:val="20"/>
                <w:szCs w:val="20"/>
                <w:color w:val="auto"/>
              </w:rPr>
            </w:pPr>
            <w:r>
              <w:rPr>
                <w:rFonts w:ascii="Arial" w:cs="Arial" w:eastAsia="Arial" w:hAnsi="Arial"/>
                <w:sz w:val="16"/>
                <w:szCs w:val="16"/>
                <w:color w:val="auto"/>
              </w:rPr>
              <w:t>Contingent consideration</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9,000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transition revenue</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6900" w:type="dxa"/>
            <w:vAlign w:val="bottom"/>
          </w:tcPr>
          <w:p>
            <w:pPr>
              <w:ind w:left="20"/>
              <w:spacing w:after="0"/>
              <w:rPr>
                <w:sz w:val="20"/>
                <w:szCs w:val="20"/>
                <w:color w:val="auto"/>
              </w:rPr>
            </w:pPr>
            <w:r>
              <w:rPr>
                <w:rFonts w:ascii="Arial" w:cs="Arial" w:eastAsia="Arial" w:hAnsi="Arial"/>
                <w:sz w:val="16"/>
                <w:szCs w:val="16"/>
                <w:color w:val="auto"/>
              </w:rPr>
              <w:t>Derivative instruments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1,785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6900" w:type="dxa"/>
            <w:vAlign w:val="bottom"/>
          </w:tcPr>
          <w:p>
            <w:pPr>
              <w:ind w:left="20"/>
              <w:spacing w:after="0"/>
              <w:rPr>
                <w:sz w:val="20"/>
                <w:szCs w:val="20"/>
                <w:color w:val="auto"/>
              </w:rPr>
            </w:pPr>
            <w:r>
              <w:rPr>
                <w:rFonts w:ascii="Arial" w:cs="Arial" w:eastAsia="Arial" w:hAnsi="Arial"/>
                <w:sz w:val="16"/>
                <w:szCs w:val="16"/>
                <w:color w:val="auto"/>
              </w:rPr>
              <w:t>Finance lease liabilities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229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Others</w:t>
            </w: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00" w:type="dxa"/>
            <w:vAlign w:val="bottom"/>
          </w:tcPr>
          <w:p>
            <w:pPr>
              <w:spacing w:after="0"/>
              <w:rPr>
                <w:sz w:val="16"/>
                <w:szCs w:val="16"/>
                <w:color w:val="auto"/>
              </w:rPr>
            </w:pPr>
          </w:p>
        </w:tc>
        <w:tc>
          <w:tcPr>
            <w:tcW w:w="6900" w:type="dxa"/>
            <w:vAlign w:val="bottom"/>
          </w:tcPr>
          <w:p>
            <w:pPr>
              <w:ind w:left="20"/>
              <w:spacing w:after="0" w:line="181" w:lineRule="exact"/>
              <w:rPr>
                <w:sz w:val="20"/>
                <w:szCs w:val="20"/>
                <w:color w:val="auto"/>
              </w:rPr>
            </w:pPr>
            <w:r>
              <w:rPr>
                <w:rFonts w:ascii="Arial" w:cs="Arial" w:eastAsia="Arial" w:hAnsi="Arial"/>
                <w:sz w:val="16"/>
                <w:szCs w:val="16"/>
                <w:color w:val="auto"/>
              </w:rPr>
              <w:t>Other non-current liabilities</w:t>
            </w:r>
          </w:p>
        </w:tc>
        <w:tc>
          <w:tcPr>
            <w:tcW w:w="20" w:type="dxa"/>
            <w:vAlign w:val="bottom"/>
          </w:tcPr>
          <w:p>
            <w:pPr>
              <w:spacing w:after="0"/>
              <w:rPr>
                <w:sz w:val="16"/>
                <w:szCs w:val="16"/>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23,196</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22,801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Accumulated Other Comprehensive Income/(Loss)</w:t>
      </w:r>
    </w:p>
    <w:p>
      <w:pPr>
        <w:spacing w:after="0" w:line="319" w:lineRule="exact"/>
        <w:rPr>
          <w:sz w:val="20"/>
          <w:szCs w:val="20"/>
          <w:color w:val="auto"/>
        </w:rPr>
      </w:pPr>
    </w:p>
    <w:p>
      <w:pPr>
        <w:jc w:val="both"/>
        <w:ind w:firstLine="356"/>
        <w:spacing w:after="0" w:line="280" w:lineRule="auto"/>
        <w:rPr>
          <w:sz w:val="20"/>
          <w:szCs w:val="20"/>
          <w:color w:val="auto"/>
        </w:rPr>
      </w:pPr>
      <w:r>
        <w:rPr>
          <w:rFonts w:ascii="Arial" w:cs="Arial" w:eastAsia="Arial" w:hAnsi="Arial"/>
          <w:sz w:val="14"/>
          <w:szCs w:val="14"/>
          <w:color w:val="auto"/>
        </w:rPr>
        <w:t>Accumulated other comprehensive income/(loss) (“AOCI”) consists of actuarial gain/(loss) on retirement benefits and foreign currency translation adjustments. In addition, the Company enters into foreign currency exchange contracts, which are designated as cash flow hedges and net investment hedges in accordance with ASC 815. Cumulative changes in the fair values of these foreign currency exchange contracts are recognized in AOCI on the Company's unaudited consolidated balance sheets. Upon settlement of foreign exchange contracts designated as cash flow hedges, fair value changes are reclassified from AOCI to net income, whereas such fair value changes related to net investment hedges are included in net income when a foreign operation is disposed or partially disposed. The balances as of March 31, 2022 and 2021 are as follows: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2" w:name="page23"/>
    <w:bookmarkEnd w:id="2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360" w:type="dxa"/>
        <w:tblCellMar>
          <w:top w:w="0" w:type="dxa"/>
          <w:left w:w="0" w:type="dxa"/>
          <w:bottom w:w="0" w:type="dxa"/>
          <w:right w:w="0" w:type="dxa"/>
        </w:tblCellMar>
      </w:tblPr>
      <w:tr>
        <w:trPr>
          <w:trHeight w:val="206"/>
        </w:trPr>
        <w:tc>
          <w:tcPr>
            <w:tcW w:w="36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5"/>
          </w:tcPr>
          <w:p>
            <w:pPr>
              <w:jc w:val="right"/>
              <w:ind w:right="181"/>
              <w:spacing w:after="0"/>
              <w:rPr>
                <w:sz w:val="20"/>
                <w:szCs w:val="20"/>
                <w:color w:val="auto"/>
              </w:rPr>
            </w:pPr>
            <w:r>
              <w:rPr>
                <w:rFonts w:ascii="Arial" w:cs="Arial" w:eastAsia="Arial" w:hAnsi="Arial"/>
                <w:sz w:val="16"/>
                <w:szCs w:val="16"/>
                <w:b w:val="1"/>
                <w:bCs w:val="1"/>
                <w:color w:val="auto"/>
                <w:w w:val="92"/>
              </w:rPr>
              <w:t>Accumulated Other Comprehensive Income/(Loss)</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gridSpan w:val="2"/>
          </w:tcPr>
          <w:p>
            <w:pPr>
              <w:ind w:left="140"/>
              <w:spacing w:after="0" w:line="147" w:lineRule="exact"/>
              <w:rPr>
                <w:sz w:val="20"/>
                <w:szCs w:val="20"/>
                <w:color w:val="auto"/>
              </w:rPr>
            </w:pPr>
            <w:r>
              <w:rPr>
                <w:rFonts w:ascii="Arial" w:cs="Arial" w:eastAsia="Arial" w:hAnsi="Arial"/>
                <w:sz w:val="16"/>
                <w:szCs w:val="16"/>
                <w:b w:val="1"/>
                <w:bCs w:val="1"/>
                <w:color w:val="auto"/>
              </w:rPr>
              <w:t>Foreign currency</w:t>
            </w:r>
          </w:p>
        </w:tc>
        <w:tc>
          <w:tcPr>
            <w:tcW w:w="1860" w:type="dxa"/>
            <w:vAlign w:val="bottom"/>
            <w:gridSpan w:val="3"/>
          </w:tcPr>
          <w:p>
            <w:pPr>
              <w:ind w:left="420"/>
              <w:spacing w:after="0" w:line="147" w:lineRule="exact"/>
              <w:rPr>
                <w:sz w:val="20"/>
                <w:szCs w:val="20"/>
                <w:color w:val="auto"/>
              </w:rPr>
            </w:pPr>
            <w:r>
              <w:rPr>
                <w:rFonts w:ascii="Arial" w:cs="Arial" w:eastAsia="Arial" w:hAnsi="Arial"/>
                <w:sz w:val="16"/>
                <w:szCs w:val="16"/>
                <w:b w:val="1"/>
                <w:bCs w:val="1"/>
                <w:color w:val="auto"/>
                <w:w w:val="99"/>
              </w:rPr>
              <w:t>Unrealized gain on</w:t>
            </w:r>
          </w:p>
        </w:tc>
        <w:tc>
          <w:tcPr>
            <w:tcW w:w="2000" w:type="dxa"/>
            <w:vAlign w:val="bottom"/>
            <w:gridSpan w:val="2"/>
            <w:vMerge w:val="restart"/>
          </w:tcPr>
          <w:p>
            <w:pPr>
              <w:jc w:val="right"/>
              <w:ind w:right="181"/>
              <w:spacing w:after="0"/>
              <w:rPr>
                <w:sz w:val="20"/>
                <w:szCs w:val="20"/>
                <w:color w:val="auto"/>
              </w:rPr>
            </w:pPr>
            <w:r>
              <w:rPr>
                <w:rFonts w:ascii="Arial" w:cs="Arial" w:eastAsia="Arial" w:hAnsi="Arial"/>
                <w:sz w:val="16"/>
                <w:szCs w:val="16"/>
                <w:b w:val="1"/>
                <w:bCs w:val="1"/>
                <w:color w:val="auto"/>
              </w:rPr>
              <w:t>Retirement benefits</w:t>
            </w:r>
          </w:p>
        </w:tc>
        <w:tc>
          <w:tcPr>
            <w:tcW w:w="540" w:type="dxa"/>
            <w:vAlign w:val="bottom"/>
          </w:tcPr>
          <w:p>
            <w:pPr>
              <w:spacing w:after="0"/>
              <w:rPr>
                <w:sz w:val="12"/>
                <w:szCs w:val="12"/>
                <w:color w:val="auto"/>
              </w:rPr>
            </w:pPr>
          </w:p>
        </w:tc>
        <w:tc>
          <w:tcPr>
            <w:tcW w:w="860" w:type="dxa"/>
            <w:vAlign w:val="bottom"/>
            <w:vMerge w:val="restart"/>
          </w:tcPr>
          <w:p>
            <w:pPr>
              <w:jc w:val="right"/>
              <w:ind w:right="20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translation loss</w:t>
            </w:r>
          </w:p>
        </w:tc>
        <w:tc>
          <w:tcPr>
            <w:tcW w:w="1860" w:type="dxa"/>
            <w:vAlign w:val="bottom"/>
            <w:gridSpan w:val="3"/>
            <w:vMerge w:val="restart"/>
          </w:tcPr>
          <w:p>
            <w:pPr>
              <w:ind w:left="320"/>
              <w:spacing w:after="0"/>
              <w:rPr>
                <w:sz w:val="20"/>
                <w:szCs w:val="20"/>
                <w:color w:val="auto"/>
              </w:rPr>
            </w:pPr>
            <w:r>
              <w:rPr>
                <w:rFonts w:ascii="Arial" w:cs="Arial" w:eastAsia="Arial" w:hAnsi="Arial"/>
                <w:sz w:val="16"/>
                <w:szCs w:val="16"/>
                <w:b w:val="1"/>
                <w:bCs w:val="1"/>
                <w:color w:val="auto"/>
              </w:rPr>
              <w:t>cash flow hedges</w:t>
            </w:r>
          </w:p>
        </w:tc>
        <w:tc>
          <w:tcPr>
            <w:tcW w:w="200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620" w:type="dxa"/>
            <w:vAlign w:val="bottom"/>
            <w:tcBorders>
              <w:bottom w:val="single" w:sz="8" w:color="CCEEFF"/>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gridSpan w:val="2"/>
            <w:vMerge w:val="continue"/>
          </w:tcPr>
          <w:p>
            <w:pPr>
              <w:spacing w:after="0"/>
              <w:rPr>
                <w:sz w:val="7"/>
                <w:szCs w:val="7"/>
                <w:color w:val="auto"/>
              </w:rPr>
            </w:pPr>
          </w:p>
        </w:tc>
        <w:tc>
          <w:tcPr>
            <w:tcW w:w="1860" w:type="dxa"/>
            <w:vAlign w:val="bottom"/>
            <w:tcBorders>
              <w:bottom w:val="single" w:sz="8" w:color="auto"/>
            </w:tcBorders>
            <w:gridSpan w:val="3"/>
            <w:vMerge w:val="continue"/>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3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Balance as of January 1, 2022</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(95,437)</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8,420</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(2,457)</w:t>
            </w:r>
          </w:p>
        </w:tc>
        <w:tc>
          <w:tcPr>
            <w:tcW w:w="5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201"/>
        </w:trPr>
        <w:tc>
          <w:tcPr>
            <w:tcW w:w="3620" w:type="dxa"/>
            <w:vAlign w:val="bottom"/>
          </w:tcPr>
          <w:p>
            <w:pPr>
              <w:ind w:left="360"/>
              <w:spacing w:after="0"/>
              <w:rPr>
                <w:sz w:val="20"/>
                <w:szCs w:val="20"/>
                <w:color w:val="auto"/>
              </w:rPr>
            </w:pPr>
            <w:r>
              <w:rPr>
                <w:rFonts w:ascii="Arial" w:cs="Arial" w:eastAsia="Arial" w:hAnsi="Arial"/>
                <w:sz w:val="16"/>
                <w:szCs w:val="16"/>
                <w:color w:val="auto"/>
              </w:rPr>
              <w:t>Losses recognized during the period</w:t>
            </w:r>
          </w:p>
        </w:tc>
        <w:tc>
          <w:tcPr>
            <w:tcW w:w="4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(7,445)</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(517)</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ind w:left="360"/>
              <w:spacing w:after="0" w:line="203" w:lineRule="exact"/>
              <w:rPr>
                <w:sz w:val="20"/>
                <w:szCs w:val="20"/>
                <w:color w:val="auto"/>
              </w:rPr>
            </w:pPr>
            <w:r>
              <w:rPr>
                <w:rFonts w:ascii="Arial" w:cs="Arial" w:eastAsia="Arial" w:hAnsi="Arial"/>
                <w:sz w:val="16"/>
                <w:szCs w:val="16"/>
                <w:color w:val="auto"/>
              </w:rPr>
              <w:t xml:space="preserve">Reclassification to net income </w:t>
            </w:r>
            <w:r>
              <w:rPr>
                <w:rFonts w:ascii="Arial" w:cs="Arial" w:eastAsia="Arial" w:hAnsi="Arial"/>
                <w:sz w:val="20"/>
                <w:szCs w:val="20"/>
                <w:color w:val="auto"/>
                <w:vertAlign w:val="superscript"/>
              </w:rPr>
              <w:t>(1)</w:t>
            </w:r>
          </w:p>
        </w:tc>
        <w:tc>
          <w:tcPr>
            <w:tcW w:w="4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155</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2"/>
        </w:trPr>
        <w:tc>
          <w:tcPr>
            <w:tcW w:w="3620" w:type="dxa"/>
            <w:vAlign w:val="bottom"/>
            <w:tcBorders>
              <w:bottom w:val="single" w:sz="8" w:color="CCEEFF"/>
            </w:tcBorders>
          </w:tcPr>
          <w:p>
            <w:pPr>
              <w:ind w:left="360"/>
              <w:spacing w:after="0" w:line="202" w:lineRule="exact"/>
              <w:rPr>
                <w:sz w:val="20"/>
                <w:szCs w:val="20"/>
                <w:color w:val="auto"/>
              </w:rPr>
            </w:pPr>
            <w:r>
              <w:rPr>
                <w:rFonts w:ascii="Arial" w:cs="Arial" w:eastAsia="Arial" w:hAnsi="Arial"/>
                <w:sz w:val="16"/>
                <w:szCs w:val="16"/>
                <w:color w:val="auto"/>
              </w:rPr>
              <w:t xml:space="preserve">Income tax effects </w:t>
            </w:r>
            <w:r>
              <w:rPr>
                <w:rFonts w:ascii="Arial" w:cs="Arial" w:eastAsia="Arial" w:hAnsi="Arial"/>
                <w:sz w:val="20"/>
                <w:szCs w:val="20"/>
                <w:color w:val="auto"/>
                <w:vertAlign w:val="superscript"/>
              </w:rPr>
              <w:t>(2)</w:t>
            </w: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(47)</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3620" w:type="dxa"/>
            <w:vAlign w:val="bottom"/>
            <w:shd w:val="clear" w:color="auto" w:fill="CCEEFF"/>
          </w:tcPr>
          <w:p>
            <w:pPr>
              <w:ind w:left="360"/>
              <w:spacing w:after="0" w:line="134" w:lineRule="exact"/>
              <w:rPr>
                <w:sz w:val="20"/>
                <w:szCs w:val="20"/>
                <w:color w:val="auto"/>
              </w:rPr>
            </w:pPr>
            <w:r>
              <w:rPr>
                <w:rFonts w:ascii="Arial" w:cs="Arial" w:eastAsia="Arial" w:hAnsi="Arial"/>
                <w:sz w:val="15"/>
                <w:szCs w:val="15"/>
                <w:color w:val="auto"/>
                <w:w w:val="99"/>
              </w:rPr>
              <w:t>Accumulated other comprehensive income/(loss)</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(102,383)</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341"/>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6,426</w:t>
            </w:r>
          </w:p>
        </w:tc>
        <w:tc>
          <w:tcPr>
            <w:tcW w:w="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341"/>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(2,349)</w:t>
            </w:r>
          </w:p>
        </w:tc>
        <w:tc>
          <w:tcPr>
            <w:tcW w:w="54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(98,3</w:t>
            </w:r>
          </w:p>
        </w:tc>
        <w:tc>
          <w:tcPr>
            <w:tcW w:w="0" w:type="dxa"/>
            <w:vAlign w:val="bottom"/>
          </w:tcPr>
          <w:p>
            <w:pPr>
              <w:spacing w:after="0"/>
              <w:rPr>
                <w:sz w:val="1"/>
                <w:szCs w:val="1"/>
                <w:color w:val="auto"/>
              </w:rPr>
            </w:pPr>
          </w:p>
        </w:tc>
      </w:tr>
      <w:tr>
        <w:trPr>
          <w:trHeight w:val="198"/>
        </w:trPr>
        <w:tc>
          <w:tcPr>
            <w:tcW w:w="3620" w:type="dxa"/>
            <w:vAlign w:val="bottom"/>
            <w:tcBorders>
              <w:bottom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as of March 31, 2022</w:t>
            </w: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15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Balance as of January 1, 2021</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(86,185)</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13,799</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(2,598)</w:t>
            </w:r>
          </w:p>
        </w:tc>
        <w:tc>
          <w:tcPr>
            <w:tcW w:w="5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201"/>
        </w:trPr>
        <w:tc>
          <w:tcPr>
            <w:tcW w:w="3620" w:type="dxa"/>
            <w:vAlign w:val="bottom"/>
          </w:tcPr>
          <w:p>
            <w:pPr>
              <w:ind w:left="360"/>
              <w:spacing w:after="0"/>
              <w:rPr>
                <w:sz w:val="20"/>
                <w:szCs w:val="20"/>
                <w:color w:val="auto"/>
              </w:rPr>
            </w:pPr>
            <w:r>
              <w:rPr>
                <w:rFonts w:ascii="Arial" w:cs="Arial" w:eastAsia="Arial" w:hAnsi="Arial"/>
                <w:sz w:val="16"/>
                <w:szCs w:val="16"/>
                <w:color w:val="auto"/>
              </w:rPr>
              <w:t>Gains / (losses) recognized during the period</w:t>
            </w:r>
          </w:p>
        </w:tc>
        <w:tc>
          <w:tcPr>
            <w:tcW w:w="4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(1,911)</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568</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ind w:left="360"/>
              <w:spacing w:after="0" w:line="203" w:lineRule="exact"/>
              <w:rPr>
                <w:sz w:val="20"/>
                <w:szCs w:val="20"/>
                <w:color w:val="auto"/>
              </w:rPr>
            </w:pPr>
            <w:r>
              <w:rPr>
                <w:rFonts w:ascii="Arial" w:cs="Arial" w:eastAsia="Arial" w:hAnsi="Arial"/>
                <w:sz w:val="16"/>
                <w:szCs w:val="16"/>
                <w:color w:val="auto"/>
              </w:rPr>
              <w:t xml:space="preserve">Reclassification to net income </w:t>
            </w:r>
            <w:r>
              <w:rPr>
                <w:rFonts w:ascii="Arial" w:cs="Arial" w:eastAsia="Arial" w:hAnsi="Arial"/>
                <w:sz w:val="20"/>
                <w:szCs w:val="20"/>
                <w:color w:val="auto"/>
                <w:vertAlign w:val="superscript"/>
              </w:rPr>
              <w:t>(1)</w:t>
            </w:r>
          </w:p>
        </w:tc>
        <w:tc>
          <w:tcPr>
            <w:tcW w:w="4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(2,829)</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179</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2"/>
        </w:trPr>
        <w:tc>
          <w:tcPr>
            <w:tcW w:w="3620" w:type="dxa"/>
            <w:vAlign w:val="bottom"/>
            <w:tcBorders>
              <w:bottom w:val="single" w:sz="8" w:color="CCEEFF"/>
            </w:tcBorders>
          </w:tcPr>
          <w:p>
            <w:pPr>
              <w:ind w:left="360"/>
              <w:spacing w:after="0" w:line="202" w:lineRule="exact"/>
              <w:rPr>
                <w:sz w:val="20"/>
                <w:szCs w:val="20"/>
                <w:color w:val="auto"/>
              </w:rPr>
            </w:pPr>
            <w:r>
              <w:rPr>
                <w:rFonts w:ascii="Arial" w:cs="Arial" w:eastAsia="Arial" w:hAnsi="Arial"/>
                <w:sz w:val="16"/>
                <w:szCs w:val="16"/>
                <w:color w:val="auto"/>
              </w:rPr>
              <w:t xml:space="preserve">Income tax effects </w:t>
            </w:r>
            <w:r>
              <w:rPr>
                <w:rFonts w:ascii="Arial" w:cs="Arial" w:eastAsia="Arial" w:hAnsi="Arial"/>
                <w:sz w:val="20"/>
                <w:szCs w:val="20"/>
                <w:color w:val="auto"/>
                <w:vertAlign w:val="superscript"/>
              </w:rPr>
              <w:t>(2)</w:t>
            </w: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(51)</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3620" w:type="dxa"/>
            <w:vAlign w:val="bottom"/>
            <w:shd w:val="clear" w:color="auto" w:fill="CCEEFF"/>
          </w:tcPr>
          <w:p>
            <w:pPr>
              <w:ind w:left="360"/>
              <w:spacing w:after="0" w:line="134" w:lineRule="exact"/>
              <w:rPr>
                <w:sz w:val="20"/>
                <w:szCs w:val="20"/>
                <w:color w:val="auto"/>
              </w:rPr>
            </w:pPr>
            <w:r>
              <w:rPr>
                <w:rFonts w:ascii="Arial" w:cs="Arial" w:eastAsia="Arial" w:hAnsi="Arial"/>
                <w:sz w:val="15"/>
                <w:szCs w:val="15"/>
                <w:color w:val="auto"/>
                <w:w w:val="99"/>
              </w:rPr>
              <w:t>Accumulated other comprehensive income/(loss)</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(87,812)</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341"/>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11,529</w:t>
            </w:r>
          </w:p>
        </w:tc>
        <w:tc>
          <w:tcPr>
            <w:tcW w:w="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341"/>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(2,470)</w:t>
            </w:r>
          </w:p>
        </w:tc>
        <w:tc>
          <w:tcPr>
            <w:tcW w:w="54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(78,7</w:t>
            </w:r>
          </w:p>
        </w:tc>
        <w:tc>
          <w:tcPr>
            <w:tcW w:w="0" w:type="dxa"/>
            <w:vAlign w:val="bottom"/>
          </w:tcPr>
          <w:p>
            <w:pPr>
              <w:spacing w:after="0"/>
              <w:rPr>
                <w:sz w:val="1"/>
                <w:szCs w:val="1"/>
                <w:color w:val="auto"/>
              </w:rPr>
            </w:pPr>
          </w:p>
        </w:tc>
      </w:tr>
      <w:tr>
        <w:trPr>
          <w:trHeight w:val="198"/>
        </w:trPr>
        <w:tc>
          <w:tcPr>
            <w:tcW w:w="3620" w:type="dxa"/>
            <w:vAlign w:val="bottom"/>
            <w:tcBorders>
              <w:bottom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as of March 31, 2021</w:t>
            </w: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15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left="700" w:hanging="420"/>
        <w:spacing w:after="0"/>
        <w:tabs>
          <w:tab w:leader="none" w:pos="70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Refer to Note 16 - Derivatives and Hedge Accounting and Note 19 - Employee Benefit Plans to the unaudited consolidated financial statements for reclassification to net income.</w:t>
      </w:r>
    </w:p>
    <w:p>
      <w:pPr>
        <w:spacing w:after="0" w:line="218" w:lineRule="exact"/>
        <w:rPr>
          <w:rFonts w:ascii="Arial" w:cs="Arial" w:eastAsia="Arial" w:hAnsi="Arial"/>
          <w:sz w:val="13"/>
          <w:szCs w:val="13"/>
          <w:i w:val="1"/>
          <w:iCs w:val="1"/>
          <w:color w:val="auto"/>
        </w:rPr>
      </w:pPr>
    </w:p>
    <w:p>
      <w:pPr>
        <w:ind w:left="700" w:right="100" w:hanging="420"/>
        <w:spacing w:after="0" w:line="259" w:lineRule="auto"/>
        <w:tabs>
          <w:tab w:leader="none" w:pos="70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These are income tax effects recognized on cash flow hedges, retirement benefits and foreign currency translation gains / (losses). Refer to Note 21 - Income Taxes to the unaudited consolidated financial statements.</w:t>
      </w:r>
    </w:p>
    <w:p>
      <w:pPr>
        <w:sectPr>
          <w:pgSz w:w="11900" w:h="16838" w:orient="portrait"/>
          <w:cols w:equalWidth="0" w:num="1">
            <w:col w:w="11340"/>
          </w:cols>
          <w:pgMar w:left="32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74295</wp:posOffset>
            </wp:positionV>
            <wp:extent cx="717423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type w:val="continuous"/>
        </w:sectPr>
      </w:pPr>
    </w:p>
    <w:bookmarkStart w:id="23" w:name="page24"/>
    <w:bookmarkEnd w:id="2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Fair Value Measurements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Assets and Liabilities Measured at Fair Value</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the Company’s assets and liabilities that were accounted for at fair value as of March 31, 2022 and December 31, 2021:</w:t>
      </w:r>
    </w:p>
    <w:p>
      <w:pPr>
        <w:spacing w:after="0" w:line="179"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Quoted Prices in</w:t>
            </w:r>
          </w:p>
        </w:tc>
        <w:tc>
          <w:tcPr>
            <w:tcW w:w="1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Significant Other</w:t>
            </w:r>
          </w:p>
        </w:tc>
        <w:tc>
          <w:tcPr>
            <w:tcW w:w="16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Significant Other</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2"/>
              </w:rPr>
              <w:t>Active Markets for</w:t>
            </w:r>
          </w:p>
        </w:tc>
        <w:tc>
          <w:tcPr>
            <w:tcW w:w="120" w:type="dxa"/>
            <w:vAlign w:val="bottom"/>
          </w:tcPr>
          <w:p>
            <w:pPr>
              <w:spacing w:after="0"/>
              <w:rPr>
                <w:sz w:val="13"/>
                <w:szCs w:val="13"/>
                <w:color w:val="auto"/>
              </w:rPr>
            </w:pPr>
          </w:p>
        </w:tc>
        <w:tc>
          <w:tcPr>
            <w:tcW w:w="156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0"/>
              </w:rPr>
              <w:t>Observable Inputs</w:t>
            </w:r>
          </w:p>
        </w:tc>
        <w:tc>
          <w:tcPr>
            <w:tcW w:w="170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w w:val="89"/>
              </w:rPr>
              <w:t>Unobservable Inputs</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6"/>
              </w:rPr>
              <w:t>Identical Assets</w:t>
            </w: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b w:val="1"/>
                <w:bCs w:val="1"/>
                <w:color w:val="auto"/>
              </w:rPr>
              <w:t>As of March 31, 2022</w:t>
            </w:r>
          </w:p>
        </w:tc>
        <w:tc>
          <w:tcPr>
            <w:tcW w:w="120" w:type="dxa"/>
            <w:vAlign w:val="bottom"/>
          </w:tcPr>
          <w:p>
            <w:pPr>
              <w:spacing w:after="0"/>
              <w:rPr>
                <w:sz w:val="13"/>
                <w:szCs w:val="13"/>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(Level 1)</w:t>
            </w:r>
          </w:p>
        </w:tc>
        <w:tc>
          <w:tcPr>
            <w:tcW w:w="120" w:type="dxa"/>
            <w:vAlign w:val="bottom"/>
          </w:tcPr>
          <w:p>
            <w:pPr>
              <w:spacing w:after="0"/>
              <w:rPr>
                <w:sz w:val="13"/>
                <w:szCs w:val="13"/>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(Level 2)</w:t>
            </w:r>
          </w:p>
        </w:tc>
        <w:tc>
          <w:tcPr>
            <w:tcW w:w="160" w:type="dxa"/>
            <w:vAlign w:val="bottom"/>
          </w:tcPr>
          <w:p>
            <w:pPr>
              <w:spacing w:after="0"/>
              <w:rPr>
                <w:sz w:val="13"/>
                <w:szCs w:val="13"/>
                <w:color w:val="auto"/>
              </w:rPr>
            </w:pPr>
          </w:p>
        </w:tc>
        <w:tc>
          <w:tcPr>
            <w:tcW w:w="1440" w:type="dxa"/>
            <w:vAlign w:val="bottom"/>
          </w:tcPr>
          <w:p>
            <w:pPr>
              <w:jc w:val="center"/>
              <w:ind w:right="83"/>
              <w:spacing w:after="0"/>
              <w:rPr>
                <w:sz w:val="20"/>
                <w:szCs w:val="20"/>
                <w:color w:val="auto"/>
              </w:rPr>
            </w:pPr>
            <w:r>
              <w:rPr>
                <w:rFonts w:ascii="Arial" w:cs="Arial" w:eastAsia="Arial" w:hAnsi="Arial"/>
                <w:sz w:val="13"/>
                <w:szCs w:val="13"/>
                <w:b w:val="1"/>
                <w:bCs w:val="1"/>
                <w:color w:val="auto"/>
                <w:w w:val="90"/>
              </w:rPr>
              <w:t>(Level 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58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3"/>
        </w:trPr>
        <w:tc>
          <w:tcPr>
            <w:tcW w:w="36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620" w:type="dxa"/>
            <w:vAlign w:val="bottom"/>
          </w:tcPr>
          <w:p>
            <w:pPr>
              <w:spacing w:after="0"/>
              <w:rPr>
                <w:sz w:val="20"/>
                <w:szCs w:val="20"/>
                <w:color w:val="auto"/>
              </w:rPr>
            </w:pPr>
            <w:r>
              <w:rPr>
                <w:rFonts w:ascii="Arial" w:cs="Arial" w:eastAsia="Arial" w:hAnsi="Arial"/>
                <w:sz w:val="16"/>
                <w:szCs w:val="16"/>
                <w:color w:val="auto"/>
              </w:rPr>
              <w:t>Cash and cash equivalents (money market funds)*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Mutual funds**</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109,438</w:t>
            </w:r>
          </w:p>
        </w:tc>
        <w:tc>
          <w:tcPr>
            <w:tcW w:w="0" w:type="dxa"/>
            <w:vAlign w:val="bottom"/>
          </w:tcPr>
          <w:p>
            <w:pPr>
              <w:spacing w:after="0"/>
              <w:rPr>
                <w:sz w:val="1"/>
                <w:szCs w:val="1"/>
                <w:color w:val="auto"/>
              </w:rPr>
            </w:pPr>
          </w:p>
        </w:tc>
      </w:tr>
      <w:tr>
        <w:trPr>
          <w:trHeight w:val="201"/>
        </w:trPr>
        <w:tc>
          <w:tcPr>
            <w:tcW w:w="362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120" w:type="dxa"/>
            <w:vAlign w:val="bottom"/>
          </w:tcPr>
          <w:p>
            <w:pPr>
              <w:spacing w:after="0"/>
              <w:rPr>
                <w:sz w:val="17"/>
                <w:szCs w:val="17"/>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12,930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12,930</w:t>
            </w:r>
          </w:p>
        </w:tc>
        <w:tc>
          <w:tcPr>
            <w:tcW w:w="0" w:type="dxa"/>
            <w:vAlign w:val="bottom"/>
          </w:tcPr>
          <w:p>
            <w:pPr>
              <w:spacing w:after="0"/>
              <w:rPr>
                <w:sz w:val="1"/>
                <w:szCs w:val="1"/>
                <w:color w:val="auto"/>
              </w:rPr>
            </w:pPr>
          </w:p>
        </w:tc>
      </w:tr>
      <w:tr>
        <w:trPr>
          <w:trHeight w:val="219"/>
        </w:trPr>
        <w:tc>
          <w:tcPr>
            <w:tcW w:w="3620" w:type="dxa"/>
            <w:vAlign w:val="bottom"/>
            <w:tcBorders>
              <w:top w:val="single" w:sz="8" w:color="CCEEFF"/>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122,505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3,387</w:t>
            </w:r>
          </w:p>
        </w:tc>
        <w:tc>
          <w:tcPr>
            <w:tcW w:w="0" w:type="dxa"/>
            <w:vAlign w:val="bottom"/>
          </w:tcPr>
          <w:p>
            <w:pPr>
              <w:spacing w:after="0"/>
              <w:rPr>
                <w:sz w:val="1"/>
                <w:szCs w:val="1"/>
                <w:color w:val="auto"/>
              </w:rPr>
            </w:pPr>
          </w:p>
        </w:tc>
      </w:tr>
      <w:tr>
        <w:trPr>
          <w:trHeight w:val="201"/>
        </w:trPr>
        <w:tc>
          <w:tcPr>
            <w:tcW w:w="3620" w:type="dxa"/>
            <w:vAlign w:val="bottom"/>
          </w:tcPr>
          <w:p>
            <w:pPr>
              <w:spacing w:after="0"/>
              <w:rPr>
                <w:sz w:val="20"/>
                <w:szCs w:val="20"/>
                <w:color w:val="auto"/>
              </w:rPr>
            </w:pPr>
            <w:r>
              <w:rPr>
                <w:rFonts w:ascii="Arial" w:cs="Arial" w:eastAsia="Arial" w:hAnsi="Arial"/>
                <w:sz w:val="16"/>
                <w:szCs w:val="16"/>
                <w:color w:val="auto"/>
              </w:rPr>
              <w:t>Contingent consideration***</w:t>
            </w:r>
          </w:p>
        </w:tc>
        <w:tc>
          <w:tcPr>
            <w:tcW w:w="120" w:type="dxa"/>
            <w:vAlign w:val="bottom"/>
          </w:tcPr>
          <w:p>
            <w:pPr>
              <w:spacing w:after="0"/>
              <w:rPr>
                <w:sz w:val="17"/>
                <w:szCs w:val="17"/>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9,000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9,000</w:t>
            </w:r>
          </w:p>
        </w:tc>
        <w:tc>
          <w:tcPr>
            <w:tcW w:w="0" w:type="dxa"/>
            <w:vAlign w:val="bottom"/>
          </w:tcPr>
          <w:p>
            <w:pPr>
              <w:spacing w:after="0"/>
              <w:rPr>
                <w:sz w:val="1"/>
                <w:szCs w:val="1"/>
                <w:color w:val="auto"/>
              </w:rPr>
            </w:pPr>
          </w:p>
        </w:tc>
      </w:tr>
      <w:tr>
        <w:trPr>
          <w:trHeight w:val="219"/>
        </w:trPr>
        <w:tc>
          <w:tcPr>
            <w:tcW w:w="3620" w:type="dxa"/>
            <w:vAlign w:val="bottom"/>
            <w:tcBorders>
              <w:top w:val="single" w:sz="8" w:color="CCEEFF"/>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88"/>
              </w:rPr>
              <w:t>Quoted Prices in</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91"/>
              </w:rPr>
              <w:t>Significant Other</w:t>
            </w:r>
          </w:p>
        </w:tc>
        <w:tc>
          <w:tcPr>
            <w:tcW w:w="16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1"/>
              </w:rPr>
              <w:t>Significant Other</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80" w:type="dxa"/>
            <w:vAlign w:val="bottom"/>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center"/>
              <w:ind w:right="220"/>
              <w:spacing w:after="0" w:line="155" w:lineRule="exact"/>
              <w:rPr>
                <w:sz w:val="20"/>
                <w:szCs w:val="20"/>
                <w:color w:val="auto"/>
              </w:rPr>
            </w:pPr>
            <w:r>
              <w:rPr>
                <w:rFonts w:ascii="Arial" w:cs="Arial" w:eastAsia="Arial" w:hAnsi="Arial"/>
                <w:sz w:val="16"/>
                <w:szCs w:val="16"/>
                <w:b w:val="1"/>
                <w:bCs w:val="1"/>
                <w:color w:val="auto"/>
                <w:w w:val="92"/>
              </w:rPr>
              <w:t>Active Markets for</w:t>
            </w:r>
          </w:p>
        </w:tc>
        <w:tc>
          <w:tcPr>
            <w:tcW w:w="1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center"/>
              <w:ind w:right="220"/>
              <w:spacing w:after="0" w:line="155" w:lineRule="exact"/>
              <w:rPr>
                <w:sz w:val="20"/>
                <w:szCs w:val="20"/>
                <w:color w:val="auto"/>
              </w:rPr>
            </w:pPr>
            <w:r>
              <w:rPr>
                <w:rFonts w:ascii="Arial" w:cs="Arial" w:eastAsia="Arial" w:hAnsi="Arial"/>
                <w:sz w:val="16"/>
                <w:szCs w:val="16"/>
                <w:b w:val="1"/>
                <w:bCs w:val="1"/>
                <w:color w:val="auto"/>
                <w:w w:val="90"/>
              </w:rPr>
              <w:t>Observable Inputs</w:t>
            </w:r>
          </w:p>
        </w:tc>
        <w:tc>
          <w:tcPr>
            <w:tcW w:w="1700" w:type="dxa"/>
            <w:vAlign w:val="bottom"/>
            <w:gridSpan w:val="3"/>
            <w:shd w:val="clear" w:color="auto" w:fill="CCEEFF"/>
          </w:tcPr>
          <w:p>
            <w:pPr>
              <w:jc w:val="center"/>
              <w:ind w:right="80"/>
              <w:spacing w:after="0" w:line="155" w:lineRule="exact"/>
              <w:rPr>
                <w:sz w:val="20"/>
                <w:szCs w:val="20"/>
                <w:color w:val="auto"/>
              </w:rPr>
            </w:pPr>
            <w:r>
              <w:rPr>
                <w:rFonts w:ascii="Arial" w:cs="Arial" w:eastAsia="Arial" w:hAnsi="Arial"/>
                <w:sz w:val="16"/>
                <w:szCs w:val="16"/>
                <w:b w:val="1"/>
                <w:bCs w:val="1"/>
                <w:color w:val="auto"/>
                <w:w w:val="89"/>
              </w:rPr>
              <w:t>Unobservable Inputs</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6"/>
              </w:rPr>
              <w:t>Identical Assets</w:t>
            </w:r>
          </w:p>
        </w:tc>
        <w:tc>
          <w:tcPr>
            <w:tcW w:w="1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80" w:type="dxa"/>
            <w:vAlign w:val="bottom"/>
          </w:tcPr>
          <w:p>
            <w:pPr>
              <w:spacing w:after="0"/>
              <w:rPr>
                <w:sz w:val="13"/>
                <w:szCs w:val="13"/>
                <w:color w:val="auto"/>
              </w:rPr>
            </w:pPr>
          </w:p>
        </w:tc>
        <w:tc>
          <w:tcPr>
            <w:tcW w:w="3620" w:type="dxa"/>
            <w:vAlign w:val="bottom"/>
            <w:gridSpan w:val="2"/>
          </w:tcPr>
          <w:p>
            <w:pPr>
              <w:spacing w:after="0"/>
              <w:rPr>
                <w:sz w:val="20"/>
                <w:szCs w:val="20"/>
                <w:color w:val="auto"/>
              </w:rPr>
            </w:pPr>
            <w:r>
              <w:rPr>
                <w:rFonts w:ascii="Arial" w:cs="Arial" w:eastAsia="Arial" w:hAnsi="Arial"/>
                <w:sz w:val="13"/>
                <w:szCs w:val="13"/>
                <w:b w:val="1"/>
                <w:bCs w:val="1"/>
                <w:color w:val="auto"/>
              </w:rPr>
              <w:t>As of December 31, 2021</w:t>
            </w:r>
          </w:p>
        </w:tc>
        <w:tc>
          <w:tcPr>
            <w:tcW w:w="120" w:type="dxa"/>
            <w:vAlign w:val="bottom"/>
          </w:tcPr>
          <w:p>
            <w:pPr>
              <w:spacing w:after="0"/>
              <w:rPr>
                <w:sz w:val="13"/>
                <w:szCs w:val="13"/>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(Level 1)</w:t>
            </w:r>
          </w:p>
        </w:tc>
        <w:tc>
          <w:tcPr>
            <w:tcW w:w="120" w:type="dxa"/>
            <w:vAlign w:val="bottom"/>
          </w:tcPr>
          <w:p>
            <w:pPr>
              <w:spacing w:after="0"/>
              <w:rPr>
                <w:sz w:val="13"/>
                <w:szCs w:val="13"/>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(Level 2)</w:t>
            </w:r>
          </w:p>
        </w:tc>
        <w:tc>
          <w:tcPr>
            <w:tcW w:w="160" w:type="dxa"/>
            <w:vAlign w:val="bottom"/>
          </w:tcPr>
          <w:p>
            <w:pPr>
              <w:spacing w:after="0"/>
              <w:rPr>
                <w:sz w:val="13"/>
                <w:szCs w:val="13"/>
                <w:color w:val="auto"/>
              </w:rPr>
            </w:pPr>
          </w:p>
        </w:tc>
        <w:tc>
          <w:tcPr>
            <w:tcW w:w="1440" w:type="dxa"/>
            <w:vAlign w:val="bottom"/>
          </w:tcPr>
          <w:p>
            <w:pPr>
              <w:jc w:val="center"/>
              <w:ind w:right="83"/>
              <w:spacing w:after="0"/>
              <w:rPr>
                <w:sz w:val="20"/>
                <w:szCs w:val="20"/>
                <w:color w:val="auto"/>
              </w:rPr>
            </w:pPr>
            <w:r>
              <w:rPr>
                <w:rFonts w:ascii="Arial" w:cs="Arial" w:eastAsia="Arial" w:hAnsi="Arial"/>
                <w:sz w:val="13"/>
                <w:szCs w:val="13"/>
                <w:b w:val="1"/>
                <w:bCs w:val="1"/>
                <w:color w:val="auto"/>
                <w:w w:val="90"/>
              </w:rPr>
              <w:t>(Level 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58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362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3620" w:type="dxa"/>
            <w:vAlign w:val="bottom"/>
            <w:gridSpan w:val="2"/>
          </w:tcPr>
          <w:p>
            <w:pPr>
              <w:spacing w:after="0"/>
              <w:rPr>
                <w:sz w:val="20"/>
                <w:szCs w:val="20"/>
                <w:color w:val="auto"/>
              </w:rPr>
            </w:pPr>
            <w:r>
              <w:rPr>
                <w:rFonts w:ascii="Arial" w:cs="Arial" w:eastAsia="Arial" w:hAnsi="Arial"/>
                <w:sz w:val="16"/>
                <w:szCs w:val="16"/>
                <w:color w:val="auto"/>
              </w:rPr>
              <w:t>Cash and cash equivalents (money market funds)*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5,374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5,374</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Mutual funds**</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127,551</w:t>
            </w: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3620" w:type="dxa"/>
            <w:vAlign w:val="bottom"/>
            <w:gridSpan w:val="2"/>
          </w:tcPr>
          <w:p>
            <w:pPr>
              <w:spacing w:after="0"/>
              <w:rPr>
                <w:sz w:val="20"/>
                <w:szCs w:val="20"/>
                <w:color w:val="auto"/>
              </w:rPr>
            </w:pPr>
            <w:r>
              <w:rPr>
                <w:rFonts w:ascii="Arial" w:cs="Arial" w:eastAsia="Arial" w:hAnsi="Arial"/>
                <w:sz w:val="16"/>
                <w:szCs w:val="16"/>
                <w:color w:val="auto"/>
              </w:rPr>
              <w:t>Derivative financial instruments</w:t>
            </w:r>
          </w:p>
        </w:tc>
        <w:tc>
          <w:tcPr>
            <w:tcW w:w="120" w:type="dxa"/>
            <w:vAlign w:val="bottom"/>
          </w:tcPr>
          <w:p>
            <w:pPr>
              <w:spacing w:after="0"/>
              <w:rPr>
                <w:sz w:val="17"/>
                <w:szCs w:val="17"/>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14,989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14,989</w:t>
            </w:r>
          </w:p>
        </w:tc>
        <w:tc>
          <w:tcPr>
            <w:tcW w:w="0" w:type="dxa"/>
            <w:vAlign w:val="bottom"/>
          </w:tcPr>
          <w:p>
            <w:pPr>
              <w:spacing w:after="0"/>
              <w:rPr>
                <w:sz w:val="1"/>
                <w:szCs w:val="1"/>
                <w:color w:val="auto"/>
              </w:rPr>
            </w:pPr>
          </w:p>
        </w:tc>
      </w:tr>
      <w:tr>
        <w:trPr>
          <w:trHeight w:val="219"/>
        </w:trPr>
        <w:tc>
          <w:tcPr>
            <w:tcW w:w="480" w:type="dxa"/>
            <w:vAlign w:val="bottom"/>
          </w:tcPr>
          <w:p>
            <w:pPr>
              <w:spacing w:after="0"/>
              <w:rPr>
                <w:sz w:val="18"/>
                <w:szCs w:val="18"/>
                <w:color w:val="auto"/>
              </w:rPr>
            </w:pPr>
          </w:p>
        </w:tc>
        <w:tc>
          <w:tcPr>
            <w:tcW w:w="3620" w:type="dxa"/>
            <w:vAlign w:val="bottom"/>
            <w:tcBorders>
              <w:top w:val="single" w:sz="8" w:color="CCEEFF"/>
              <w:bottom w:val="single" w:sz="8" w:color="CCEEFF"/>
            </w:tcBorders>
            <w:gridSpan w:val="2"/>
            <w:shd w:val="clear" w:color="auto" w:fill="CCEEFF"/>
          </w:tcPr>
          <w:p>
            <w:pPr>
              <w:spacing w:after="0" w:line="181" w:lineRule="exact"/>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147,914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80" w:type="dxa"/>
            <w:vAlign w:val="bottom"/>
          </w:tcPr>
          <w:p>
            <w:pPr>
              <w:spacing w:after="0"/>
              <w:rPr>
                <w:sz w:val="12"/>
                <w:szCs w:val="12"/>
                <w:color w:val="auto"/>
              </w:rPr>
            </w:pPr>
          </w:p>
        </w:tc>
        <w:tc>
          <w:tcPr>
            <w:tcW w:w="3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Derivative financial instruments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3,637</w:t>
            </w: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3620" w:type="dxa"/>
            <w:vAlign w:val="bottom"/>
            <w:gridSpan w:val="2"/>
          </w:tcPr>
          <w:p>
            <w:pPr>
              <w:spacing w:after="0"/>
              <w:rPr>
                <w:sz w:val="20"/>
                <w:szCs w:val="20"/>
                <w:color w:val="auto"/>
              </w:rPr>
            </w:pPr>
            <w:r>
              <w:rPr>
                <w:rFonts w:ascii="Arial" w:cs="Arial" w:eastAsia="Arial" w:hAnsi="Arial"/>
                <w:sz w:val="16"/>
                <w:szCs w:val="16"/>
                <w:color w:val="auto"/>
              </w:rPr>
              <w:t>Contingent consideration***</w:t>
            </w:r>
          </w:p>
        </w:tc>
        <w:tc>
          <w:tcPr>
            <w:tcW w:w="120" w:type="dxa"/>
            <w:vAlign w:val="bottom"/>
          </w:tcPr>
          <w:p>
            <w:pPr>
              <w:spacing w:after="0"/>
              <w:rPr>
                <w:sz w:val="17"/>
                <w:szCs w:val="17"/>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9,000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9,000</w:t>
            </w:r>
          </w:p>
        </w:tc>
        <w:tc>
          <w:tcPr>
            <w:tcW w:w="0" w:type="dxa"/>
            <w:vAlign w:val="bottom"/>
          </w:tcPr>
          <w:p>
            <w:pPr>
              <w:spacing w:after="0"/>
              <w:rPr>
                <w:sz w:val="1"/>
                <w:szCs w:val="1"/>
                <w:color w:val="auto"/>
              </w:rPr>
            </w:pPr>
          </w:p>
        </w:tc>
      </w:tr>
      <w:tr>
        <w:trPr>
          <w:trHeight w:val="219"/>
        </w:trPr>
        <w:tc>
          <w:tcPr>
            <w:tcW w:w="480" w:type="dxa"/>
            <w:vAlign w:val="bottom"/>
          </w:tcPr>
          <w:p>
            <w:pPr>
              <w:spacing w:after="0"/>
              <w:rPr>
                <w:sz w:val="18"/>
                <w:szCs w:val="18"/>
                <w:color w:val="auto"/>
              </w:rPr>
            </w:pPr>
          </w:p>
        </w:tc>
        <w:tc>
          <w:tcPr>
            <w:tcW w:w="3620" w:type="dxa"/>
            <w:vAlign w:val="bottom"/>
            <w:tcBorders>
              <w:top w:val="single" w:sz="8" w:color="CCEEFF"/>
              <w:bottom w:val="single" w:sz="8" w:color="CCEEFF"/>
            </w:tcBorders>
            <w:gridSpan w:val="2"/>
            <w:shd w:val="clear" w:color="auto" w:fill="CCEEFF"/>
          </w:tcPr>
          <w:p>
            <w:pPr>
              <w:spacing w:after="0" w:line="181" w:lineRule="exact"/>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12,637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48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Represents money market funds which are carried at the fair value option under ASC 825 “Financial Instruments”.</w:t>
      </w:r>
    </w:p>
    <w:p>
      <w:pPr>
        <w:spacing w:after="0" w:line="208" w:lineRule="exact"/>
        <w:rPr>
          <w:sz w:val="20"/>
          <w:szCs w:val="20"/>
          <w:color w:val="auto"/>
        </w:rPr>
      </w:pPr>
    </w:p>
    <w:p>
      <w:pPr>
        <w:ind w:left="580" w:hanging="193"/>
        <w:spacing w:after="0"/>
        <w:tabs>
          <w:tab w:leader="none" w:pos="58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those short-term investments which are carried at the fair value option under ASC 825 “Financial Instruments”.</w:t>
      </w:r>
    </w:p>
    <w:p>
      <w:pPr>
        <w:spacing w:after="0" w:line="207" w:lineRule="exact"/>
        <w:rPr>
          <w:rFonts w:ascii="Arial" w:cs="Arial" w:eastAsia="Arial" w:hAnsi="Arial"/>
          <w:sz w:val="16"/>
          <w:szCs w:val="16"/>
          <w:i w:val="1"/>
          <w:iCs w:val="1"/>
          <w:color w:val="auto"/>
        </w:rPr>
      </w:pPr>
    </w:p>
    <w:p>
      <w:pPr>
        <w:ind w:firstLine="387"/>
        <w:spacing w:after="0" w:line="254" w:lineRule="auto"/>
        <w:tabs>
          <w:tab w:leader="none" w:pos="708"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Contingent consideration is presented under “Accrued Expenses and Other Current Liabilities” and “Other Non-Current Liabilities,” as applicable, in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 Financial Instruments:</w:t>
      </w:r>
    </w:p>
    <w:p>
      <w:pPr>
        <w:spacing w:after="0" w:line="8" w:lineRule="exact"/>
        <w:rPr>
          <w:sz w:val="20"/>
          <w:szCs w:val="20"/>
          <w:color w:val="auto"/>
        </w:rPr>
      </w:pPr>
    </w:p>
    <w:p>
      <w:pPr>
        <w:ind w:firstLine="356"/>
        <w:spacing w:after="0" w:line="238" w:lineRule="auto"/>
        <w:rPr>
          <w:sz w:val="20"/>
          <w:szCs w:val="20"/>
          <w:color w:val="auto"/>
        </w:rPr>
      </w:pPr>
      <w:r>
        <w:rPr>
          <w:rFonts w:ascii="Arial" w:cs="Arial" w:eastAsia="Arial" w:hAnsi="Arial"/>
          <w:sz w:val="16"/>
          <w:szCs w:val="16"/>
          <w:color w:val="auto"/>
        </w:rPr>
        <w:t>The Company’s derivative financial instruments consist of foreign currency forward exchange contracts. Fair values for derivative financial instruments are based on independent sources including highly rated financial institutions and are classified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as Level 2. Refer to Note 16 - Derivatives and Hedge Accounting to the unaudited consolidated financial statements for further details.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Contingent Consideration:</w:t>
      </w:r>
    </w:p>
    <w:p>
      <w:pPr>
        <w:spacing w:after="0" w:line="8" w:lineRule="exact"/>
        <w:rPr>
          <w:sz w:val="20"/>
          <w:szCs w:val="20"/>
          <w:color w:val="auto"/>
        </w:rPr>
      </w:pPr>
    </w:p>
    <w:p>
      <w:pPr>
        <w:jc w:val="both"/>
        <w:ind w:firstLine="356"/>
        <w:spacing w:after="0" w:line="235" w:lineRule="auto"/>
        <w:rPr>
          <w:sz w:val="20"/>
          <w:szCs w:val="20"/>
          <w:color w:val="auto"/>
        </w:rPr>
      </w:pPr>
      <w:r>
        <w:rPr>
          <w:rFonts w:ascii="Arial" w:cs="Arial" w:eastAsia="Arial" w:hAnsi="Arial"/>
          <w:sz w:val="16"/>
          <w:szCs w:val="16"/>
          <w:color w:val="auto"/>
        </w:rPr>
        <w:t>The fair value measurement of contingent consideration is determined using Level 3 inputs. The Company’s contingent consideration represents a component of the total purchase consideration for its acquisition of Clairvoyant. The measurement is calculated using unobservable inputs based on the Company’s own assessment of achievement of certain performance goals by Clairvoyant during 2022 and 2023 calendar years. The Company estimated the fair value of the contingent consideration to be $9,000, based on Monte Carlo simulation model and scenario-based method.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Instruments Not Carried at Fair Value</w:t>
      </w:r>
      <w:r>
        <w:rPr>
          <w:rFonts w:ascii="Arial" w:cs="Arial" w:eastAsia="Arial" w:hAnsi="Arial"/>
          <w:sz w:val="16"/>
          <w:szCs w:val="16"/>
          <w:color w:val="auto"/>
        </w:rPr>
        <w:t>:</w:t>
      </w:r>
    </w:p>
    <w:p>
      <w:pPr>
        <w:spacing w:after="0" w:line="8" w:lineRule="exact"/>
        <w:rPr>
          <w:sz w:val="20"/>
          <w:szCs w:val="20"/>
          <w:color w:val="auto"/>
        </w:rPr>
      </w:pPr>
    </w:p>
    <w:p>
      <w:pPr>
        <w:jc w:val="both"/>
        <w:ind w:firstLine="356"/>
        <w:spacing w:after="0" w:line="243" w:lineRule="auto"/>
        <w:rPr>
          <w:sz w:val="20"/>
          <w:szCs w:val="20"/>
          <w:color w:val="auto"/>
        </w:rPr>
      </w:pPr>
      <w:r>
        <w:rPr>
          <w:rFonts w:ascii="Arial" w:cs="Arial" w:eastAsia="Arial" w:hAnsi="Arial"/>
          <w:sz w:val="14"/>
          <w:szCs w:val="14"/>
          <w:color w:val="auto"/>
        </w:rPr>
        <w:t>The Company’s other financial instruments not carried at fair value consist primarily of cash and cash equivalents (except investments in money market funds, as disclosed above), short-term investments (except investments in mutual funds, as disclosed above), restricted cash, accrued interest on term deposits, accrued capital expenditures, accrued expenses and interest payable on borrowings for which fair values approximate their carrying amounts due to their short-term nature. The carrying value of the Company’s outstanding revolving credit facility approximates its fair value because the Company’s interest rate yield is near current market rates for comparable debt instruments.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Derivatives and Hedge Accounting</w:t>
      </w:r>
    </w:p>
    <w:p>
      <w:pPr>
        <w:spacing w:after="0" w:line="224" w:lineRule="exact"/>
        <w:rPr>
          <w:sz w:val="20"/>
          <w:szCs w:val="20"/>
          <w:color w:val="auto"/>
        </w:rPr>
      </w:pPr>
    </w:p>
    <w:p>
      <w:pPr>
        <w:jc w:val="both"/>
        <w:ind w:firstLine="356"/>
        <w:spacing w:after="0" w:line="277" w:lineRule="auto"/>
        <w:rPr>
          <w:sz w:val="20"/>
          <w:szCs w:val="20"/>
          <w:color w:val="auto"/>
        </w:rPr>
      </w:pPr>
      <w:r>
        <w:rPr>
          <w:rFonts w:ascii="Arial" w:cs="Arial" w:eastAsia="Arial" w:hAnsi="Arial"/>
          <w:sz w:val="15"/>
          <w:szCs w:val="15"/>
          <w:color w:val="auto"/>
        </w:rPr>
        <w:t>The Company uses derivative instruments and hedging transactions to mitigate exposure to foreign currency fluctuation risks associated with forecasted transactions denominated in certain foreign currencies so as to minimize earnings and cash flow volatility associated with changes in foreign currency exchange rates. The Company’s derivative financial instruments are largely forward foreign exchange contracts that are designated as effective hedges and that qualify as cash flow hedges under ASC 815. The Company had outstanding cash flow hedges totaling $566,940 as of March 31, 2022 and $514,580 as of December 31, 2021.</w:t>
      </w:r>
    </w:p>
    <w:p>
      <w:pPr>
        <w:spacing w:after="0" w:line="177" w:lineRule="exact"/>
        <w:rPr>
          <w:sz w:val="20"/>
          <w:szCs w:val="20"/>
          <w:color w:val="auto"/>
        </w:rPr>
      </w:pPr>
    </w:p>
    <w:p>
      <w:pPr>
        <w:jc w:val="both"/>
        <w:ind w:right="20" w:firstLine="356"/>
        <w:spacing w:after="0" w:line="239" w:lineRule="auto"/>
        <w:rPr>
          <w:sz w:val="20"/>
          <w:szCs w:val="20"/>
          <w:color w:val="auto"/>
        </w:rPr>
      </w:pPr>
      <w:r>
        <w:rPr>
          <w:rFonts w:ascii="Arial" w:cs="Arial" w:eastAsia="Arial" w:hAnsi="Arial"/>
          <w:sz w:val="16"/>
          <w:szCs w:val="16"/>
          <w:color w:val="auto"/>
        </w:rPr>
        <w:t>Changes in the fair value of these cash flow hedges are recorded as a component of accumulated other comprehensive income/(loss), net of tax, until the hedged transactions occurs. The resultant foreign exchange gain/(loss) upon settlement of these cash flow hedges is recorded along with the underlying hedged item in the same line of unaudited consolidated statements of income as a part of “Cost of revenues,” “General and administrative expenses,” “Selling and marketing expenses,” and “Depreciation and amortization expense,” as applicable.</w:t>
      </w:r>
    </w:p>
    <w:p>
      <w:pPr>
        <w:spacing w:after="0" w:line="193" w:lineRule="exact"/>
        <w:rPr>
          <w:sz w:val="20"/>
          <w:szCs w:val="20"/>
          <w:color w:val="auto"/>
        </w:rPr>
      </w:pPr>
    </w:p>
    <w:p>
      <w:pPr>
        <w:jc w:val="both"/>
        <w:ind w:right="20" w:firstLine="356"/>
        <w:spacing w:after="0" w:line="342" w:lineRule="auto"/>
        <w:rPr>
          <w:sz w:val="20"/>
          <w:szCs w:val="20"/>
          <w:color w:val="auto"/>
        </w:rPr>
      </w:pPr>
      <w:r>
        <w:rPr>
          <w:rFonts w:ascii="Arial" w:cs="Arial" w:eastAsia="Arial" w:hAnsi="Arial"/>
          <w:sz w:val="14"/>
          <w:szCs w:val="14"/>
          <w:color w:val="auto"/>
        </w:rPr>
        <w:t>The Company evaluates hedge effectiveness at the time a contract is entered into as well as on an ongoing basis. For hedging positions that are discontinued because the forecasted transaction is not expected to occur by the end of the originally specified period, any related amounts recorded in equity are reclassified to earnings.</w:t>
      </w:r>
    </w:p>
    <w:p>
      <w:pPr>
        <w:spacing w:after="0" w:line="135" w:lineRule="exact"/>
        <w:rPr>
          <w:sz w:val="20"/>
          <w:szCs w:val="20"/>
          <w:color w:val="auto"/>
        </w:rPr>
      </w:pPr>
    </w:p>
    <w:p>
      <w:pPr>
        <w:jc w:val="both"/>
        <w:ind w:right="20" w:firstLine="356"/>
        <w:spacing w:after="0" w:line="243" w:lineRule="auto"/>
        <w:rPr>
          <w:sz w:val="20"/>
          <w:szCs w:val="20"/>
          <w:color w:val="auto"/>
        </w:rPr>
      </w:pPr>
      <w:r>
        <w:rPr>
          <w:rFonts w:ascii="Arial" w:cs="Arial" w:eastAsia="Arial" w:hAnsi="Arial"/>
          <w:sz w:val="16"/>
          <w:szCs w:val="16"/>
          <w:color w:val="auto"/>
        </w:rPr>
        <w:t>The Company estimates that approximately $5,443 of derivative gains, net, excluding tax effects, included in AOCI, representing changes in the value of cash flow hedges, could be reclassified into earnings within the next twelve months based on exchange rates prevailing as of March 31, 2022. At March 31, 2022, the maximum outstanding term of the cash flow hedges was approximately 39 months.</w:t>
      </w:r>
    </w:p>
    <w:p>
      <w:pPr>
        <w:spacing w:after="0" w:line="189" w:lineRule="exact"/>
        <w:rPr>
          <w:sz w:val="20"/>
          <w:szCs w:val="20"/>
          <w:color w:val="auto"/>
        </w:rPr>
      </w:pPr>
    </w:p>
    <w:p>
      <w:pPr>
        <w:jc w:val="both"/>
        <w:ind w:firstLine="356"/>
        <w:spacing w:after="0" w:line="254" w:lineRule="auto"/>
        <w:rPr>
          <w:sz w:val="20"/>
          <w:szCs w:val="20"/>
          <w:color w:val="auto"/>
        </w:rPr>
      </w:pPr>
      <w:r>
        <w:rPr>
          <w:rFonts w:ascii="Arial" w:cs="Arial" w:eastAsia="Arial" w:hAnsi="Arial"/>
          <w:sz w:val="15"/>
          <w:szCs w:val="15"/>
          <w:color w:val="auto"/>
        </w:rPr>
        <w:t>The Company also enters into foreign currency forward contracts to economically hedge its intercompany balances and other monetary assets and liabilities denominated in currencies other than functional currencies, against the risk of foreign currency fluctuations associated with remeasurement of such assets and liabilities to functional currency. These derivatives do not qualify as fair value hedges under ASC 815. Changes in the fair value of these derivatives are recognized in the unaudited consolidated statements of income and are included in the foreign exchange gain/(loss) line item. The Company’s primary exchange rate exposure is with the Indian rupee, the U.K. pound sterling (GBP) and the Philippine peso. The Company also has exposure to Colombian pesos (COP), Czech koruna, the Euro (EUR), South African ZAR, the Australian dollar (AUD) and other local currencies in which it operates. Outstanding foreign currency forward contracts amounted to USD 163,442, GBP 7,948 and EUR 1,630 as of March 31, 2022 and USD 134,612, GBP 6,763, EUR 1,343 and COP 2,541,902 as of December 31, 2021.</w:t>
      </w:r>
    </w:p>
    <w:p>
      <w:pPr>
        <w:spacing w:after="0" w:line="183" w:lineRule="exact"/>
        <w:rPr>
          <w:sz w:val="20"/>
          <w:szCs w:val="20"/>
          <w:color w:val="auto"/>
        </w:rPr>
      </w:pPr>
    </w:p>
    <w:p>
      <w:pPr>
        <w:jc w:val="both"/>
        <w:ind w:firstLine="356"/>
        <w:spacing w:after="0" w:line="254" w:lineRule="auto"/>
        <w:rPr>
          <w:sz w:val="20"/>
          <w:szCs w:val="20"/>
          <w:color w:val="auto"/>
        </w:rPr>
      </w:pPr>
      <w:r>
        <w:rPr>
          <w:rFonts w:ascii="Arial" w:cs="Arial" w:eastAsia="Arial" w:hAnsi="Arial"/>
          <w:sz w:val="16"/>
          <w:szCs w:val="16"/>
          <w:color w:val="auto"/>
        </w:rPr>
        <w:t>The Company uses forward contracts designated as net investment hedges to hedge the foreign currency risks related to our investments in foreign subsidiaries. Gains and losses on these net investment hedges are recognized in AOCI as part of foreign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5" w:name="page26"/>
    <w:bookmarkEnd w:id="2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356"/>
        <w:spacing w:after="0" w:line="285" w:lineRule="auto"/>
        <w:rPr>
          <w:sz w:val="20"/>
          <w:szCs w:val="20"/>
          <w:color w:val="auto"/>
        </w:rPr>
      </w:pPr>
      <w:r>
        <w:rPr>
          <w:rFonts w:ascii="Arial" w:cs="Arial" w:eastAsia="Arial" w:hAnsi="Arial"/>
          <w:sz w:val="14"/>
          <w:szCs w:val="14"/>
          <w:color w:val="auto"/>
        </w:rPr>
        <w:t>All of the assets and liabilities related to our foreign exchange forward contracts are subject to master netting arrangements with each individual counterparty. These master netting arrangements generally provide for net settlement of all outstanding contracts with the counterparty in the case of an event of default or a termination event. We have presented all of the assets and liabilities related to our foreign exchange forward contracts on a gross basis, with no offsets, in our unaudited consolidated statements of financial position. There is no financial collateral (including cash collateral) provided or received by us related to our foreign exchange forward contracts.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tables set forth the fair value of the foreign currency exchange contracts and their location on the unaudited consolidated financial statements:</w:t>
      </w:r>
    </w:p>
    <w:p>
      <w:pPr>
        <w:sectPr>
          <w:pgSz w:w="11900" w:h="16838" w:orient="portrait"/>
          <w:cols w:equalWidth="0" w:num="1">
            <w:col w:w="11260"/>
          </w:cols>
          <w:pgMar w:left="320" w:top="123" w:right="319" w:bottom="1440" w:gutter="0" w:footer="0" w:header="0"/>
        </w:sectPr>
      </w:pPr>
    </w:p>
    <w:p>
      <w:pPr>
        <w:spacing w:after="0" w:line="32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Derivatives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33020</wp:posOffset>
            </wp:positionV>
            <wp:extent cx="377063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70630" cy="7620"/>
                    </a:xfrm>
                    <a:prstGeom prst="rect">
                      <a:avLst/>
                    </a:prstGeom>
                    <a:noFill/>
                  </pic:spPr>
                </pic:pic>
              </a:graphicData>
            </a:graphic>
          </wp:anchor>
        </w:drawing>
      </w:r>
    </w:p>
    <w:p>
      <w:pPr>
        <w:spacing w:after="0" w:line="44"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Foreign currency exchange contracts</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18415</wp:posOffset>
            </wp:positionV>
            <wp:extent cx="262445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24455" cy="7620"/>
                    </a:xfrm>
                    <a:prstGeom prst="rect">
                      <a:avLst/>
                    </a:prstGeom>
                    <a:noFill/>
                  </pic:spPr>
                </pic:pic>
              </a:graphicData>
            </a:graphic>
          </wp:anchor>
        </w:drawing>
      </w:r>
    </w:p>
    <w:p>
      <w:pPr>
        <w:spacing w:after="0" w:line="21" w:lineRule="exact"/>
        <w:rPr>
          <w:sz w:val="20"/>
          <w:szCs w:val="20"/>
          <w:color w:val="auto"/>
        </w:rPr>
      </w:pPr>
    </w:p>
    <w:p>
      <w:pPr>
        <w:spacing w:after="0"/>
        <w:tabs>
          <w:tab w:leader="none" w:pos="2000" w:val="left"/>
        </w:tabs>
        <w:rPr>
          <w:sz w:val="20"/>
          <w:szCs w:val="20"/>
          <w:color w:val="auto"/>
        </w:rPr>
      </w:pPr>
      <w:r>
        <w:rPr>
          <w:rFonts w:ascii="Arial" w:cs="Arial" w:eastAsia="Arial" w:hAnsi="Arial"/>
          <w:sz w:val="14"/>
          <w:szCs w:val="14"/>
          <w:b w:val="1"/>
          <w:bCs w:val="1"/>
          <w:color w:val="auto"/>
        </w:rPr>
        <w:t>March 31, 2022</w:t>
      </w:r>
      <w:r>
        <w:rPr>
          <w:sz w:val="20"/>
          <w:szCs w:val="20"/>
          <w:color w:val="auto"/>
        </w:rPr>
        <w:tab/>
      </w:r>
      <w:r>
        <w:rPr>
          <w:rFonts w:ascii="Arial" w:cs="Arial" w:eastAsia="Arial" w:hAnsi="Arial"/>
          <w:sz w:val="12"/>
          <w:szCs w:val="12"/>
          <w:b w:val="1"/>
          <w:bCs w:val="1"/>
          <w:color w:val="auto"/>
        </w:rPr>
        <w:t>December 31, 2021</w:t>
      </w:r>
    </w:p>
    <w:p>
      <w:pPr>
        <w:spacing w:after="0" w:line="24" w:lineRule="exact"/>
        <w:rPr>
          <w:sz w:val="20"/>
          <w:szCs w:val="20"/>
          <w:color w:val="auto"/>
        </w:rPr>
      </w:pPr>
    </w:p>
    <w:p>
      <w:pPr>
        <w:sectPr>
          <w:pgSz w:w="11900" w:h="16838" w:orient="portrait"/>
          <w:cols w:equalWidth="0" w:num="2">
            <w:col w:w="6340" w:space="720"/>
            <w:col w:w="4200"/>
          </w:cols>
          <w:pgMar w:left="320" w:top="123" w:right="319" w:bottom="1440" w:gutter="0" w:footer="0" w:header="0"/>
          <w:type w:val="continuous"/>
        </w:sectPr>
      </w:pPr>
    </w:p>
    <w:tbl>
      <w:tblPr>
        <w:tblLayout w:type="fixed"/>
        <w:tblInd w:w="540" w:type="dxa"/>
        <w:tblCellMar>
          <w:top w:w="0" w:type="dxa"/>
          <w:left w:w="0" w:type="dxa"/>
          <w:bottom w:w="0" w:type="dxa"/>
          <w:right w:w="0" w:type="dxa"/>
        </w:tblCellMar>
      </w:tblPr>
      <w:tr>
        <w:trPr>
          <w:trHeight w:val="199"/>
        </w:trPr>
        <w:tc>
          <w:tcPr>
            <w:tcW w:w="5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7,198</w:t>
            </w: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8,669</w:t>
            </w:r>
          </w:p>
        </w:tc>
      </w:tr>
      <w:tr>
        <w:trPr>
          <w:trHeight w:val="201"/>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Other assets</w:t>
            </w:r>
          </w:p>
        </w:tc>
        <w:tc>
          <w:tcPr>
            <w:tcW w:w="780" w:type="dxa"/>
            <w:vAlign w:val="bottom"/>
          </w:tcPr>
          <w:p>
            <w:pPr>
              <w:jc w:val="right"/>
              <w:ind w:right="60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5,531</w:t>
            </w:r>
          </w:p>
        </w:tc>
        <w:tc>
          <w:tcPr>
            <w:tcW w:w="120" w:type="dxa"/>
            <w:vAlign w:val="bottom"/>
          </w:tcPr>
          <w:p>
            <w:pPr>
              <w:spacing w:after="0"/>
              <w:rPr>
                <w:sz w:val="17"/>
                <w:szCs w:val="17"/>
                <w:color w:val="auto"/>
              </w:rPr>
            </w:pP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6,307</w:t>
            </w:r>
          </w:p>
        </w:tc>
      </w:tr>
      <w:tr>
        <w:trPr>
          <w:trHeight w:val="202"/>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780" w:type="dxa"/>
            <w:vAlign w:val="bottom"/>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1,324</w:t>
            </w:r>
          </w:p>
        </w:tc>
      </w:tr>
      <w:tr>
        <w:trPr>
          <w:trHeight w:val="201"/>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Other non-current liabilities</w:t>
            </w:r>
          </w:p>
        </w:tc>
        <w:tc>
          <w:tcPr>
            <w:tcW w:w="780" w:type="dxa"/>
            <w:vAlign w:val="bottom"/>
          </w:tcPr>
          <w:p>
            <w:pPr>
              <w:jc w:val="right"/>
              <w:ind w:right="60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1,613</w:t>
            </w:r>
          </w:p>
        </w:tc>
        <w:tc>
          <w:tcPr>
            <w:tcW w:w="120" w:type="dxa"/>
            <w:vAlign w:val="bottom"/>
          </w:tcPr>
          <w:p>
            <w:pPr>
              <w:spacing w:after="0"/>
              <w:rPr>
                <w:sz w:val="17"/>
                <w:szCs w:val="17"/>
                <w:color w:val="auto"/>
              </w:rPr>
            </w:pP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1,785</w:t>
            </w:r>
          </w:p>
        </w:tc>
      </w:tr>
      <w:tr>
        <w:trPr>
          <w:trHeight w:val="238"/>
        </w:trPr>
        <w:tc>
          <w:tcPr>
            <w:tcW w:w="5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60"/>
          </w:cols>
          <w:pgMar w:left="320" w:top="123" w:right="319" w:bottom="1440" w:gutter="0" w:footer="0" w:header="0"/>
          <w:type w:val="continuous"/>
        </w:sectPr>
      </w:pPr>
    </w:p>
    <w:p>
      <w:pPr>
        <w:ind w:left="560"/>
        <w:spacing w:after="0"/>
        <w:rPr>
          <w:sz w:val="20"/>
          <w:szCs w:val="20"/>
          <w:color w:val="auto"/>
        </w:rPr>
      </w:pPr>
      <w:r>
        <w:rPr>
          <w:rFonts w:ascii="Arial" w:cs="Arial" w:eastAsia="Arial" w:hAnsi="Arial"/>
          <w:sz w:val="12"/>
          <w:szCs w:val="12"/>
          <w:b w:val="1"/>
          <w:bCs w:val="1"/>
          <w:color w:val="auto"/>
        </w:rPr>
        <w:t>Derivatives not designated as hedging instruments: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Foreign currency exchange contracts</w:t>
      </w:r>
    </w:p>
    <w:p>
      <w:pPr>
        <w:spacing w:after="0" w:line="20" w:lineRule="exact"/>
        <w:rPr>
          <w:sz w:val="20"/>
          <w:szCs w:val="20"/>
          <w:color w:val="auto"/>
        </w:rPr>
      </w:pPr>
      <w:r>
        <w:rPr>
          <w:sz w:val="20"/>
          <w:szCs w:val="20"/>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18415</wp:posOffset>
            </wp:positionV>
            <wp:extent cx="6462395" cy="128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62395" cy="128270"/>
                    </a:xfrm>
                    <a:prstGeom prst="rect">
                      <a:avLst/>
                    </a:prstGeom>
                    <a:noFill/>
                  </pic:spPr>
                </pic:pic>
              </a:graphicData>
            </a:graphic>
          </wp:anchor>
        </w:drawing>
      </w:r>
    </w:p>
    <w:p>
      <w:pPr>
        <w:spacing w:after="0" w:line="20" w:lineRule="exact"/>
        <w:rPr>
          <w:sz w:val="20"/>
          <w:szCs w:val="20"/>
          <w:color w:val="auto"/>
        </w:rPr>
      </w:pPr>
    </w:p>
    <w:p>
      <w:pPr>
        <w:spacing w:after="0"/>
        <w:tabs>
          <w:tab w:leader="none" w:pos="2000" w:val="left"/>
        </w:tabs>
        <w:rPr>
          <w:sz w:val="20"/>
          <w:szCs w:val="20"/>
          <w:color w:val="auto"/>
        </w:rPr>
      </w:pPr>
      <w:r>
        <w:rPr>
          <w:rFonts w:ascii="Arial" w:cs="Arial" w:eastAsia="Arial" w:hAnsi="Arial"/>
          <w:sz w:val="14"/>
          <w:szCs w:val="14"/>
          <w:b w:val="1"/>
          <w:bCs w:val="1"/>
          <w:color w:val="auto"/>
        </w:rPr>
        <w:t>March 31, 2022</w:t>
      </w:r>
      <w:r>
        <w:rPr>
          <w:sz w:val="20"/>
          <w:szCs w:val="20"/>
          <w:color w:val="auto"/>
        </w:rPr>
        <w:tab/>
      </w:r>
      <w:r>
        <w:rPr>
          <w:rFonts w:ascii="Arial" w:cs="Arial" w:eastAsia="Arial" w:hAnsi="Arial"/>
          <w:sz w:val="12"/>
          <w:szCs w:val="12"/>
          <w:b w:val="1"/>
          <w:bCs w:val="1"/>
          <w:color w:val="auto"/>
        </w:rPr>
        <w:t>December 31, 2021</w:t>
      </w:r>
    </w:p>
    <w:p>
      <w:pPr>
        <w:spacing w:after="0" w:line="24" w:lineRule="exact"/>
        <w:rPr>
          <w:sz w:val="20"/>
          <w:szCs w:val="20"/>
          <w:color w:val="auto"/>
        </w:rPr>
      </w:pPr>
    </w:p>
    <w:p>
      <w:pPr>
        <w:sectPr>
          <w:pgSz w:w="11900" w:h="16838" w:orient="portrait"/>
          <w:cols w:equalWidth="0" w:num="2">
            <w:col w:w="6340" w:space="720"/>
            <w:col w:w="4200"/>
          </w:cols>
          <w:pgMar w:left="320" w:top="123" w:right="319" w:bottom="1440" w:gutter="0" w:footer="0" w:header="0"/>
          <w:type w:val="continuous"/>
        </w:sectPr>
      </w:pPr>
    </w:p>
    <w:tbl>
      <w:tblPr>
        <w:tblLayout w:type="fixed"/>
        <w:tblInd w:w="540" w:type="dxa"/>
        <w:tblCellMar>
          <w:top w:w="0" w:type="dxa"/>
          <w:left w:w="0" w:type="dxa"/>
          <w:bottom w:w="0" w:type="dxa"/>
          <w:right w:w="0" w:type="dxa"/>
        </w:tblCellMar>
      </w:tblPr>
      <w:tr>
        <w:trPr>
          <w:trHeight w:val="199"/>
        </w:trPr>
        <w:tc>
          <w:tcPr>
            <w:tcW w:w="59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current assets</w:t>
            </w: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ind w:right="661"/>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7"/>
                <w:szCs w:val="17"/>
                <w:color w:val="auto"/>
              </w:rPr>
            </w:pPr>
          </w:p>
        </w:tc>
        <w:tc>
          <w:tcPr>
            <w:tcW w:w="940" w:type="dxa"/>
            <w:vAlign w:val="bottom"/>
            <w:tcBorders>
              <w:top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13</w:t>
            </w:r>
          </w:p>
        </w:tc>
      </w:tr>
      <w:tr>
        <w:trPr>
          <w:trHeight w:val="202"/>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528</w:t>
            </w:r>
          </w:p>
        </w:tc>
      </w:tr>
    </w:tbl>
    <w:p>
      <w:pPr>
        <w:spacing w:after="0" w:line="272" w:lineRule="exact"/>
        <w:rPr>
          <w:sz w:val="20"/>
          <w:szCs w:val="20"/>
          <w:color w:val="auto"/>
        </w:rPr>
      </w:pPr>
    </w:p>
    <w:p>
      <w:pPr>
        <w:jc w:val="both"/>
        <w:ind w:right="600" w:firstLine="356"/>
        <w:spacing w:after="0" w:line="270" w:lineRule="auto"/>
        <w:rPr>
          <w:sz w:val="20"/>
          <w:szCs w:val="20"/>
          <w:color w:val="auto"/>
        </w:rPr>
      </w:pPr>
      <w:r>
        <w:rPr>
          <w:rFonts w:ascii="Arial" w:cs="Arial" w:eastAsia="Arial" w:hAnsi="Arial"/>
          <w:sz w:val="16"/>
          <w:szCs w:val="16"/>
          <w:color w:val="auto"/>
        </w:rPr>
        <w:t>The following tables set forth the effect of foreign currency exchange contracts on accumulated other comprehensive income/(loss) and the unaudited consolidated statements of income for the three months ended March 31, 2022 and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 March 31,</w:t>
            </w:r>
          </w:p>
        </w:tc>
      </w:tr>
      <w:tr>
        <w:trPr>
          <w:trHeight w:val="182"/>
        </w:trPr>
        <w:tc>
          <w:tcPr>
            <w:tcW w:w="320" w:type="dxa"/>
            <w:vAlign w:val="bottom"/>
          </w:tcPr>
          <w:p>
            <w:pPr>
              <w:spacing w:after="0"/>
              <w:rPr>
                <w:sz w:val="15"/>
                <w:szCs w:val="15"/>
                <w:color w:val="auto"/>
              </w:rPr>
            </w:pPr>
          </w:p>
        </w:tc>
        <w:tc>
          <w:tcPr>
            <w:tcW w:w="5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Forward Exchange Contracts:</w:t>
            </w:r>
          </w:p>
        </w:tc>
        <w:tc>
          <w:tcPr>
            <w:tcW w:w="234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5"/>
                <w:szCs w:val="15"/>
                <w:color w:val="auto"/>
              </w:rPr>
            </w:pPr>
          </w:p>
        </w:tc>
      </w:tr>
      <w:tr>
        <w:trPr>
          <w:trHeight w:val="184"/>
        </w:trPr>
        <w:tc>
          <w:tcPr>
            <w:tcW w:w="320" w:type="dxa"/>
            <w:vAlign w:val="bottom"/>
          </w:tcPr>
          <w:p>
            <w:pPr>
              <w:spacing w:after="0"/>
              <w:rPr>
                <w:sz w:val="16"/>
                <w:szCs w:val="16"/>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Unrealized gain/(loss) recognized in AOCI</w:t>
            </w:r>
          </w:p>
        </w:tc>
        <w:tc>
          <w:tcPr>
            <w:tcW w:w="2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40" w:type="dxa"/>
            <w:vAlign w:val="bottom"/>
          </w:tcPr>
          <w:p>
            <w:pPr>
              <w:spacing w:after="0"/>
              <w:rPr>
                <w:sz w:val="16"/>
                <w:szCs w:val="16"/>
                <w:color w:val="auto"/>
              </w:rPr>
            </w:pPr>
          </w:p>
        </w:tc>
      </w:tr>
      <w:tr>
        <w:trPr>
          <w:trHeight w:val="201"/>
        </w:trPr>
        <w:tc>
          <w:tcPr>
            <w:tcW w:w="320" w:type="dxa"/>
            <w:vAlign w:val="bottom"/>
          </w:tcPr>
          <w:p>
            <w:pPr>
              <w:spacing w:after="0"/>
              <w:rPr>
                <w:sz w:val="17"/>
                <w:szCs w:val="17"/>
                <w:color w:val="auto"/>
              </w:rPr>
            </w:pPr>
          </w:p>
        </w:tc>
        <w:tc>
          <w:tcPr>
            <w:tcW w:w="5000" w:type="dxa"/>
            <w:vAlign w:val="bottom"/>
          </w:tcPr>
          <w:p>
            <w:pPr>
              <w:ind w:left="20"/>
              <w:spacing w:after="0"/>
              <w:rPr>
                <w:sz w:val="20"/>
                <w:szCs w:val="20"/>
                <w:color w:val="auto"/>
              </w:rPr>
            </w:pPr>
            <w:r>
              <w:rPr>
                <w:rFonts w:ascii="Arial" w:cs="Arial" w:eastAsia="Arial" w:hAnsi="Arial"/>
                <w:sz w:val="16"/>
                <w:szCs w:val="16"/>
                <w:color w:val="auto"/>
              </w:rPr>
              <w:t>Derivatives in cash flow hedging relationships</w:t>
            </w:r>
          </w:p>
        </w:tc>
        <w:tc>
          <w:tcPr>
            <w:tcW w:w="28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568</w:t>
            </w:r>
          </w:p>
        </w:tc>
        <w:tc>
          <w:tcPr>
            <w:tcW w:w="340" w:type="dxa"/>
            <w:vAlign w:val="bottom"/>
          </w:tcPr>
          <w:p>
            <w:pPr>
              <w:spacing w:after="0"/>
              <w:rPr>
                <w:sz w:val="17"/>
                <w:szCs w:val="17"/>
                <w:color w:val="auto"/>
              </w:rPr>
            </w:pPr>
          </w:p>
        </w:tc>
      </w:tr>
      <w:tr>
        <w:trPr>
          <w:trHeight w:val="202"/>
        </w:trPr>
        <w:tc>
          <w:tcPr>
            <w:tcW w:w="320" w:type="dxa"/>
            <w:vAlign w:val="bottom"/>
          </w:tcPr>
          <w:p>
            <w:pPr>
              <w:spacing w:after="0"/>
              <w:rPr>
                <w:sz w:val="17"/>
                <w:szCs w:val="17"/>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1"/>
              </w:rPr>
              <w:t>Gain/(loss) recognized in unaudited consolidated statements of income</w:t>
            </w:r>
          </w:p>
        </w:tc>
        <w:tc>
          <w:tcPr>
            <w:tcW w:w="2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r>
      <w:tr>
        <w:trPr>
          <w:trHeight w:val="201"/>
        </w:trPr>
        <w:tc>
          <w:tcPr>
            <w:tcW w:w="320" w:type="dxa"/>
            <w:vAlign w:val="bottom"/>
          </w:tcPr>
          <w:p>
            <w:pPr>
              <w:spacing w:after="0"/>
              <w:rPr>
                <w:sz w:val="17"/>
                <w:szCs w:val="17"/>
                <w:color w:val="auto"/>
              </w:rPr>
            </w:pPr>
          </w:p>
        </w:tc>
        <w:tc>
          <w:tcPr>
            <w:tcW w:w="5000" w:type="dxa"/>
            <w:vAlign w:val="bottom"/>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28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215</w:t>
            </w:r>
          </w:p>
        </w:tc>
        <w:tc>
          <w:tcPr>
            <w:tcW w:w="340" w:type="dxa"/>
            <w:vAlign w:val="bottom"/>
          </w:tcPr>
          <w:p>
            <w:pPr>
              <w:spacing w:after="0"/>
              <w:rPr>
                <w:sz w:val="17"/>
                <w:szCs w:val="17"/>
                <w:color w:val="auto"/>
              </w:rPr>
            </w:pPr>
          </w:p>
        </w:tc>
      </w:tr>
      <w:tr>
        <w:trPr>
          <w:trHeight w:val="795"/>
        </w:trPr>
        <w:tc>
          <w:tcPr>
            <w:tcW w:w="3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340" w:type="dxa"/>
            <w:vAlign w:val="bottom"/>
          </w:tcPr>
          <w:p>
            <w:pPr>
              <w:jc w:val="right"/>
              <w:ind w:right="1881"/>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00"/>
        </w:trPr>
        <w:tc>
          <w:tcPr>
            <w:tcW w:w="320" w:type="dxa"/>
            <w:vAlign w:val="bottom"/>
            <w:tcBorders>
              <w:bottom w:val="single" w:sz="8" w:color="9A9A9A"/>
            </w:tcBorders>
          </w:tcPr>
          <w:p>
            <w:pPr>
              <w:spacing w:after="0"/>
              <w:rPr>
                <w:sz w:val="8"/>
                <w:szCs w:val="8"/>
                <w:color w:val="auto"/>
              </w:rPr>
            </w:pPr>
          </w:p>
        </w:tc>
        <w:tc>
          <w:tcPr>
            <w:tcW w:w="500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26" w:name="page27"/>
    <w:bookmarkEnd w:id="2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00" w:right="700"/>
        <w:spacing w:after="0" w:line="242" w:lineRule="auto"/>
        <w:rPr>
          <w:sz w:val="20"/>
          <w:szCs w:val="20"/>
          <w:color w:val="auto"/>
        </w:rPr>
      </w:pPr>
      <w:r>
        <w:rPr>
          <w:rFonts w:ascii="Arial" w:cs="Arial" w:eastAsia="Arial" w:hAnsi="Arial"/>
          <w:sz w:val="14"/>
          <w:szCs w:val="14"/>
          <w:color w:val="auto"/>
        </w:rPr>
        <w:t>Location and amount of gain/(loss) recognized in unaudited consolidated statements of income for cash flow hedging relationships and derivatives not designated as hedging instruments</w:t>
      </w:r>
    </w:p>
    <w:tbl>
      <w:tblPr>
        <w:tblLayout w:type="fixed"/>
        <w:tblInd w:w="700" w:type="dxa"/>
        <w:tblCellMar>
          <w:top w:w="0" w:type="dxa"/>
          <w:left w:w="0" w:type="dxa"/>
          <w:bottom w:w="0" w:type="dxa"/>
          <w:right w:w="0" w:type="dxa"/>
        </w:tblCellMar>
      </w:tblPr>
      <w:tr>
        <w:trPr>
          <w:trHeight w:val="185"/>
        </w:trPr>
        <w:tc>
          <w:tcPr>
            <w:tcW w:w="4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720" w:type="dxa"/>
            <w:vAlign w:val="bottom"/>
            <w:tcBorders>
              <w:top w:val="single" w:sz="8" w:color="auto"/>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spacing w:after="0"/>
              <w:rPr>
                <w:sz w:val="16"/>
                <w:szCs w:val="16"/>
                <w:color w:val="auto"/>
              </w:rPr>
            </w:pPr>
          </w:p>
        </w:tc>
      </w:tr>
      <w:tr>
        <w:trPr>
          <w:trHeight w:val="181"/>
        </w:trPr>
        <w:tc>
          <w:tcPr>
            <w:tcW w:w="4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180" w:type="dxa"/>
            <w:vAlign w:val="bottom"/>
            <w:tcBorders>
              <w:bottom w:val="single" w:sz="8" w:color="auto"/>
            </w:tcBorders>
          </w:tcPr>
          <w:p>
            <w:pPr>
              <w:spacing w:after="0"/>
              <w:rPr>
                <w:sz w:val="15"/>
                <w:szCs w:val="15"/>
                <w:color w:val="auto"/>
              </w:rPr>
            </w:pPr>
          </w:p>
        </w:tc>
      </w:tr>
      <w:tr>
        <w:trPr>
          <w:trHeight w:val="137"/>
        </w:trPr>
        <w:tc>
          <w:tcPr>
            <w:tcW w:w="4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7" w:lineRule="exact"/>
              <w:rPr>
                <w:sz w:val="20"/>
                <w:szCs w:val="20"/>
                <w:color w:val="auto"/>
              </w:rPr>
            </w:pPr>
            <w:r>
              <w:rPr>
                <w:rFonts w:ascii="Arial" w:cs="Arial" w:eastAsia="Arial" w:hAnsi="Arial"/>
                <w:sz w:val="14"/>
                <w:szCs w:val="14"/>
                <w:b w:val="1"/>
                <w:bCs w:val="1"/>
                <w:color w:val="auto"/>
                <w:w w:val="92"/>
              </w:rPr>
              <w:t>As per unaudited</w:t>
            </w:r>
          </w:p>
        </w:tc>
        <w:tc>
          <w:tcPr>
            <w:tcW w:w="120" w:type="dxa"/>
            <w:vAlign w:val="bottom"/>
          </w:tcPr>
          <w:p>
            <w:pPr>
              <w:spacing w:after="0"/>
              <w:rPr>
                <w:sz w:val="11"/>
                <w:szCs w:val="11"/>
                <w:color w:val="auto"/>
              </w:rPr>
            </w:pPr>
          </w:p>
        </w:tc>
        <w:tc>
          <w:tcPr>
            <w:tcW w:w="1180" w:type="dxa"/>
            <w:vAlign w:val="bottom"/>
          </w:tcPr>
          <w:p>
            <w:pPr>
              <w:jc w:val="center"/>
              <w:ind w:right="63"/>
              <w:spacing w:after="0" w:line="137" w:lineRule="exact"/>
              <w:rPr>
                <w:sz w:val="20"/>
                <w:szCs w:val="20"/>
                <w:color w:val="auto"/>
              </w:rPr>
            </w:pPr>
            <w:r>
              <w:rPr>
                <w:rFonts w:ascii="Arial" w:cs="Arial" w:eastAsia="Arial" w:hAnsi="Arial"/>
                <w:sz w:val="14"/>
                <w:szCs w:val="14"/>
                <w:b w:val="1"/>
                <w:bCs w:val="1"/>
                <w:color w:val="auto"/>
                <w:w w:val="92"/>
              </w:rPr>
              <w:t>Gain on foreign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7" w:lineRule="exact"/>
              <w:rPr>
                <w:sz w:val="20"/>
                <w:szCs w:val="20"/>
                <w:color w:val="auto"/>
              </w:rPr>
            </w:pPr>
            <w:r>
              <w:rPr>
                <w:rFonts w:ascii="Arial" w:cs="Arial" w:eastAsia="Arial" w:hAnsi="Arial"/>
                <w:sz w:val="14"/>
                <w:szCs w:val="14"/>
                <w:b w:val="1"/>
                <w:bCs w:val="1"/>
                <w:color w:val="auto"/>
                <w:w w:val="92"/>
              </w:rPr>
              <w:t>As per unaudited</w:t>
            </w:r>
          </w:p>
        </w:tc>
        <w:tc>
          <w:tcPr>
            <w:tcW w:w="120" w:type="dxa"/>
            <w:vAlign w:val="bottom"/>
          </w:tcPr>
          <w:p>
            <w:pPr>
              <w:spacing w:after="0"/>
              <w:rPr>
                <w:sz w:val="11"/>
                <w:szCs w:val="11"/>
                <w:color w:val="auto"/>
              </w:rPr>
            </w:pPr>
          </w:p>
        </w:tc>
        <w:tc>
          <w:tcPr>
            <w:tcW w:w="1180" w:type="dxa"/>
            <w:vAlign w:val="bottom"/>
          </w:tcPr>
          <w:p>
            <w:pPr>
              <w:jc w:val="center"/>
              <w:ind w:right="62"/>
              <w:spacing w:after="0" w:line="137" w:lineRule="exact"/>
              <w:rPr>
                <w:sz w:val="20"/>
                <w:szCs w:val="20"/>
                <w:color w:val="auto"/>
              </w:rPr>
            </w:pPr>
            <w:r>
              <w:rPr>
                <w:rFonts w:ascii="Arial" w:cs="Arial" w:eastAsia="Arial" w:hAnsi="Arial"/>
                <w:sz w:val="14"/>
                <w:szCs w:val="14"/>
                <w:b w:val="1"/>
                <w:bCs w:val="1"/>
                <w:color w:val="auto"/>
                <w:w w:val="92"/>
              </w:rPr>
              <w:t>Gain on foreign</w:t>
            </w:r>
          </w:p>
        </w:tc>
      </w:tr>
      <w:tr>
        <w:trPr>
          <w:trHeight w:val="143"/>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7"/>
              </w:rPr>
              <w:t>consolidated</w:t>
            </w:r>
          </w:p>
        </w:tc>
        <w:tc>
          <w:tcPr>
            <w:tcW w:w="1420" w:type="dxa"/>
            <w:vAlign w:val="bottom"/>
            <w:gridSpan w:val="3"/>
          </w:tcPr>
          <w:p>
            <w:pPr>
              <w:jc w:val="center"/>
              <w:ind w:right="120"/>
              <w:spacing w:after="0" w:line="143" w:lineRule="exact"/>
              <w:rPr>
                <w:sz w:val="20"/>
                <w:szCs w:val="20"/>
                <w:color w:val="auto"/>
              </w:rPr>
            </w:pPr>
            <w:r>
              <w:rPr>
                <w:rFonts w:ascii="Arial" w:cs="Arial" w:eastAsia="Arial" w:hAnsi="Arial"/>
                <w:sz w:val="14"/>
                <w:szCs w:val="14"/>
                <w:b w:val="1"/>
                <w:bCs w:val="1"/>
                <w:color w:val="auto"/>
                <w:w w:val="89"/>
              </w:rPr>
              <w:t>currency exchange</w:t>
            </w:r>
          </w:p>
        </w:tc>
        <w:tc>
          <w:tcPr>
            <w:tcW w:w="100" w:type="dxa"/>
            <w:vAlign w:val="bottom"/>
          </w:tcPr>
          <w:p>
            <w:pPr>
              <w:spacing w:after="0"/>
              <w:rPr>
                <w:sz w:val="12"/>
                <w:szCs w:val="12"/>
                <w:color w:val="auto"/>
              </w:rPr>
            </w:pPr>
          </w:p>
        </w:tc>
        <w:tc>
          <w:tcPr>
            <w:tcW w:w="13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7"/>
              </w:rPr>
              <w:t>consolidated</w:t>
            </w:r>
          </w:p>
        </w:tc>
        <w:tc>
          <w:tcPr>
            <w:tcW w:w="13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9"/>
              </w:rPr>
              <w:t>currency exchange</w:t>
            </w:r>
          </w:p>
        </w:tc>
      </w:tr>
      <w:tr>
        <w:trPr>
          <w:trHeight w:val="187"/>
        </w:trPr>
        <w:tc>
          <w:tcPr>
            <w:tcW w:w="4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statements of income</w:t>
            </w:r>
          </w:p>
        </w:tc>
        <w:tc>
          <w:tcPr>
            <w:tcW w:w="12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contracts</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w w:val="97"/>
              </w:rPr>
              <w:t>statements of income</w:t>
            </w:r>
          </w:p>
        </w:tc>
        <w:tc>
          <w:tcPr>
            <w:tcW w:w="120" w:type="dxa"/>
            <w:vAlign w:val="bottom"/>
          </w:tcPr>
          <w:p>
            <w:pPr>
              <w:spacing w:after="0"/>
              <w:rPr>
                <w:sz w:val="16"/>
                <w:szCs w:val="16"/>
                <w:color w:val="auto"/>
              </w:rPr>
            </w:pPr>
          </w:p>
        </w:tc>
        <w:tc>
          <w:tcPr>
            <w:tcW w:w="1180" w:type="dxa"/>
            <w:vAlign w:val="bottom"/>
          </w:tcPr>
          <w:p>
            <w:pPr>
              <w:jc w:val="center"/>
              <w:ind w:right="62"/>
              <w:spacing w:after="0"/>
              <w:rPr>
                <w:sz w:val="20"/>
                <w:szCs w:val="20"/>
                <w:color w:val="auto"/>
              </w:rPr>
            </w:pPr>
            <w:r>
              <w:rPr>
                <w:rFonts w:ascii="Arial" w:cs="Arial" w:eastAsia="Arial" w:hAnsi="Arial"/>
                <w:sz w:val="14"/>
                <w:szCs w:val="14"/>
                <w:b w:val="1"/>
                <w:bCs w:val="1"/>
                <w:color w:val="auto"/>
                <w:w w:val="88"/>
              </w:rPr>
              <w:t>contracts</w:t>
            </w:r>
          </w:p>
        </w:tc>
      </w:tr>
      <w:tr>
        <w:trPr>
          <w:trHeight w:val="184"/>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Cash flow hedging relationships</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r>
      <w:tr>
        <w:trPr>
          <w:trHeight w:val="154"/>
        </w:trPr>
        <w:tc>
          <w:tcPr>
            <w:tcW w:w="4300" w:type="dxa"/>
            <w:vAlign w:val="bottom"/>
            <w:gridSpan w:val="2"/>
          </w:tcPr>
          <w:p>
            <w:pPr>
              <w:spacing w:after="0" w:line="155" w:lineRule="exact"/>
              <w:rPr>
                <w:sz w:val="20"/>
                <w:szCs w:val="20"/>
                <w:color w:val="auto"/>
              </w:rPr>
            </w:pPr>
            <w:r>
              <w:rPr>
                <w:rFonts w:ascii="Arial" w:cs="Arial" w:eastAsia="Arial" w:hAnsi="Arial"/>
                <w:sz w:val="16"/>
                <w:szCs w:val="16"/>
                <w:color w:val="auto"/>
                <w:w w:val="94"/>
              </w:rPr>
              <w:t>Location in unaudited consolidated statements of income where</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1"/>
        </w:trPr>
        <w:tc>
          <w:tcPr>
            <w:tcW w:w="4300" w:type="dxa"/>
            <w:vAlign w:val="bottom"/>
            <w:gridSpan w:val="2"/>
          </w:tcPr>
          <w:p>
            <w:pPr>
              <w:spacing w:after="0"/>
              <w:rPr>
                <w:sz w:val="20"/>
                <w:szCs w:val="20"/>
                <w:color w:val="auto"/>
              </w:rPr>
            </w:pPr>
            <w:r>
              <w:rPr>
                <w:rFonts w:ascii="Arial" w:cs="Arial" w:eastAsia="Arial" w:hAnsi="Arial"/>
                <w:sz w:val="16"/>
                <w:szCs w:val="16"/>
                <w:color w:val="auto"/>
              </w:rPr>
              <w:t>gain was reclassed from AOCI</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8"/>
        </w:trPr>
        <w:tc>
          <w:tcPr>
            <w:tcW w:w="4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01"/>
        </w:trPr>
        <w:tc>
          <w:tcPr>
            <w:tcW w:w="4300" w:type="dxa"/>
            <w:vAlign w:val="bottom"/>
            <w:gridSpan w:val="2"/>
          </w:tcPr>
          <w:p>
            <w:pPr>
              <w:spacing w:after="0"/>
              <w:rPr>
                <w:sz w:val="20"/>
                <w:szCs w:val="20"/>
                <w:color w:val="auto"/>
              </w:rPr>
            </w:pPr>
            <w:r>
              <w:rPr>
                <w:rFonts w:ascii="Arial" w:cs="Arial" w:eastAsia="Arial" w:hAnsi="Arial"/>
                <w:sz w:val="16"/>
                <w:szCs w:val="16"/>
                <w:color w:val="auto"/>
              </w:rPr>
              <w:t>Cost of revenues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207,516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1,583</w:t>
            </w:r>
          </w:p>
        </w:tc>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158,821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2,424</w:t>
            </w:r>
          </w:p>
        </w:tc>
      </w:tr>
      <w:tr>
        <w:trPr>
          <w:trHeight w:val="202"/>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39,945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30,703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r>
      <w:tr>
        <w:trPr>
          <w:trHeight w:val="201"/>
        </w:trPr>
        <w:tc>
          <w:tcPr>
            <w:tcW w:w="4300" w:type="dxa"/>
            <w:vAlign w:val="bottom"/>
            <w:gridSpan w:val="2"/>
          </w:tcPr>
          <w:p>
            <w:pPr>
              <w:spacing w:after="0"/>
              <w:rPr>
                <w:sz w:val="20"/>
                <w:szCs w:val="20"/>
                <w:color w:val="auto"/>
              </w:rPr>
            </w:pPr>
            <w:r>
              <w:rPr>
                <w:rFonts w:ascii="Arial" w:cs="Arial" w:eastAsia="Arial" w:hAnsi="Arial"/>
                <w:sz w:val="16"/>
                <w:szCs w:val="16"/>
                <w:color w:val="auto"/>
              </w:rPr>
              <w:t>Selling and marketing expenses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24,170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18,235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02"/>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 expense</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13,602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12,101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05"/>
        </w:trPr>
        <w:tc>
          <w:tcPr>
            <w:tcW w:w="4300" w:type="dxa"/>
            <w:vAlign w:val="bottom"/>
            <w:gridSpan w:val="2"/>
          </w:tcPr>
          <w:p>
            <w:pPr>
              <w:spacing w:after="0"/>
              <w:rPr>
                <w:sz w:val="20"/>
                <w:szCs w:val="20"/>
                <w:color w:val="auto"/>
              </w:rPr>
            </w:pPr>
            <w:r>
              <w:rPr>
                <w:rFonts w:ascii="Arial" w:cs="Arial" w:eastAsia="Arial" w:hAnsi="Arial"/>
                <w:sz w:val="16"/>
                <w:szCs w:val="16"/>
                <w:b w:val="1"/>
                <w:bCs w:val="1"/>
                <w:color w:val="auto"/>
              </w:rPr>
              <w:t>Total before tax</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2,829</w:t>
            </w:r>
          </w:p>
        </w:tc>
      </w:tr>
      <w:tr>
        <w:trPr>
          <w:trHeight w:val="202"/>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expense relating to above</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r>
      <w:tr>
        <w:trPr>
          <w:trHeight w:val="194"/>
        </w:trPr>
        <w:tc>
          <w:tcPr>
            <w:tcW w:w="4300" w:type="dxa"/>
            <w:vAlign w:val="bottom"/>
            <w:gridSpan w:val="2"/>
          </w:tcPr>
          <w:p>
            <w:pPr>
              <w:spacing w:after="0"/>
              <w:rPr>
                <w:sz w:val="20"/>
                <w:szCs w:val="20"/>
                <w:color w:val="auto"/>
              </w:rPr>
            </w:pPr>
            <w:r>
              <w:rPr>
                <w:rFonts w:ascii="Arial" w:cs="Arial" w:eastAsia="Arial" w:hAnsi="Arial"/>
                <w:sz w:val="16"/>
                <w:szCs w:val="16"/>
                <w:b w:val="1"/>
                <w:bCs w:val="1"/>
                <w:color w:val="auto"/>
              </w:rPr>
              <w:t>Net of tax</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2,440</w:t>
            </w: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1"/>
        </w:trPr>
        <w:tc>
          <w:tcPr>
            <w:tcW w:w="4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87"/>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57"/>
        </w:trPr>
        <w:tc>
          <w:tcPr>
            <w:tcW w:w="4300" w:type="dxa"/>
            <w:vAlign w:val="bottom"/>
            <w:gridSpan w:val="2"/>
            <w:shd w:val="clear" w:color="auto" w:fill="CCEEFF"/>
          </w:tcPr>
          <w:p>
            <w:pPr>
              <w:spacing w:after="0" w:line="157" w:lineRule="exact"/>
              <w:rPr>
                <w:sz w:val="20"/>
                <w:szCs w:val="20"/>
                <w:color w:val="auto"/>
              </w:rPr>
            </w:pPr>
            <w:r>
              <w:rPr>
                <w:rFonts w:ascii="Arial" w:cs="Arial" w:eastAsia="Arial" w:hAnsi="Arial"/>
                <w:sz w:val="16"/>
                <w:szCs w:val="16"/>
                <w:color w:val="auto"/>
                <w:w w:val="94"/>
              </w:rPr>
              <w:t>Location in unaudited consolidated statements of income where</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02"/>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gain/(loss) was recognized</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8"/>
        </w:trPr>
        <w:tc>
          <w:tcPr>
            <w:tcW w:w="4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01"/>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exchange gain/(loss), net</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1,756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194"/>
        </w:trPr>
        <w:tc>
          <w:tcPr>
            <w:tcW w:w="4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1,756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r>
      <w:tr>
        <w:trPr>
          <w:trHeight w:val="20"/>
        </w:trPr>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Borrowings</w:t>
      </w:r>
    </w:p>
    <w:p>
      <w:pPr>
        <w:sectPr>
          <w:pgSz w:w="11900" w:h="16838" w:orient="portrait"/>
          <w:cols w:equalWidth="0" w:num="1">
            <w:col w:w="11240"/>
          </w:cols>
          <w:pgMar w:left="320" w:top="123" w:right="339" w:bottom="1440" w:gutter="0" w:footer="0" w:header="0"/>
        </w:sectPr>
      </w:pPr>
    </w:p>
    <w:p>
      <w:pPr>
        <w:spacing w:after="0" w:line="22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tables summarizes the Company’s debt position as of March 31, 2022 and December 31, 2021:</w:t>
      </w:r>
    </w:p>
    <w:p>
      <w:pPr>
        <w:spacing w:after="0" w:line="40"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March 31, 2022</w:t>
            </w:r>
          </w:p>
        </w:tc>
        <w:tc>
          <w:tcPr>
            <w:tcW w:w="700" w:type="dxa"/>
            <w:vAlign w:val="bottom"/>
            <w:tcBorders>
              <w:bottom w:val="single" w:sz="8" w:color="auto"/>
            </w:tcBorders>
          </w:tcPr>
          <w:p>
            <w:pPr>
              <w:spacing w:after="0"/>
              <w:rPr>
                <w:sz w:val="16"/>
                <w:szCs w:val="16"/>
                <w:color w:val="auto"/>
              </w:rPr>
            </w:pPr>
          </w:p>
        </w:tc>
      </w:tr>
      <w:tr>
        <w:trPr>
          <w:trHeight w:val="146"/>
        </w:trPr>
        <w:tc>
          <w:tcPr>
            <w:tcW w:w="3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2"/>
          </w:tcPr>
          <w:p>
            <w:pPr>
              <w:ind w:left="20"/>
              <w:spacing w:after="0" w:line="146" w:lineRule="exact"/>
              <w:rPr>
                <w:sz w:val="20"/>
                <w:szCs w:val="20"/>
                <w:color w:val="auto"/>
              </w:rPr>
            </w:pPr>
            <w:r>
              <w:rPr>
                <w:rFonts w:ascii="Arial" w:cs="Arial" w:eastAsia="Arial" w:hAnsi="Arial"/>
                <w:sz w:val="16"/>
                <w:szCs w:val="16"/>
                <w:b w:val="1"/>
                <w:bCs w:val="1"/>
                <w:color w:val="auto"/>
              </w:rPr>
              <w:t>Revolving Credit</w:t>
            </w:r>
          </w:p>
        </w:tc>
        <w:tc>
          <w:tcPr>
            <w:tcW w:w="680" w:type="dxa"/>
            <w:vAlign w:val="bottom"/>
          </w:tcPr>
          <w:p>
            <w:pPr>
              <w:spacing w:after="0"/>
              <w:rPr>
                <w:sz w:val="12"/>
                <w:szCs w:val="12"/>
                <w:color w:val="auto"/>
              </w:rPr>
            </w:pPr>
          </w:p>
        </w:tc>
        <w:tc>
          <w:tcPr>
            <w:tcW w:w="700" w:type="dxa"/>
            <w:vAlign w:val="bottom"/>
          </w:tcPr>
          <w:p>
            <w:pPr>
              <w:jc w:val="right"/>
              <w:ind w:right="261"/>
              <w:spacing w:after="0" w:line="146" w:lineRule="exact"/>
              <w:rPr>
                <w:sz w:val="20"/>
                <w:szCs w:val="20"/>
                <w:color w:val="auto"/>
              </w:rPr>
            </w:pPr>
            <w:r>
              <w:rPr>
                <w:rFonts w:ascii="Arial" w:cs="Arial" w:eastAsia="Arial" w:hAnsi="Arial"/>
                <w:sz w:val="16"/>
                <w:szCs w:val="16"/>
                <w:b w:val="1"/>
                <w:bCs w:val="1"/>
                <w:color w:val="auto"/>
                <w:w w:val="88"/>
              </w:rPr>
              <w:t>Total</w:t>
            </w:r>
          </w:p>
        </w:tc>
      </w:tr>
      <w:tr>
        <w:trPr>
          <w:trHeight w:val="202"/>
        </w:trPr>
        <w:tc>
          <w:tcPr>
            <w:tcW w:w="3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Facility</w:t>
            </w:r>
          </w:p>
        </w:tc>
        <w:tc>
          <w:tcPr>
            <w:tcW w:w="6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217"/>
        </w:trPr>
        <w:tc>
          <w:tcPr>
            <w:tcW w:w="3180" w:type="dxa"/>
            <w:vAlign w:val="bottom"/>
          </w:tcPr>
          <w:p>
            <w:pPr>
              <w:spacing w:after="0"/>
              <w:rPr>
                <w:sz w:val="20"/>
                <w:szCs w:val="20"/>
                <w:color w:val="auto"/>
              </w:rPr>
            </w:pPr>
            <w:r>
              <w:rPr>
                <w:rFonts w:ascii="Arial" w:cs="Arial" w:eastAsia="Arial" w:hAnsi="Arial"/>
                <w:sz w:val="16"/>
                <w:szCs w:val="16"/>
                <w:b w:val="1"/>
                <w:bCs w:val="1"/>
                <w:color w:val="auto"/>
              </w:rPr>
              <w:t>Current portion of long-term borrowings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35,000</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35,000</w:t>
            </w:r>
          </w:p>
        </w:tc>
      </w:tr>
      <w:tr>
        <w:trPr>
          <w:trHeight w:val="407"/>
        </w:trPr>
        <w:tc>
          <w:tcPr>
            <w:tcW w:w="3180" w:type="dxa"/>
            <w:vAlign w:val="bottom"/>
          </w:tcPr>
          <w:p>
            <w:pPr>
              <w:spacing w:after="0"/>
              <w:rPr>
                <w:sz w:val="20"/>
                <w:szCs w:val="20"/>
                <w:color w:val="auto"/>
              </w:rPr>
            </w:pPr>
            <w:r>
              <w:rPr>
                <w:rFonts w:ascii="Arial" w:cs="Arial" w:eastAsia="Arial" w:hAnsi="Arial"/>
                <w:sz w:val="16"/>
                <w:szCs w:val="16"/>
                <w:b w:val="1"/>
                <w:bCs w:val="1"/>
                <w:color w:val="auto"/>
              </w:rPr>
              <w:t>Long-term borrowings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260,000</w:t>
            </w:r>
          </w:p>
        </w:tc>
        <w:tc>
          <w:tcPr>
            <w:tcW w:w="100" w:type="dxa"/>
            <w:vAlign w:val="bottom"/>
          </w:tcPr>
          <w:p>
            <w:pPr>
              <w:spacing w:after="0"/>
              <w:rPr>
                <w:sz w:val="24"/>
                <w:szCs w:val="24"/>
                <w:color w:val="auto"/>
              </w:rPr>
            </w:pPr>
          </w:p>
        </w:tc>
        <w:tc>
          <w:tcPr>
            <w:tcW w:w="6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260,000</w:t>
            </w:r>
          </w:p>
        </w:tc>
      </w:tr>
      <w:tr>
        <w:trPr>
          <w:trHeight w:val="172"/>
        </w:trPr>
        <w:tc>
          <w:tcPr>
            <w:tcW w:w="3180" w:type="dxa"/>
            <w:vAlign w:val="bottom"/>
          </w:tcPr>
          <w:p>
            <w:pPr>
              <w:spacing w:after="0" w:line="171" w:lineRule="exact"/>
              <w:rPr>
                <w:sz w:val="20"/>
                <w:szCs w:val="20"/>
                <w:color w:val="auto"/>
              </w:rPr>
            </w:pPr>
            <w:r>
              <w:rPr>
                <w:rFonts w:ascii="Arial" w:cs="Arial" w:eastAsia="Arial" w:hAnsi="Arial"/>
                <w:sz w:val="16"/>
                <w:szCs w:val="16"/>
                <w:b w:val="1"/>
                <w:bCs w:val="1"/>
                <w:color w:val="auto"/>
              </w:rPr>
              <w:t>Total borrowings</w:t>
            </w:r>
          </w:p>
        </w:tc>
        <w:tc>
          <w:tcPr>
            <w:tcW w:w="46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295,000</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161"/>
              <w:spacing w:after="0" w:line="171"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295,000</w:t>
            </w:r>
          </w:p>
        </w:tc>
      </w:tr>
      <w:tr>
        <w:trPr>
          <w:trHeight w:val="20"/>
        </w:trPr>
        <w:tc>
          <w:tcPr>
            <w:tcW w:w="3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-150495</wp:posOffset>
            </wp:positionV>
            <wp:extent cx="6508115" cy="135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08115" cy="135890"/>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-572770</wp:posOffset>
            </wp:positionV>
            <wp:extent cx="6508115" cy="151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08115" cy="151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6985</wp:posOffset>
            </wp:positionV>
            <wp:extent cx="215646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6460"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1380" w:type="dxa"/>
            <w:vAlign w:val="bottom"/>
          </w:tcPr>
          <w:p>
            <w:pPr>
              <w:jc w:val="right"/>
              <w:ind w:right="121"/>
              <w:spacing w:after="0" w:line="165" w:lineRule="exact"/>
              <w:rPr>
                <w:sz w:val="20"/>
                <w:szCs w:val="20"/>
                <w:color w:val="auto"/>
              </w:rPr>
            </w:pPr>
            <w:r>
              <w:rPr>
                <w:rFonts w:ascii="Arial" w:cs="Arial" w:eastAsia="Arial" w:hAnsi="Arial"/>
                <w:sz w:val="16"/>
                <w:szCs w:val="16"/>
                <w:b w:val="1"/>
                <w:bCs w:val="1"/>
                <w:color w:val="auto"/>
                <w:w w:val="91"/>
              </w:rPr>
              <w:t>Revolving Credit</w:t>
            </w:r>
          </w:p>
        </w:tc>
        <w:tc>
          <w:tcPr>
            <w:tcW w:w="620" w:type="dxa"/>
            <w:vAlign w:val="bottom"/>
          </w:tcPr>
          <w:p>
            <w:pPr>
              <w:spacing w:after="0"/>
              <w:rPr>
                <w:sz w:val="14"/>
                <w:szCs w:val="14"/>
                <w:color w:val="auto"/>
              </w:rPr>
            </w:pPr>
          </w:p>
        </w:tc>
        <w:tc>
          <w:tcPr>
            <w:tcW w:w="940" w:type="dxa"/>
            <w:vAlign w:val="bottom"/>
          </w:tcPr>
          <w:p>
            <w:pPr>
              <w:jc w:val="right"/>
              <w:ind w:right="363"/>
              <w:spacing w:after="0"/>
              <w:rPr>
                <w:sz w:val="20"/>
                <w:szCs w:val="20"/>
                <w:color w:val="auto"/>
              </w:rPr>
            </w:pPr>
            <w:r>
              <w:rPr>
                <w:rFonts w:ascii="Arial" w:cs="Arial" w:eastAsia="Arial" w:hAnsi="Arial"/>
                <w:sz w:val="14"/>
                <w:szCs w:val="14"/>
                <w:b w:val="1"/>
                <w:bCs w:val="1"/>
                <w:color w:val="auto"/>
              </w:rPr>
              <w:t>Total</w:t>
            </w:r>
          </w:p>
        </w:tc>
      </w:tr>
      <w:tr>
        <w:trPr>
          <w:trHeight w:val="205"/>
        </w:trPr>
        <w:tc>
          <w:tcPr>
            <w:tcW w:w="80" w:type="dxa"/>
            <w:vAlign w:val="bottom"/>
          </w:tcPr>
          <w:p>
            <w:pPr>
              <w:spacing w:after="0"/>
              <w:rPr>
                <w:sz w:val="17"/>
                <w:szCs w:val="17"/>
                <w:color w:val="auto"/>
              </w:rPr>
            </w:pPr>
          </w:p>
        </w:tc>
        <w:tc>
          <w:tcPr>
            <w:tcW w:w="1380" w:type="dxa"/>
            <w:vAlign w:val="bottom"/>
          </w:tcPr>
          <w:p>
            <w:pPr>
              <w:jc w:val="right"/>
              <w:ind w:right="621"/>
              <w:spacing w:after="0"/>
              <w:rPr>
                <w:sz w:val="20"/>
                <w:szCs w:val="20"/>
                <w:color w:val="auto"/>
              </w:rPr>
            </w:pPr>
            <w:r>
              <w:rPr>
                <w:rFonts w:ascii="Arial" w:cs="Arial" w:eastAsia="Arial" w:hAnsi="Arial"/>
                <w:sz w:val="16"/>
                <w:szCs w:val="16"/>
                <w:b w:val="1"/>
                <w:bCs w:val="1"/>
                <w:color w:val="auto"/>
              </w:rPr>
              <w:t>Facility</w:t>
            </w: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5"/>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61"/>
              <w:spacing w:after="0"/>
              <w:rPr>
                <w:sz w:val="20"/>
                <w:szCs w:val="20"/>
                <w:color w:val="auto"/>
              </w:rPr>
            </w:pPr>
            <w:r>
              <w:rPr>
                <w:rFonts w:ascii="Arial" w:cs="Arial" w:eastAsia="Arial" w:hAnsi="Arial"/>
                <w:sz w:val="16"/>
                <w:szCs w:val="16"/>
                <w:color w:val="auto"/>
              </w:rPr>
              <w:t>260,016</w:t>
            </w:r>
          </w:p>
        </w:tc>
        <w:tc>
          <w:tcPr>
            <w:tcW w:w="6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260,016</w:t>
            </w:r>
          </w:p>
        </w:tc>
      </w:tr>
      <w:tr>
        <w:trPr>
          <w:trHeight w:val="421"/>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78"/>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61"/>
              <w:spacing w:after="0" w:line="178" w:lineRule="exact"/>
              <w:rPr>
                <w:sz w:val="20"/>
                <w:szCs w:val="20"/>
                <w:color w:val="auto"/>
              </w:rPr>
            </w:pPr>
            <w:r>
              <w:rPr>
                <w:rFonts w:ascii="Arial" w:cs="Arial" w:eastAsia="Arial" w:hAnsi="Arial"/>
                <w:sz w:val="16"/>
                <w:szCs w:val="16"/>
                <w:color w:val="auto"/>
              </w:rPr>
              <w:t>260,016</w:t>
            </w:r>
          </w:p>
        </w:tc>
        <w:tc>
          <w:tcPr>
            <w:tcW w:w="620" w:type="dxa"/>
            <w:vAlign w:val="bottom"/>
            <w:tcBorders>
              <w:bottom w:val="single" w:sz="8" w:color="auto"/>
            </w:tcBorders>
          </w:tcPr>
          <w:p>
            <w:pPr>
              <w:jc w:val="right"/>
              <w:ind w:right="81"/>
              <w:spacing w:after="0" w:line="178"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260,016</w:t>
            </w:r>
          </w:p>
        </w:tc>
      </w:tr>
      <w:tr>
        <w:trPr>
          <w:trHeight w:val="20"/>
        </w:trPr>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-6985</wp:posOffset>
            </wp:positionV>
            <wp:extent cx="111633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6330" cy="7620"/>
                    </a:xfrm>
                    <a:prstGeom prst="rect">
                      <a:avLst/>
                    </a:prstGeom>
                    <a:noFill/>
                  </pic:spPr>
                </pic:pic>
              </a:graphicData>
            </a:graphic>
          </wp:anchor>
        </w:drawing>
        <w:drawing>
          <wp:anchor simplePos="0" relativeHeight="251657728" behindDoc="1" locked="0" layoutInCell="0" allowOverlap="1">
            <wp:simplePos x="0" y="0"/>
            <wp:positionH relativeFrom="column">
              <wp:posOffset>-238760</wp:posOffset>
            </wp:positionH>
            <wp:positionV relativeFrom="paragraph">
              <wp:posOffset>-421640</wp:posOffset>
            </wp:positionV>
            <wp:extent cx="215646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646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280"/>
            <w:col w:w="3660"/>
          </w:cols>
          <w:pgMar w:left="320" w:top="123" w:right="339" w:bottom="1440" w:gutter="0" w:footer="0" w:header="0"/>
          <w:type w:val="continuous"/>
        </w:sectPr>
      </w:pPr>
    </w:p>
    <w:p>
      <w:pPr>
        <w:spacing w:after="0" w:line="49" w:lineRule="exact"/>
        <w:rPr>
          <w:sz w:val="20"/>
          <w:szCs w:val="20"/>
          <w:color w:val="auto"/>
        </w:rPr>
      </w:pPr>
    </w:p>
    <w:p>
      <w:pPr>
        <w:ind w:firstLine="356"/>
        <w:spacing w:after="0" w:line="254" w:lineRule="auto"/>
        <w:rPr>
          <w:sz w:val="20"/>
          <w:szCs w:val="20"/>
          <w:color w:val="auto"/>
        </w:rPr>
      </w:pPr>
      <w:r>
        <w:rPr>
          <w:rFonts w:ascii="Arial" w:cs="Arial" w:eastAsia="Arial" w:hAnsi="Arial"/>
          <w:sz w:val="16"/>
          <w:szCs w:val="16"/>
          <w:color w:val="auto"/>
        </w:rPr>
        <w:t>Unamortized debt issuance costs for the Company’s revolving Credit Facility of $198 and $232 as of March 31, 2022 and December 31, 2021, respectively, are presented under “Other current assets” and “Other assets,” as applicable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i w:val="1"/>
          <w:iCs w:val="1"/>
          <w:color w:val="auto"/>
        </w:rPr>
        <w:t>Credit Agreement</w:t>
      </w:r>
    </w:p>
    <w:p>
      <w:pPr>
        <w:spacing w:after="0" w:line="172" w:lineRule="exact"/>
        <w:rPr>
          <w:sz w:val="20"/>
          <w:szCs w:val="20"/>
          <w:color w:val="auto"/>
        </w:rPr>
      </w:pPr>
    </w:p>
    <w:p>
      <w:pPr>
        <w:jc w:val="both"/>
        <w:ind w:right="20" w:firstLine="356"/>
        <w:spacing w:after="0" w:line="261" w:lineRule="auto"/>
        <w:rPr>
          <w:sz w:val="20"/>
          <w:szCs w:val="20"/>
          <w:color w:val="auto"/>
        </w:rPr>
      </w:pPr>
      <w:r>
        <w:rPr>
          <w:rFonts w:ascii="Arial" w:cs="Arial" w:eastAsia="Arial" w:hAnsi="Arial"/>
          <w:sz w:val="15"/>
          <w:szCs w:val="15"/>
          <w:color w:val="auto"/>
        </w:rPr>
        <w:t>The Company held a $300,000 revolving credit facility pursuant to its credit agreement (the “Credit Agreement”), dated as of November 21, 2017 with certain lenders and Citibank N.A. as Administrative Agent (the “Credit Facility”). The Credit Facility had a maturity date of November 21, 2022 and was voluntarily pre-payable from time to time without premium or penalty. On April 18, 2022, the Company entered into an Amendment and Restatement Agreement with Citibank, N.A. as Administrative Agent and certain lenders (the “2022 Credit Agreement”). Refer to Note 24 – Subsequent Events to the unaudited consolidated financial statements.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Credit Facility carried an effective interest rate as shown below:</w:t>
      </w:r>
    </w:p>
    <w:p>
      <w:pPr>
        <w:spacing w:after="0" w:line="17" w:lineRule="exact"/>
        <w:rPr>
          <w:sz w:val="20"/>
          <w:szCs w:val="20"/>
          <w:color w:val="auto"/>
        </w:rPr>
      </w:pPr>
    </w:p>
    <w:p>
      <w:pPr>
        <w:ind w:left="7460"/>
        <w:spacing w:after="0"/>
        <w:rPr>
          <w:sz w:val="20"/>
          <w:szCs w:val="20"/>
          <w:color w:val="auto"/>
        </w:rPr>
      </w:pPr>
      <w:r>
        <w:rPr>
          <w:rFonts w:ascii="Arial" w:cs="Arial" w:eastAsia="Arial" w:hAnsi="Arial"/>
          <w:sz w:val="16"/>
          <w:szCs w:val="16"/>
          <w:b w:val="1"/>
          <w:bCs w:val="1"/>
          <w:color w:val="auto"/>
        </w:rPr>
        <w:t>Three months ended March 31</w:t>
      </w:r>
    </w:p>
    <w:p>
      <w:pPr>
        <w:spacing w:after="0" w:line="8"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14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b w:val="1"/>
                <w:bCs w:val="1"/>
                <w:color w:val="auto"/>
              </w:rPr>
              <w:t>2022</w:t>
            </w:r>
          </w:p>
        </w:tc>
        <w:tc>
          <w:tcPr>
            <w:tcW w:w="4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341"/>
              <w:spacing w:after="0" w:line="170" w:lineRule="exact"/>
              <w:rPr>
                <w:sz w:val="20"/>
                <w:szCs w:val="20"/>
                <w:color w:val="auto"/>
              </w:rPr>
            </w:pPr>
            <w:r>
              <w:rPr>
                <w:rFonts w:ascii="Arial" w:cs="Arial" w:eastAsia="Arial" w:hAnsi="Arial"/>
                <w:sz w:val="16"/>
                <w:szCs w:val="16"/>
                <w:b w:val="1"/>
                <w:bCs w:val="1"/>
                <w:color w:val="auto"/>
              </w:rPr>
              <w:t>2021</w:t>
            </w:r>
          </w:p>
        </w:tc>
        <w:tc>
          <w:tcPr>
            <w:tcW w:w="340" w:type="dxa"/>
            <w:vAlign w:val="bottom"/>
            <w:tcBorders>
              <w:top w:val="single" w:sz="8" w:color="auto"/>
            </w:tcBorders>
          </w:tcPr>
          <w:p>
            <w:pPr>
              <w:spacing w:after="0"/>
              <w:rPr>
                <w:sz w:val="14"/>
                <w:szCs w:val="14"/>
                <w:color w:val="auto"/>
              </w:rPr>
            </w:pPr>
          </w:p>
        </w:tc>
      </w:tr>
      <w:tr>
        <w:trPr>
          <w:trHeight w:val="202"/>
        </w:trPr>
        <w:tc>
          <w:tcPr>
            <w:tcW w:w="7160" w:type="dxa"/>
            <w:vAlign w:val="bottom"/>
            <w:gridSpan w:val="2"/>
            <w:shd w:val="clear" w:color="auto" w:fill="CCEEFF"/>
          </w:tcPr>
          <w:p>
            <w:pPr>
              <w:jc w:val="right"/>
              <w:ind w:right="5301"/>
              <w:spacing w:after="0"/>
              <w:rPr>
                <w:sz w:val="20"/>
                <w:szCs w:val="20"/>
                <w:color w:val="auto"/>
              </w:rPr>
            </w:pPr>
            <w:r>
              <w:rPr>
                <w:rFonts w:ascii="Arial" w:cs="Arial" w:eastAsia="Arial" w:hAnsi="Arial"/>
                <w:sz w:val="16"/>
                <w:szCs w:val="16"/>
                <w:color w:val="auto"/>
              </w:rPr>
              <w:t>Effective Interest Rate</w:t>
            </w:r>
          </w:p>
        </w:tc>
        <w:tc>
          <w:tcPr>
            <w:tcW w:w="4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0"/>
              </w:rPr>
              <w:t>1.3</w:t>
            </w:r>
          </w:p>
        </w:tc>
        <w:tc>
          <w:tcPr>
            <w:tcW w:w="96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8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As of March 31, 2022 and December 31, 2021, the Company was in compliance with all financial and non-financial covenants listed under the Credit Agreement.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Convertible Senior Notes</w:t>
      </w:r>
    </w:p>
    <w:p>
      <w:pPr>
        <w:spacing w:after="0" w:line="196" w:lineRule="exact"/>
        <w:rPr>
          <w:sz w:val="20"/>
          <w:szCs w:val="20"/>
          <w:color w:val="auto"/>
        </w:rPr>
      </w:pPr>
    </w:p>
    <w:p>
      <w:pPr>
        <w:jc w:val="both"/>
        <w:ind w:firstLine="356"/>
        <w:spacing w:after="0" w:line="223" w:lineRule="auto"/>
        <w:rPr>
          <w:sz w:val="20"/>
          <w:szCs w:val="20"/>
          <w:color w:val="auto"/>
        </w:rPr>
      </w:pPr>
      <w:r>
        <w:rPr>
          <w:rFonts w:ascii="Arial" w:cs="Arial" w:eastAsia="Arial" w:hAnsi="Arial"/>
          <w:sz w:val="16"/>
          <w:szCs w:val="16"/>
          <w:color w:val="auto"/>
        </w:rPr>
        <w:t>On October 1, 2018, the Company entered into an investment agreement (the “Investment Agreement”) with Orogen Echo LLC (the “Purchaser”), an affiliate of The Orogen Group LLC, relating to the issuance to the Purchaser of $150,000, in an aggregate principal amount (the “Notes”). The Notes carried interest at a rate of 3.5% per annum, payable semi-annually in arrears in cash on April 1 and October 1 of each year. The Notes were convertible at an initial conversion rate of 13.3333 shares of the common stock per one thousand dollar principal amount of the Notes (which represented an initial conversion price of approximately $75 per share). The Company had the option to redeem the principal amount of the Notes, at its option, if the closing sale price of the common stock exceeded 150% of the then-current conversion price for 20 or more trading days in the 30 consecutive trading day period preceding the Company’s exercise of this redemption right (including the trading day immediately prior to the date of the notice of redemption).</w:t>
      </w:r>
    </w:p>
    <w:p>
      <w:pPr>
        <w:spacing w:after="0" w:line="193" w:lineRule="exact"/>
        <w:rPr>
          <w:sz w:val="20"/>
          <w:szCs w:val="20"/>
          <w:color w:val="auto"/>
        </w:rPr>
      </w:pPr>
    </w:p>
    <w:p>
      <w:pPr>
        <w:jc w:val="both"/>
        <w:ind w:firstLine="356"/>
        <w:spacing w:after="0" w:line="243" w:lineRule="auto"/>
        <w:rPr>
          <w:sz w:val="20"/>
          <w:szCs w:val="20"/>
          <w:color w:val="auto"/>
        </w:rPr>
      </w:pPr>
      <w:r>
        <w:rPr>
          <w:rFonts w:ascii="Arial" w:cs="Arial" w:eastAsia="Arial" w:hAnsi="Arial"/>
          <w:sz w:val="16"/>
          <w:szCs w:val="16"/>
          <w:color w:val="auto"/>
        </w:rPr>
        <w:t>On August 27, 2021, the Company entered into a Payoff and Termination Agreement with the Purchaser, pursuant to which the Company prepaid and settled its outstanding obligations under the Notes, by electing a combination of cash and shares of the Company’s common stock. During the three months ended March 31, 2021, the Company recognized interest expense and amortization of debt discount of $1,986 on the Notes.</w:t>
      </w:r>
    </w:p>
    <w:p>
      <w:pPr>
        <w:spacing w:after="0" w:line="189" w:lineRule="exact"/>
        <w:rPr>
          <w:sz w:val="20"/>
          <w:szCs w:val="20"/>
          <w:color w:val="auto"/>
        </w:rPr>
      </w:pPr>
    </w:p>
    <w:tbl>
      <w:tblPr>
        <w:tblLayout w:type="fixed"/>
        <w:tblInd w:w="360" w:type="dxa"/>
        <w:tblCellMar>
          <w:top w:w="0" w:type="dxa"/>
          <w:left w:w="0" w:type="dxa"/>
          <w:bottom w:w="0" w:type="dxa"/>
          <w:right w:w="0" w:type="dxa"/>
        </w:tblCellMar>
      </w:tblPr>
      <w:tr>
        <w:trPr>
          <w:trHeight w:val="201"/>
        </w:trPr>
        <w:tc>
          <w:tcPr>
            <w:tcW w:w="6240" w:type="dxa"/>
            <w:vAlign w:val="bottom"/>
            <w:gridSpan w:val="2"/>
          </w:tcPr>
          <w:p>
            <w:pPr>
              <w:spacing w:after="0"/>
              <w:rPr>
                <w:sz w:val="20"/>
                <w:szCs w:val="20"/>
                <w:color w:val="auto"/>
              </w:rPr>
            </w:pPr>
            <w:r>
              <w:rPr>
                <w:rFonts w:ascii="Arial" w:cs="Arial" w:eastAsia="Arial" w:hAnsi="Arial"/>
                <w:sz w:val="16"/>
                <w:szCs w:val="16"/>
                <w:color w:val="auto"/>
                <w:w w:val="93"/>
              </w:rPr>
              <w:t>Expected payments for all of the Company's borrowings as of March 31, 2022 were as follows: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Revolving Credit</w:t>
            </w:r>
          </w:p>
        </w:tc>
        <w:tc>
          <w:tcPr>
            <w:tcW w:w="120" w:type="dxa"/>
            <w:vAlign w:val="bottom"/>
          </w:tcPr>
          <w:p>
            <w:pPr>
              <w:spacing w:after="0"/>
              <w:rPr>
                <w:sz w:val="20"/>
                <w:szCs w:val="20"/>
                <w:color w:val="auto"/>
              </w:rPr>
            </w:pPr>
          </w:p>
        </w:tc>
        <w:tc>
          <w:tcPr>
            <w:tcW w:w="140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w w:val="88"/>
              </w:rPr>
              <w:t>Interest Payments</w:t>
            </w:r>
          </w:p>
        </w:tc>
        <w:tc>
          <w:tcPr>
            <w:tcW w:w="0" w:type="dxa"/>
            <w:vAlign w:val="bottom"/>
          </w:tcPr>
          <w:p>
            <w:pPr>
              <w:spacing w:after="0"/>
              <w:rPr>
                <w:sz w:val="1"/>
                <w:szCs w:val="1"/>
                <w:color w:val="auto"/>
              </w:rPr>
            </w:pPr>
          </w:p>
        </w:tc>
      </w:tr>
      <w:tr>
        <w:trPr>
          <w:trHeight w:val="202"/>
        </w:trPr>
        <w:tc>
          <w:tcPr>
            <w:tcW w:w="10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Facility</w:t>
            </w:r>
          </w:p>
        </w:tc>
        <w:tc>
          <w:tcPr>
            <w:tcW w:w="12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 (April 1 - December 31)</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35,000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2,723</w:t>
            </w:r>
          </w:p>
        </w:tc>
        <w:tc>
          <w:tcPr>
            <w:tcW w:w="0" w:type="dxa"/>
            <w:vAlign w:val="bottom"/>
          </w:tcPr>
          <w:p>
            <w:pPr>
              <w:spacing w:after="0"/>
              <w:rPr>
                <w:sz w:val="1"/>
                <w:szCs w:val="1"/>
                <w:color w:val="auto"/>
              </w:rPr>
            </w:pPr>
          </w:p>
        </w:tc>
      </w:tr>
      <w:tr>
        <w:trPr>
          <w:trHeight w:val="201"/>
        </w:trPr>
        <w:tc>
          <w:tcPr>
            <w:tcW w:w="1060" w:type="dxa"/>
            <w:vAlign w:val="bottom"/>
          </w:tcPr>
          <w:p>
            <w:pPr>
              <w:spacing w:after="0"/>
              <w:rPr>
                <w:sz w:val="17"/>
                <w:szCs w:val="17"/>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2023</w:t>
            </w:r>
          </w:p>
        </w:tc>
        <w:tc>
          <w:tcPr>
            <w:tcW w:w="160" w:type="dxa"/>
            <w:vAlign w:val="bottom"/>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3,362</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3,362</w:t>
            </w:r>
          </w:p>
        </w:tc>
        <w:tc>
          <w:tcPr>
            <w:tcW w:w="0" w:type="dxa"/>
            <w:vAlign w:val="bottom"/>
          </w:tcPr>
          <w:p>
            <w:pPr>
              <w:spacing w:after="0"/>
              <w:rPr>
                <w:sz w:val="1"/>
                <w:szCs w:val="1"/>
                <w:color w:val="auto"/>
              </w:rPr>
            </w:pPr>
          </w:p>
        </w:tc>
      </w:tr>
      <w:tr>
        <w:trPr>
          <w:trHeight w:val="201"/>
        </w:trPr>
        <w:tc>
          <w:tcPr>
            <w:tcW w:w="1060" w:type="dxa"/>
            <w:vAlign w:val="bottom"/>
          </w:tcPr>
          <w:p>
            <w:pPr>
              <w:spacing w:after="0"/>
              <w:rPr>
                <w:sz w:val="17"/>
                <w:szCs w:val="17"/>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2025</w:t>
            </w:r>
          </w:p>
        </w:tc>
        <w:tc>
          <w:tcPr>
            <w:tcW w:w="160" w:type="dxa"/>
            <w:vAlign w:val="bottom"/>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3,362</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3,362</w:t>
            </w:r>
          </w:p>
        </w:tc>
        <w:tc>
          <w:tcPr>
            <w:tcW w:w="0" w:type="dxa"/>
            <w:vAlign w:val="bottom"/>
          </w:tcPr>
          <w:p>
            <w:pPr>
              <w:spacing w:after="0"/>
              <w:rPr>
                <w:sz w:val="1"/>
                <w:szCs w:val="1"/>
                <w:color w:val="auto"/>
              </w:rPr>
            </w:pPr>
          </w:p>
        </w:tc>
      </w:tr>
      <w:tr>
        <w:trPr>
          <w:trHeight w:val="201"/>
        </w:trPr>
        <w:tc>
          <w:tcPr>
            <w:tcW w:w="1060" w:type="dxa"/>
            <w:vAlign w:val="bottom"/>
          </w:tcPr>
          <w:p>
            <w:pPr>
              <w:spacing w:after="0"/>
              <w:rPr>
                <w:sz w:val="17"/>
                <w:szCs w:val="17"/>
                <w:color w:val="auto"/>
              </w:rPr>
            </w:pPr>
          </w:p>
        </w:tc>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2027 and thereafter</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260,000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19"/>
        </w:trPr>
        <w:tc>
          <w:tcPr>
            <w:tcW w:w="106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295,000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Letters of Credit</w:t>
      </w:r>
    </w:p>
    <w:p>
      <w:pPr>
        <w:spacing w:after="0" w:line="208" w:lineRule="exact"/>
        <w:rPr>
          <w:sz w:val="20"/>
          <w:szCs w:val="20"/>
          <w:color w:val="auto"/>
        </w:rPr>
      </w:pPr>
    </w:p>
    <w:p>
      <w:pPr>
        <w:ind w:right="20" w:firstLine="356"/>
        <w:spacing w:after="0" w:line="231" w:lineRule="auto"/>
        <w:rPr>
          <w:sz w:val="20"/>
          <w:szCs w:val="20"/>
          <w:color w:val="auto"/>
        </w:rPr>
      </w:pPr>
      <w:r>
        <w:rPr>
          <w:rFonts w:ascii="Arial" w:cs="Arial" w:eastAsia="Arial" w:hAnsi="Arial"/>
          <w:sz w:val="16"/>
          <w:szCs w:val="16"/>
          <w:color w:val="auto"/>
        </w:rPr>
        <w:t>In the ordinary course of business, the Company provides standby letters of credit to third parties primarily for facility leases. As of March 31, 2022 and December 31, 2021, the Company had outstanding letters of credit of $461, each, that were not recognized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1398" w:right="319" w:bottom="1440" w:gutter="0" w:footer="0" w:header="0"/>
        </w:sectPr>
      </w:pPr>
    </w:p>
    <w:bookmarkStart w:id="28" w:name="page29"/>
    <w:bookmarkEnd w:id="28"/>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Capital Structure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has one class of common stock outstanding.</w:t>
      </w:r>
    </w:p>
    <w:p>
      <w:pPr>
        <w:spacing w:after="0" w:line="208" w:lineRule="exact"/>
        <w:rPr>
          <w:sz w:val="20"/>
          <w:szCs w:val="20"/>
          <w:color w:val="auto"/>
        </w:rPr>
      </w:pPr>
    </w:p>
    <w:p>
      <w:pPr>
        <w:ind w:right="80" w:firstLine="392"/>
        <w:spacing w:after="0" w:line="231" w:lineRule="auto"/>
        <w:rPr>
          <w:sz w:val="20"/>
          <w:szCs w:val="20"/>
          <w:color w:val="auto"/>
        </w:rPr>
      </w:pPr>
      <w:r>
        <w:rPr>
          <w:rFonts w:ascii="Arial" w:cs="Arial" w:eastAsia="Arial" w:hAnsi="Arial"/>
          <w:sz w:val="16"/>
          <w:szCs w:val="16"/>
          <w:color w:val="auto"/>
        </w:rPr>
        <w:t>The Company purchased shares of common stock from employees in connection with withholding tax payments related to the vesting of restricted stock units and performance-based restricted stock units, as below:</w:t>
      </w:r>
    </w:p>
    <w:p>
      <w:pPr>
        <w:sectPr>
          <w:pgSz w:w="11900" w:h="16838" w:orient="portrait"/>
          <w:cols w:equalWidth="0" w:num="1">
            <w:col w:w="11340"/>
          </w:cols>
          <w:pgMar w:left="320" w:top="1440" w:right="239" w:bottom="1440" w:gutter="0" w:footer="0" w:header="0"/>
        </w:sect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628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Shares repurchased</w:t>
            </w: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Total consideration</w:t>
            </w:r>
          </w:p>
        </w:tc>
        <w:tc>
          <w:tcPr>
            <w:tcW w:w="0" w:type="dxa"/>
            <w:vAlign w:val="bottom"/>
          </w:tcPr>
          <w:p>
            <w:pPr>
              <w:spacing w:after="0"/>
              <w:rPr>
                <w:sz w:val="1"/>
                <w:szCs w:val="1"/>
                <w:color w:val="auto"/>
              </w:rPr>
            </w:pPr>
          </w:p>
        </w:tc>
      </w:tr>
      <w:tr>
        <w:trPr>
          <w:trHeight w:val="85"/>
        </w:trPr>
        <w:tc>
          <w:tcPr>
            <w:tcW w:w="6280" w:type="dxa"/>
            <w:vAlign w:val="bottom"/>
            <w:vMerge w:val="restart"/>
          </w:tcPr>
          <w:p>
            <w:pPr>
              <w:spacing w:after="0"/>
              <w:rPr>
                <w:sz w:val="20"/>
                <w:szCs w:val="20"/>
                <w:color w:val="auto"/>
              </w:rPr>
            </w:pPr>
            <w:r>
              <w:rPr>
                <w:rFonts w:ascii="Arial" w:cs="Arial" w:eastAsia="Arial" w:hAnsi="Arial"/>
                <w:sz w:val="16"/>
                <w:szCs w:val="16"/>
                <w:color w:val="auto"/>
              </w:rPr>
              <w:t>Three months ended March 31, 2022</w:t>
            </w:r>
          </w:p>
        </w:tc>
        <w:tc>
          <w:tcPr>
            <w:tcW w:w="14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6280" w:type="dxa"/>
            <w:vAlign w:val="bottom"/>
            <w:vMerge w:val="continue"/>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27,219</w:t>
            </w:r>
          </w:p>
        </w:tc>
        <w:tc>
          <w:tcPr>
            <w:tcW w:w="80" w:type="dxa"/>
            <w:vAlign w:val="bottom"/>
          </w:tcPr>
          <w:p>
            <w:pPr>
              <w:spacing w:after="0"/>
              <w:rPr>
                <w:sz w:val="16"/>
                <w:szCs w:val="16"/>
                <w:color w:val="auto"/>
              </w:rPr>
            </w:pPr>
          </w:p>
        </w:tc>
        <w:tc>
          <w:tcPr>
            <w:tcW w:w="540" w:type="dxa"/>
            <w:vAlign w:val="bottom"/>
          </w:tcPr>
          <w:p>
            <w:pPr>
              <w:jc w:val="right"/>
              <w:ind w:right="3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3,191</w:t>
            </w:r>
          </w:p>
        </w:tc>
        <w:tc>
          <w:tcPr>
            <w:tcW w:w="0" w:type="dxa"/>
            <w:vAlign w:val="bottom"/>
          </w:tcPr>
          <w:p>
            <w:pPr>
              <w:spacing w:after="0"/>
              <w:rPr>
                <w:sz w:val="1"/>
                <w:szCs w:val="1"/>
                <w:color w:val="auto"/>
              </w:rPr>
            </w:pPr>
          </w:p>
        </w:tc>
      </w:tr>
      <w:tr>
        <w:trPr>
          <w:trHeight w:val="201"/>
        </w:trPr>
        <w:tc>
          <w:tcPr>
            <w:tcW w:w="6280" w:type="dxa"/>
            <w:vAlign w:val="bottom"/>
          </w:tcPr>
          <w:p>
            <w:pPr>
              <w:spacing w:after="0"/>
              <w:rPr>
                <w:sz w:val="20"/>
                <w:szCs w:val="20"/>
                <w:color w:val="auto"/>
              </w:rPr>
            </w:pPr>
            <w:r>
              <w:rPr>
                <w:rFonts w:ascii="Arial" w:cs="Arial" w:eastAsia="Arial" w:hAnsi="Arial"/>
                <w:sz w:val="16"/>
                <w:szCs w:val="16"/>
                <w:color w:val="auto"/>
              </w:rPr>
              <w:t>Three months ended March 31, 2021</w:t>
            </w:r>
          </w:p>
        </w:tc>
        <w:tc>
          <w:tcPr>
            <w:tcW w:w="1400" w:type="dxa"/>
            <w:vAlign w:val="bottom"/>
          </w:tcPr>
          <w:p>
            <w:pPr>
              <w:jc w:val="right"/>
              <w:spacing w:after="0"/>
              <w:rPr>
                <w:sz w:val="20"/>
                <w:szCs w:val="20"/>
                <w:color w:val="auto"/>
              </w:rPr>
            </w:pPr>
            <w:r>
              <w:rPr>
                <w:rFonts w:ascii="Arial" w:cs="Arial" w:eastAsia="Arial" w:hAnsi="Arial"/>
                <w:sz w:val="16"/>
                <w:szCs w:val="16"/>
                <w:color w:val="auto"/>
              </w:rPr>
              <w:t>25,450</w:t>
            </w:r>
          </w:p>
        </w:tc>
        <w:tc>
          <w:tcPr>
            <w:tcW w:w="80" w:type="dxa"/>
            <w:vAlign w:val="bottom"/>
          </w:tcPr>
          <w:p>
            <w:pPr>
              <w:spacing w:after="0"/>
              <w:rPr>
                <w:sz w:val="17"/>
                <w:szCs w:val="17"/>
                <w:color w:val="auto"/>
              </w:rPr>
            </w:pPr>
          </w:p>
        </w:tc>
        <w:tc>
          <w:tcPr>
            <w:tcW w:w="540" w:type="dxa"/>
            <w:vAlign w:val="bottom"/>
          </w:tcPr>
          <w:p>
            <w:pPr>
              <w:jc w:val="right"/>
              <w:ind w:right="3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-262255</wp:posOffset>
            </wp:positionV>
            <wp:extent cx="7103745" cy="135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3745"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left="-19"/>
        <w:spacing w:after="0" w:line="277" w:lineRule="auto"/>
        <w:rPr>
          <w:sz w:val="20"/>
          <w:szCs w:val="20"/>
          <w:color w:val="auto"/>
        </w:rPr>
      </w:pPr>
      <w:r>
        <w:rPr>
          <w:rFonts w:ascii="Arial" w:cs="Arial" w:eastAsia="Arial" w:hAnsi="Arial"/>
          <w:sz w:val="13"/>
          <w:szCs w:val="13"/>
          <w:b w:val="1"/>
          <w:bCs w:val="1"/>
          <w:color w:val="auto"/>
        </w:rPr>
        <w:t xml:space="preserve">Weighted average purchase price per share </w:t>
      </w:r>
      <w:r>
        <w:rPr>
          <w:rFonts w:ascii="Arial" w:cs="Arial" w:eastAsia="Arial" w:hAnsi="Arial"/>
          <w:sz w:val="16"/>
          <w:szCs w:val="16"/>
          <w:b w:val="1"/>
          <w:bCs w:val="1"/>
          <w:color w:val="auto"/>
          <w:vertAlign w:val="superscript"/>
        </w:rPr>
        <w:t>(1)</w:t>
      </w:r>
    </w:p>
    <w:p>
      <w:pPr>
        <w:spacing w:after="0" w:line="1" w:lineRule="exact"/>
        <w:rPr>
          <w:sz w:val="20"/>
          <w:szCs w:val="20"/>
          <w:color w:val="auto"/>
        </w:rPr>
      </w:pPr>
    </w:p>
    <w:p>
      <w:pPr>
        <w:spacing w:after="0"/>
        <w:tabs>
          <w:tab w:leader="none" w:pos="13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117.23</w:t>
      </w:r>
    </w:p>
    <w:p>
      <w:pPr>
        <w:spacing w:after="0" w:line="15" w:lineRule="exact"/>
        <w:rPr>
          <w:sz w:val="20"/>
          <w:szCs w:val="20"/>
          <w:color w:val="auto"/>
        </w:rPr>
      </w:pPr>
    </w:p>
    <w:p>
      <w:pPr>
        <w:spacing w:after="0"/>
        <w:tabs>
          <w:tab w:leader="none" w:pos="14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79.18</w:t>
      </w:r>
    </w:p>
    <w:p>
      <w:pPr>
        <w:spacing w:after="0" w:line="228" w:lineRule="exact"/>
        <w:rPr>
          <w:sz w:val="20"/>
          <w:szCs w:val="20"/>
          <w:color w:val="auto"/>
        </w:rPr>
      </w:pPr>
    </w:p>
    <w:p>
      <w:pPr>
        <w:sectPr>
          <w:pgSz w:w="11900" w:h="16838" w:orient="portrait"/>
          <w:cols w:equalWidth="0" w:num="2">
            <w:col w:w="9160" w:space="140"/>
            <w:col w:w="2040"/>
          </w:cols>
          <w:pgMar w:left="320" w:top="1440" w:right="239" w:bottom="1440" w:gutter="0" w:footer="0" w:header="0"/>
          <w:type w:val="continuous"/>
        </w:sectPr>
      </w:pPr>
    </w:p>
    <w:p>
      <w:pPr>
        <w:spacing w:after="0" w:line="300" w:lineRule="exact"/>
        <w:rPr>
          <w:sz w:val="20"/>
          <w:szCs w:val="20"/>
          <w:color w:val="auto"/>
        </w:rPr>
      </w:pPr>
    </w:p>
    <w:p>
      <w:pPr>
        <w:ind w:right="100" w:firstLine="356"/>
        <w:spacing w:after="0" w:line="254" w:lineRule="auto"/>
        <w:rPr>
          <w:sz w:val="20"/>
          <w:szCs w:val="20"/>
          <w:color w:val="auto"/>
        </w:rPr>
      </w:pPr>
      <w:r>
        <w:rPr>
          <w:rFonts w:ascii="Arial" w:cs="Arial" w:eastAsia="Arial" w:hAnsi="Arial"/>
          <w:sz w:val="16"/>
          <w:szCs w:val="16"/>
          <w:color w:val="auto"/>
        </w:rPr>
        <w:t>On December 16, 2019, the Company’s Board of Directors authorized a $200,000 common stock repurchase program beginning January 1, 2020 through December 31, 2022 (the "2019 Repurchase Program").</w:t>
      </w:r>
    </w:p>
    <w:p>
      <w:pPr>
        <w:spacing w:after="0" w:line="181" w:lineRule="exact"/>
        <w:rPr>
          <w:sz w:val="20"/>
          <w:szCs w:val="20"/>
          <w:color w:val="auto"/>
        </w:rPr>
      </w:pPr>
    </w:p>
    <w:p>
      <w:pPr>
        <w:jc w:val="both"/>
        <w:ind w:right="100" w:firstLine="356"/>
        <w:spacing w:after="0" w:line="254" w:lineRule="auto"/>
        <w:rPr>
          <w:sz w:val="20"/>
          <w:szCs w:val="20"/>
          <w:color w:val="auto"/>
        </w:rPr>
      </w:pPr>
      <w:r>
        <w:rPr>
          <w:rFonts w:ascii="Arial" w:cs="Arial" w:eastAsia="Arial" w:hAnsi="Arial"/>
          <w:sz w:val="16"/>
          <w:szCs w:val="16"/>
          <w:color w:val="auto"/>
        </w:rPr>
        <w:t>On October 5, 2021, the Company’s Board of Directors authorized a $300,000 common stock repurchase program beginning January 1, 2022 (the “2022 Repurchase Program”), and terminated the 2019 Repurchase Program on December 31, 2021.</w:t>
      </w:r>
    </w:p>
    <w:p>
      <w:pPr>
        <w:spacing w:after="0" w:line="181" w:lineRule="exact"/>
        <w:rPr>
          <w:sz w:val="20"/>
          <w:szCs w:val="20"/>
          <w:color w:val="auto"/>
        </w:rPr>
      </w:pPr>
    </w:p>
    <w:p>
      <w:pPr>
        <w:jc w:val="both"/>
        <w:ind w:right="80" w:firstLine="356"/>
        <w:spacing w:after="0" w:line="243" w:lineRule="auto"/>
        <w:rPr>
          <w:sz w:val="20"/>
          <w:szCs w:val="20"/>
          <w:color w:val="auto"/>
        </w:rPr>
      </w:pPr>
      <w:r>
        <w:rPr>
          <w:rFonts w:ascii="Arial" w:cs="Arial" w:eastAsia="Arial" w:hAnsi="Arial"/>
          <w:sz w:val="16"/>
          <w:szCs w:val="16"/>
          <w:color w:val="auto"/>
        </w:rPr>
        <w:t>Under the 2022 Repurchase Program and 2019 Repurchase Program, shares may be purchased by the Company from time to time from the open market and through private transactions, or otherwise, as determined by the Company’s management as market conditions warrant. Repurchases may be discontinued at any time by the management.</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purchased shares of its common stock, including commissions, under repurchase programs, as below:</w:t>
      </w:r>
    </w:p>
    <w:tbl>
      <w:tblPr>
        <w:tblLayout w:type="fixed"/>
        <w:tblInd w:w="380" w:type="dxa"/>
        <w:tblCellMar>
          <w:top w:w="0" w:type="dxa"/>
          <w:left w:w="0" w:type="dxa"/>
          <w:bottom w:w="0" w:type="dxa"/>
          <w:right w:w="0" w:type="dxa"/>
        </w:tblCellMar>
      </w:tblPr>
      <w:tr>
        <w:trPr>
          <w:trHeight w:val="149"/>
        </w:trPr>
        <w:tc>
          <w:tcPr>
            <w:tcW w:w="5340" w:type="dxa"/>
            <w:vAlign w:val="bottom"/>
          </w:tcPr>
          <w:p>
            <w:pPr>
              <w:spacing w:after="0"/>
              <w:rPr>
                <w:sz w:val="12"/>
                <w:szCs w:val="12"/>
                <w:color w:val="auto"/>
              </w:rPr>
            </w:pPr>
          </w:p>
        </w:tc>
        <w:tc>
          <w:tcPr>
            <w:tcW w:w="1500" w:type="dxa"/>
            <w:vAlign w:val="bottom"/>
            <w:gridSpan w:val="2"/>
          </w:tcPr>
          <w:p>
            <w:pPr>
              <w:ind w:left="720"/>
              <w:spacing w:after="0"/>
              <w:rPr>
                <w:sz w:val="20"/>
                <w:szCs w:val="20"/>
                <w:color w:val="auto"/>
              </w:rPr>
            </w:pPr>
            <w:r>
              <w:rPr>
                <w:rFonts w:ascii="Arial" w:cs="Arial" w:eastAsia="Arial" w:hAnsi="Arial"/>
                <w:sz w:val="13"/>
                <w:szCs w:val="13"/>
                <w:b w:val="1"/>
                <w:bCs w:val="1"/>
                <w:color w:val="auto"/>
              </w:rPr>
              <w:t>Shares</w:t>
            </w:r>
          </w:p>
        </w:tc>
        <w:tc>
          <w:tcPr>
            <w:tcW w:w="580" w:type="dxa"/>
            <w:vAlign w:val="bottom"/>
          </w:tcPr>
          <w:p>
            <w:pPr>
              <w:spacing w:after="0"/>
              <w:rPr>
                <w:sz w:val="12"/>
                <w:szCs w:val="12"/>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 consideration</w:t>
            </w:r>
          </w:p>
        </w:tc>
        <w:tc>
          <w:tcPr>
            <w:tcW w:w="480" w:type="dxa"/>
            <w:vAlign w:val="bottom"/>
          </w:tcPr>
          <w:p>
            <w:pPr>
              <w:spacing w:after="0"/>
              <w:rPr>
                <w:sz w:val="12"/>
                <w:szCs w:val="12"/>
                <w:color w:val="auto"/>
              </w:rPr>
            </w:pPr>
          </w:p>
        </w:tc>
        <w:tc>
          <w:tcPr>
            <w:tcW w:w="1580" w:type="dxa"/>
            <w:vAlign w:val="bottom"/>
          </w:tcPr>
          <w:p>
            <w:pPr>
              <w:jc w:val="right"/>
              <w:ind w:right="9"/>
              <w:spacing w:after="0"/>
              <w:rPr>
                <w:sz w:val="20"/>
                <w:szCs w:val="20"/>
                <w:color w:val="auto"/>
              </w:rPr>
            </w:pPr>
            <w:r>
              <w:rPr>
                <w:rFonts w:ascii="Arial" w:cs="Arial" w:eastAsia="Arial" w:hAnsi="Arial"/>
                <w:sz w:val="13"/>
                <w:szCs w:val="13"/>
                <w:b w:val="1"/>
                <w:bCs w:val="1"/>
                <w:color w:val="auto"/>
                <w:w w:val="85"/>
              </w:rPr>
              <w:t>Weighted average purchase</w:t>
            </w:r>
          </w:p>
        </w:tc>
        <w:tc>
          <w:tcPr>
            <w:tcW w:w="0" w:type="dxa"/>
            <w:vAlign w:val="bottom"/>
          </w:tcPr>
          <w:p>
            <w:pPr>
              <w:spacing w:after="0"/>
              <w:rPr>
                <w:sz w:val="1"/>
                <w:szCs w:val="1"/>
                <w:color w:val="auto"/>
              </w:rPr>
            </w:pPr>
          </w:p>
        </w:tc>
      </w:tr>
      <w:tr>
        <w:trPr>
          <w:trHeight w:val="166"/>
        </w:trPr>
        <w:tc>
          <w:tcPr>
            <w:tcW w:w="5340" w:type="dxa"/>
            <w:vAlign w:val="bottom"/>
          </w:tcPr>
          <w:p>
            <w:pPr>
              <w:spacing w:after="0"/>
              <w:rPr>
                <w:sz w:val="14"/>
                <w:szCs w:val="14"/>
                <w:color w:val="auto"/>
              </w:rPr>
            </w:pPr>
          </w:p>
        </w:tc>
        <w:tc>
          <w:tcPr>
            <w:tcW w:w="1500" w:type="dxa"/>
            <w:vAlign w:val="bottom"/>
            <w:gridSpan w:val="2"/>
          </w:tcPr>
          <w:p>
            <w:pPr>
              <w:ind w:left="380"/>
              <w:spacing w:after="0"/>
              <w:rPr>
                <w:sz w:val="20"/>
                <w:szCs w:val="20"/>
                <w:color w:val="auto"/>
              </w:rPr>
            </w:pPr>
            <w:r>
              <w:rPr>
                <w:rFonts w:ascii="Arial" w:cs="Arial" w:eastAsia="Arial" w:hAnsi="Arial"/>
                <w:sz w:val="13"/>
                <w:szCs w:val="13"/>
                <w:b w:val="1"/>
                <w:bCs w:val="1"/>
                <w:color w:val="auto"/>
              </w:rPr>
              <w:t>repurchased</w:t>
            </w:r>
          </w:p>
        </w:tc>
        <w:tc>
          <w:tcPr>
            <w:tcW w:w="5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jc w:val="right"/>
              <w:ind w:right="489"/>
              <w:spacing w:after="0" w:line="166" w:lineRule="exact"/>
              <w:rPr>
                <w:sz w:val="20"/>
                <w:szCs w:val="20"/>
                <w:color w:val="auto"/>
              </w:rPr>
            </w:pPr>
            <w:r>
              <w:rPr>
                <w:rFonts w:ascii="Arial" w:cs="Arial" w:eastAsia="Arial" w:hAnsi="Arial"/>
                <w:sz w:val="13"/>
                <w:szCs w:val="13"/>
                <w:b w:val="1"/>
                <w:bCs w:val="1"/>
                <w:color w:val="auto"/>
                <w:w w:val="90"/>
              </w:rPr>
              <w:t xml:space="preserve">price per share </w:t>
            </w:r>
            <w:r>
              <w:rPr>
                <w:rFonts w:ascii="Arial" w:cs="Arial" w:eastAsia="Arial" w:hAnsi="Arial"/>
                <w:sz w:val="16"/>
                <w:szCs w:val="16"/>
                <w:b w:val="1"/>
                <w:bCs w:val="1"/>
                <w:color w:val="auto"/>
                <w:w w:val="90"/>
                <w:vertAlign w:val="superscript"/>
              </w:rPr>
              <w:t>(1)</w:t>
            </w:r>
          </w:p>
        </w:tc>
        <w:tc>
          <w:tcPr>
            <w:tcW w:w="0" w:type="dxa"/>
            <w:vAlign w:val="bottom"/>
          </w:tcPr>
          <w:p>
            <w:pPr>
              <w:spacing w:after="0"/>
              <w:rPr>
                <w:sz w:val="1"/>
                <w:szCs w:val="1"/>
                <w:color w:val="auto"/>
              </w:rPr>
            </w:pPr>
          </w:p>
        </w:tc>
      </w:tr>
      <w:tr>
        <w:trPr>
          <w:trHeight w:val="194"/>
        </w:trPr>
        <w:tc>
          <w:tcPr>
            <w:tcW w:w="534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Three months ended March 31, 2022</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221,333</w:t>
            </w:r>
          </w:p>
        </w:tc>
        <w:tc>
          <w:tcPr>
            <w:tcW w:w="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28,194</w:t>
            </w: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127.38</w:t>
            </w:r>
          </w:p>
        </w:tc>
        <w:tc>
          <w:tcPr>
            <w:tcW w:w="0" w:type="dxa"/>
            <w:vAlign w:val="bottom"/>
          </w:tcPr>
          <w:p>
            <w:pPr>
              <w:spacing w:after="0"/>
              <w:rPr>
                <w:sz w:val="1"/>
                <w:szCs w:val="1"/>
                <w:color w:val="auto"/>
              </w:rPr>
            </w:pPr>
          </w:p>
        </w:tc>
      </w:tr>
      <w:tr>
        <w:trPr>
          <w:trHeight w:val="201"/>
        </w:trPr>
        <w:tc>
          <w:tcPr>
            <w:tcW w:w="5340" w:type="dxa"/>
            <w:vAlign w:val="bottom"/>
          </w:tcPr>
          <w:p>
            <w:pPr>
              <w:ind w:left="420"/>
              <w:spacing w:after="0"/>
              <w:rPr>
                <w:sz w:val="20"/>
                <w:szCs w:val="20"/>
                <w:color w:val="auto"/>
              </w:rPr>
            </w:pPr>
            <w:r>
              <w:rPr>
                <w:rFonts w:ascii="Arial" w:cs="Arial" w:eastAsia="Arial" w:hAnsi="Arial"/>
                <w:sz w:val="16"/>
                <w:szCs w:val="16"/>
                <w:color w:val="auto"/>
              </w:rPr>
              <w:t>Three months ended March 31, 2021</w:t>
            </w:r>
          </w:p>
        </w:tc>
        <w:tc>
          <w:tcPr>
            <w:tcW w:w="1420" w:type="dxa"/>
            <w:vAlign w:val="bottom"/>
          </w:tcPr>
          <w:p>
            <w:pPr>
              <w:jc w:val="right"/>
              <w:spacing w:after="0"/>
              <w:rPr>
                <w:sz w:val="20"/>
                <w:szCs w:val="20"/>
                <w:color w:val="auto"/>
              </w:rPr>
            </w:pPr>
            <w:r>
              <w:rPr>
                <w:rFonts w:ascii="Arial" w:cs="Arial" w:eastAsia="Arial" w:hAnsi="Arial"/>
                <w:sz w:val="16"/>
                <w:szCs w:val="16"/>
                <w:color w:val="auto"/>
              </w:rPr>
              <w:t>313,032</w:t>
            </w:r>
          </w:p>
        </w:tc>
        <w:tc>
          <w:tcPr>
            <w:tcW w:w="8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27,000</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86.25</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right="80" w:firstLine="351"/>
        <w:spacing w:after="0" w:line="231" w:lineRule="auto"/>
        <w:tabs>
          <w:tab w:leader="none" w:pos="502"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The weighted average purchase price per share was the closing price of the Company's share of common stock on the Nasdaq Global Select Market on the trading day prior to the vesting date of the shares of restricted stock.</w:t>
      </w:r>
    </w:p>
    <w:p>
      <w:pPr>
        <w:spacing w:after="0" w:line="180" w:lineRule="exact"/>
        <w:rPr>
          <w:sz w:val="20"/>
          <w:szCs w:val="20"/>
          <w:color w:val="auto"/>
        </w:rPr>
      </w:pPr>
    </w:p>
    <w:p>
      <w:pPr>
        <w:jc w:val="both"/>
        <w:ind w:right="100" w:firstLine="392"/>
        <w:spacing w:after="0" w:line="254" w:lineRule="auto"/>
        <w:rPr>
          <w:sz w:val="20"/>
          <w:szCs w:val="20"/>
          <w:color w:val="auto"/>
        </w:rPr>
      </w:pPr>
      <w:r>
        <w:rPr>
          <w:rFonts w:ascii="Arial" w:cs="Arial" w:eastAsia="Arial" w:hAnsi="Arial"/>
          <w:sz w:val="16"/>
          <w:szCs w:val="16"/>
          <w:color w:val="auto"/>
        </w:rPr>
        <w:t>Repurchased shares have been recorded as treasury shares and will be held until the Company’s Board of Directors designates that these shares be retired or used for other purposes.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Employee Benefit Plans</w:t>
      </w:r>
    </w:p>
    <w:p>
      <w:pPr>
        <w:spacing w:after="0" w:line="224" w:lineRule="exact"/>
        <w:rPr>
          <w:sz w:val="20"/>
          <w:szCs w:val="20"/>
          <w:color w:val="auto"/>
        </w:rPr>
      </w:pPr>
    </w:p>
    <w:p>
      <w:pPr>
        <w:jc w:val="both"/>
        <w:ind w:right="80" w:firstLine="356"/>
        <w:spacing w:after="0" w:line="255" w:lineRule="auto"/>
        <w:rPr>
          <w:sz w:val="20"/>
          <w:szCs w:val="20"/>
          <w:color w:val="auto"/>
        </w:rPr>
      </w:pPr>
      <w:r>
        <w:rPr>
          <w:rFonts w:ascii="Arial" w:cs="Arial" w:eastAsia="Arial" w:hAnsi="Arial"/>
          <w:sz w:val="15"/>
          <w:szCs w:val="15"/>
          <w:color w:val="auto"/>
        </w:rPr>
        <w:t>The Company’s Gratuity Plan in India (the "India Plan") provides for a lump sum payment to vested employees on retirement or upon termination of employment in an amount based on the respective employee’s salary and years of employment with the Company. 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Liabilities with regard to the India Plan and the Philippines Plan are determined by actuarial valuation using the projected unit credit method. Current service costs for these Plans are accrued in the year to which they relate. Actuarial gains or losses or prior service costs, if any, resulting from amendments to the plans are recognized and amortized over the remaining period of service of the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type w:val="continuous"/>
        </w:sectPr>
      </w:pPr>
    </w:p>
    <w:bookmarkStart w:id="29" w:name="page30"/>
    <w:bookmarkEnd w:id="2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Components of net periodic benefit costs, were as follows:</w:t>
      </w:r>
    </w:p>
    <w:p>
      <w:pPr>
        <w:spacing w:after="0" w:line="106"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6600" w:type="dxa"/>
            <w:vAlign w:val="bottom"/>
          </w:tcPr>
          <w:p>
            <w:pPr>
              <w:spacing w:after="0"/>
              <w:rPr>
                <w:sz w:val="14"/>
                <w:szCs w:val="14"/>
                <w:color w:val="auto"/>
              </w:rPr>
            </w:pPr>
          </w:p>
        </w:tc>
        <w:tc>
          <w:tcPr>
            <w:tcW w:w="2400" w:type="dxa"/>
            <w:vAlign w:val="bottom"/>
            <w:tcBorders>
              <w:bottom w:val="single" w:sz="8" w:color="auto"/>
            </w:tcBorders>
            <w:gridSpan w:val="4"/>
          </w:tcPr>
          <w:p>
            <w:pPr>
              <w:ind w:left="600"/>
              <w:spacing w:after="0"/>
              <w:rPr>
                <w:sz w:val="20"/>
                <w:szCs w:val="20"/>
                <w:color w:val="auto"/>
              </w:rPr>
            </w:pPr>
            <w:r>
              <w:rPr>
                <w:rFonts w:ascii="Arial" w:cs="Arial" w:eastAsia="Arial" w:hAnsi="Arial"/>
                <w:sz w:val="13"/>
                <w:szCs w:val="13"/>
                <w:b w:val="1"/>
                <w:bCs w:val="1"/>
                <w:color w:val="auto"/>
                <w:w w:val="92"/>
              </w:rPr>
              <w:t>Three months ended March 31,</w:t>
            </w:r>
          </w:p>
        </w:tc>
        <w:tc>
          <w:tcPr>
            <w:tcW w:w="480" w:type="dxa"/>
            <w:vAlign w:val="bottom"/>
            <w:tcBorders>
              <w:bottom w:val="single" w:sz="8" w:color="auto"/>
            </w:tcBorders>
          </w:tcPr>
          <w:p>
            <w:pPr>
              <w:spacing w:after="0"/>
              <w:rPr>
                <w:sz w:val="14"/>
                <w:szCs w:val="14"/>
                <w:color w:val="auto"/>
              </w:rPr>
            </w:pPr>
          </w:p>
        </w:tc>
      </w:tr>
      <w:tr>
        <w:trPr>
          <w:trHeight w:val="162"/>
        </w:trPr>
        <w:tc>
          <w:tcPr>
            <w:tcW w:w="66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2022</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4"/>
                <w:szCs w:val="14"/>
                <w:color w:val="auto"/>
              </w:rPr>
            </w:pPr>
          </w:p>
        </w:tc>
      </w:tr>
      <w:tr>
        <w:trPr>
          <w:trHeight w:val="194"/>
        </w:trPr>
        <w:tc>
          <w:tcPr>
            <w:tcW w:w="66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Service cost</w:t>
            </w:r>
          </w:p>
        </w:tc>
        <w:tc>
          <w:tcPr>
            <w:tcW w:w="920" w:type="dxa"/>
            <w:vAlign w:val="bottom"/>
            <w:shd w:val="clear" w:color="auto" w:fill="CCEEFF"/>
          </w:tcPr>
          <w:p>
            <w:pPr>
              <w:jc w:val="right"/>
              <w:ind w:right="747"/>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r>
      <w:tr>
        <w:trPr>
          <w:trHeight w:val="201"/>
        </w:trPr>
        <w:tc>
          <w:tcPr>
            <w:tcW w:w="66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02"/>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01"/>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actuarial loss, gross of tax</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r>
      <w:tr>
        <w:trPr>
          <w:trHeight w:val="219"/>
        </w:trPr>
        <w:tc>
          <w:tcPr>
            <w:tcW w:w="660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Net gratuity cost</w:t>
            </w:r>
          </w:p>
        </w:tc>
        <w:tc>
          <w:tcPr>
            <w:tcW w:w="920" w:type="dxa"/>
            <w:vAlign w:val="bottom"/>
            <w:tcBorders>
              <w:bottom w:val="single" w:sz="8" w:color="auto"/>
            </w:tcBorders>
            <w:shd w:val="clear" w:color="auto" w:fill="CCEEFF"/>
          </w:tcPr>
          <w:p>
            <w:pPr>
              <w:jc w:val="right"/>
              <w:ind w:right="747"/>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1,102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182"/>
        </w:trPr>
        <w:tc>
          <w:tcPr>
            <w:tcW w:w="6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02"/>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effects on amortization of actuarial loss</w:t>
            </w: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193"/>
        </w:trPr>
        <w:tc>
          <w:tcPr>
            <w:tcW w:w="6600" w:type="dxa"/>
            <w:vAlign w:val="bottom"/>
          </w:tcPr>
          <w:p>
            <w:pPr>
              <w:ind w:left="20"/>
              <w:spacing w:after="0"/>
              <w:rPr>
                <w:sz w:val="20"/>
                <w:szCs w:val="20"/>
                <w:color w:val="auto"/>
              </w:rPr>
            </w:pPr>
            <w:r>
              <w:rPr>
                <w:rFonts w:ascii="Arial" w:cs="Arial" w:eastAsia="Arial" w:hAnsi="Arial"/>
                <w:sz w:val="16"/>
                <w:szCs w:val="16"/>
                <w:color w:val="auto"/>
              </w:rPr>
              <w:t>Amortization of actuarial loss, net of tax</w:t>
            </w:r>
          </w:p>
        </w:tc>
        <w:tc>
          <w:tcPr>
            <w:tcW w:w="920" w:type="dxa"/>
            <w:vAlign w:val="bottom"/>
            <w:tcBorders>
              <w:bottom w:val="single" w:sz="8" w:color="auto"/>
            </w:tcBorders>
          </w:tcPr>
          <w:p>
            <w:pPr>
              <w:jc w:val="right"/>
              <w:ind w:right="747"/>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685"/>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bl>
    <w:p>
      <w:pPr>
        <w:spacing w:after="0" w:line="272" w:lineRule="exact"/>
        <w:rPr>
          <w:sz w:val="20"/>
          <w:szCs w:val="20"/>
          <w:color w:val="auto"/>
        </w:rPr>
      </w:pPr>
    </w:p>
    <w:p>
      <w:pPr>
        <w:jc w:val="both"/>
        <w:ind w:firstLine="356"/>
        <w:spacing w:after="0" w:line="285" w:lineRule="auto"/>
        <w:rPr>
          <w:sz w:val="20"/>
          <w:szCs w:val="20"/>
          <w:color w:val="auto"/>
        </w:rPr>
      </w:pPr>
      <w:r>
        <w:rPr>
          <w:rFonts w:ascii="Arial" w:cs="Arial" w:eastAsia="Arial" w:hAnsi="Arial"/>
          <w:sz w:val="14"/>
          <w:szCs w:val="14"/>
          <w:color w:val="auto"/>
        </w:rPr>
        <w:t>The India Plan is partially funded whereas the Philippines plan is unfunded. The Company makes annual contributions to the employees' gratuity fund of the India Plan established with Life Insurance Corporation of India and HDFC Standard Life Insurance Company. Fund managers manage these funds and calculate the annual contribution required to be made by the Company and manage the India Plan, including any required payouts. These funds are managed on a cash accumulation basis and interest is declared retrospectively on March 31 of each year. The Company expects to earn a return of approximately 7.2% per annum on the India Plan for the year ended December 31, 2022.</w:t>
      </w:r>
    </w:p>
    <w:p>
      <w:pPr>
        <w:spacing w:after="0" w:line="193" w:lineRule="exact"/>
        <w:rPr>
          <w:sz w:val="20"/>
          <w:szCs w:val="20"/>
          <w:color w:val="auto"/>
        </w:rPr>
      </w:pPr>
    </w:p>
    <w:tbl>
      <w:tblPr>
        <w:tblLayout w:type="fixed"/>
        <w:tblInd w:w="1200" w:type="dxa"/>
        <w:tblCellMar>
          <w:top w:w="0" w:type="dxa"/>
          <w:left w:w="0" w:type="dxa"/>
          <w:bottom w:w="0" w:type="dxa"/>
          <w:right w:w="0" w:type="dxa"/>
        </w:tblCellMar>
      </w:tblPr>
      <w:tr>
        <w:trPr>
          <w:trHeight w:val="206"/>
        </w:trPr>
        <w:tc>
          <w:tcPr>
            <w:tcW w:w="7300" w:type="dxa"/>
            <w:vAlign w:val="bottom"/>
          </w:tcPr>
          <w:p>
            <w:pPr>
              <w:ind w:left="360"/>
              <w:spacing w:after="0"/>
              <w:rPr>
                <w:sz w:val="20"/>
                <w:szCs w:val="20"/>
                <w:color w:val="auto"/>
              </w:rPr>
            </w:pPr>
            <w:r>
              <w:rPr>
                <w:rFonts w:ascii="Arial" w:cs="Arial" w:eastAsia="Arial" w:hAnsi="Arial"/>
                <w:sz w:val="16"/>
                <w:szCs w:val="16"/>
                <w:b w:val="1"/>
                <w:bCs w:val="1"/>
                <w:color w:val="auto"/>
              </w:rPr>
              <w:t>Change in Plan Assets</w:t>
            </w: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7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Plan assets at January 1, 2022</w:t>
            </w:r>
          </w:p>
        </w:tc>
        <w:tc>
          <w:tcPr>
            <w:tcW w:w="94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13,605</w:t>
            </w:r>
          </w:p>
        </w:tc>
      </w:tr>
      <w:tr>
        <w:trPr>
          <w:trHeight w:val="201"/>
        </w:trPr>
        <w:tc>
          <w:tcPr>
            <w:tcW w:w="7300" w:type="dxa"/>
            <w:vAlign w:val="bottom"/>
          </w:tcPr>
          <w:p>
            <w:pPr>
              <w:ind w:left="640"/>
              <w:spacing w:after="0"/>
              <w:rPr>
                <w:sz w:val="20"/>
                <w:szCs w:val="20"/>
                <w:color w:val="auto"/>
              </w:rPr>
            </w:pPr>
            <w:r>
              <w:rPr>
                <w:rFonts w:ascii="Arial" w:cs="Arial" w:eastAsia="Arial" w:hAnsi="Arial"/>
                <w:sz w:val="16"/>
                <w:szCs w:val="16"/>
                <w:color w:val="auto"/>
              </w:rPr>
              <w:t>Actual return</w:t>
            </w:r>
          </w:p>
        </w:tc>
        <w:tc>
          <w:tcPr>
            <w:tcW w:w="9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02"/>
        </w:trPr>
        <w:tc>
          <w:tcPr>
            <w:tcW w:w="73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Employer contribution</w:t>
            </w: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7300" w:type="dxa"/>
            <w:vAlign w:val="bottom"/>
          </w:tcPr>
          <w:p>
            <w:pPr>
              <w:ind w:left="640"/>
              <w:spacing w:after="0"/>
              <w:rPr>
                <w:sz w:val="20"/>
                <w:szCs w:val="20"/>
                <w:color w:val="auto"/>
              </w:rPr>
            </w:pPr>
            <w:r>
              <w:rPr>
                <w:rFonts w:ascii="Arial" w:cs="Arial" w:eastAsia="Arial" w:hAnsi="Arial"/>
                <w:sz w:val="16"/>
                <w:szCs w:val="16"/>
                <w:color w:val="auto"/>
              </w:rPr>
              <w:t>Benefits paid</w:t>
            </w:r>
          </w:p>
        </w:tc>
        <w:tc>
          <w:tcPr>
            <w:tcW w:w="9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202"/>
        </w:trPr>
        <w:tc>
          <w:tcPr>
            <w:tcW w:w="73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Effect of exchange rate changes</w:t>
            </w:r>
          </w:p>
        </w:tc>
        <w:tc>
          <w:tcPr>
            <w:tcW w:w="9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r>
      <w:tr>
        <w:trPr>
          <w:trHeight w:val="194"/>
        </w:trPr>
        <w:tc>
          <w:tcPr>
            <w:tcW w:w="7300" w:type="dxa"/>
            <w:vAlign w:val="bottom"/>
          </w:tcPr>
          <w:p>
            <w:pPr>
              <w:ind w:left="360"/>
              <w:spacing w:after="0"/>
              <w:rPr>
                <w:sz w:val="20"/>
                <w:szCs w:val="20"/>
                <w:color w:val="auto"/>
              </w:rPr>
            </w:pPr>
            <w:r>
              <w:rPr>
                <w:rFonts w:ascii="Arial" w:cs="Arial" w:eastAsia="Arial" w:hAnsi="Arial"/>
                <w:sz w:val="16"/>
                <w:szCs w:val="16"/>
                <w:color w:val="auto"/>
              </w:rPr>
              <w:t>Plan assets at March 31, 2022</w:t>
            </w: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13,149</w:t>
            </w:r>
          </w:p>
        </w:tc>
      </w:tr>
      <w:tr>
        <w:trPr>
          <w:trHeight w:val="20"/>
        </w:trPr>
        <w:tc>
          <w:tcPr>
            <w:tcW w:w="7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ind w:firstLine="356"/>
        <w:spacing w:after="0" w:line="243" w:lineRule="auto"/>
        <w:rPr>
          <w:sz w:val="20"/>
          <w:szCs w:val="20"/>
          <w:color w:val="auto"/>
        </w:rPr>
      </w:pPr>
      <w:r>
        <w:rPr>
          <w:rFonts w:ascii="Arial" w:cs="Arial" w:eastAsia="Arial" w:hAnsi="Arial"/>
          <w:sz w:val="16"/>
          <w:szCs w:val="16"/>
          <w:color w:val="auto"/>
        </w:rPr>
        <w:t>The Company maintains several 401(k) plans (the “401(k) Plans”) under Section 401(k) of the Internal Revenue Code of 1986, as amended (the “Code”), covering all eligible employees, as defined in the Code as a defined contribution plan. The Company may make discretionary contributions of up to a maximum of 4.0% of employee compensation within certain limits.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accrual for contributions to the 401(k) Plans were as follows:</w:t>
      </w:r>
    </w:p>
    <w:p>
      <w:pPr>
        <w:spacing w:after="0" w:line="22" w:lineRule="exact"/>
        <w:rPr>
          <w:sz w:val="20"/>
          <w:szCs w:val="20"/>
          <w:color w:val="auto"/>
        </w:rPr>
      </w:pPr>
    </w:p>
    <w:p>
      <w:pPr>
        <w:jc w:val="center"/>
        <w:ind w:left="556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4114165</wp:posOffset>
            </wp:positionH>
            <wp:positionV relativeFrom="paragraph">
              <wp:posOffset>23495</wp:posOffset>
            </wp:positionV>
            <wp:extent cx="221678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16785" cy="7620"/>
                    </a:xfrm>
                    <a:prstGeom prst="rect">
                      <a:avLst/>
                    </a:prstGeom>
                    <a:noFill/>
                  </pic:spPr>
                </pic:pic>
              </a:graphicData>
            </a:graphic>
          </wp:anchor>
        </w:drawing>
      </w:r>
    </w:p>
    <w:p>
      <w:pPr>
        <w:spacing w:after="0" w:line="21" w:lineRule="exact"/>
        <w:rPr>
          <w:sz w:val="20"/>
          <w:szCs w:val="20"/>
          <w:color w:val="auto"/>
        </w:rPr>
      </w:pPr>
    </w:p>
    <w:p>
      <w:pPr>
        <w:ind w:left="7380"/>
        <w:spacing w:after="0"/>
        <w:tabs>
          <w:tab w:leader="none" w:pos="9140"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15875</wp:posOffset>
            </wp:positionV>
            <wp:extent cx="6108065" cy="135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08065" cy="135890"/>
                    </a:xfrm>
                    <a:prstGeom prst="rect">
                      <a:avLst/>
                    </a:prstGeom>
                    <a:noFill/>
                  </pic:spPr>
                </pic:pic>
              </a:graphicData>
            </a:graphic>
          </wp:anchor>
        </w:drawing>
      </w:r>
    </w:p>
    <w:p>
      <w:pPr>
        <w:spacing w:after="0" w:line="16" w:lineRule="exact"/>
        <w:rPr>
          <w:sz w:val="20"/>
          <w:szCs w:val="20"/>
          <w:color w:val="auto"/>
        </w:rPr>
      </w:pPr>
    </w:p>
    <w:p>
      <w:pPr>
        <w:ind w:left="720"/>
        <w:spacing w:after="0"/>
        <w:tabs>
          <w:tab w:leader="none" w:pos="6840" w:val="left"/>
          <w:tab w:leader="none" w:pos="7740" w:val="left"/>
          <w:tab w:leader="none" w:pos="8620" w:val="left"/>
          <w:tab w:leader="none" w:pos="9540" w:val="left"/>
        </w:tabs>
        <w:rPr>
          <w:sz w:val="20"/>
          <w:szCs w:val="20"/>
          <w:color w:val="auto"/>
        </w:rPr>
      </w:pPr>
      <w:r>
        <w:rPr>
          <w:rFonts w:ascii="Arial" w:cs="Arial" w:eastAsia="Arial" w:hAnsi="Arial"/>
          <w:sz w:val="16"/>
          <w:szCs w:val="16"/>
          <w:color w:val="auto"/>
        </w:rPr>
        <w:t>Contribution to the 401(k) Plans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2,017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2"/>
          <w:szCs w:val="12"/>
          <w:color w:val="auto"/>
        </w:rPr>
        <w:t>1,299</w:t>
      </w:r>
    </w:p>
    <w:p>
      <w:pPr>
        <w:spacing w:after="0" w:line="3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Company's contribution for various defined benefit plans on behalf of employees in India, the Philippines, the Czech Republic, South Africa, Colombia, Australia and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Singapore were as follows:</w:t>
      </w:r>
    </w:p>
    <w:p>
      <w:pPr>
        <w:spacing w:after="0" w:line="8" w:lineRule="exact"/>
        <w:rPr>
          <w:sz w:val="20"/>
          <w:szCs w:val="20"/>
          <w:color w:val="auto"/>
        </w:rPr>
      </w:pPr>
    </w:p>
    <w:p>
      <w:pPr>
        <w:jc w:val="center"/>
        <w:ind w:left="560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15875</wp:posOffset>
            </wp:positionV>
            <wp:extent cx="225488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54885" cy="7620"/>
                    </a:xfrm>
                    <a:prstGeom prst="rect">
                      <a:avLst/>
                    </a:prstGeom>
                    <a:noFill/>
                  </pic:spPr>
                </pic:pic>
              </a:graphicData>
            </a:graphic>
          </wp:anchor>
        </w:drawing>
      </w:r>
    </w:p>
    <w:p>
      <w:pPr>
        <w:spacing w:after="0" w:line="9" w:lineRule="exact"/>
        <w:rPr>
          <w:sz w:val="20"/>
          <w:szCs w:val="20"/>
          <w:color w:val="auto"/>
        </w:rPr>
      </w:pPr>
    </w:p>
    <w:p>
      <w:pPr>
        <w:ind w:left="7400"/>
        <w:spacing w:after="0"/>
        <w:tabs>
          <w:tab w:leader="none" w:pos="9180"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2021</w:t>
      </w:r>
    </w:p>
    <w:p>
      <w:pPr>
        <w:spacing w:after="0" w:line="15" w:lineRule="exact"/>
        <w:rPr>
          <w:sz w:val="20"/>
          <w:szCs w:val="20"/>
          <w:color w:val="auto"/>
        </w:rPr>
      </w:pPr>
    </w:p>
    <w:p>
      <w:pPr>
        <w:ind w:left="800"/>
        <w:spacing w:after="0"/>
        <w:tabs>
          <w:tab w:leader="none" w:pos="6840" w:val="left"/>
          <w:tab w:leader="none" w:pos="7740" w:val="left"/>
          <w:tab w:leader="none" w:pos="8660" w:val="left"/>
          <w:tab w:leader="none" w:pos="9560" w:val="left"/>
        </w:tabs>
        <w:rPr>
          <w:sz w:val="20"/>
          <w:szCs w:val="20"/>
          <w:color w:val="auto"/>
        </w:rPr>
      </w:pPr>
      <w:r>
        <w:rPr>
          <w:rFonts w:ascii="Arial" w:cs="Arial" w:eastAsia="Arial" w:hAnsi="Arial"/>
          <w:sz w:val="16"/>
          <w:szCs w:val="16"/>
          <w:color w:val="auto"/>
        </w:rPr>
        <w:t>Contributions to the defined benefit plans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4,213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3,294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-109855</wp:posOffset>
            </wp:positionV>
            <wp:extent cx="6108065" cy="135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08065" cy="13589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Leases</w:t>
      </w:r>
    </w:p>
    <w:p>
      <w:pPr>
        <w:spacing w:after="0" w:line="224" w:lineRule="exact"/>
        <w:rPr>
          <w:sz w:val="20"/>
          <w:szCs w:val="20"/>
          <w:color w:val="auto"/>
        </w:rPr>
      </w:pPr>
    </w:p>
    <w:p>
      <w:pPr>
        <w:jc w:val="both"/>
        <w:ind w:right="20" w:firstLine="356"/>
        <w:spacing w:after="0" w:line="243" w:lineRule="auto"/>
        <w:rPr>
          <w:sz w:val="20"/>
          <w:szCs w:val="20"/>
          <w:color w:val="auto"/>
        </w:rPr>
      </w:pPr>
      <w:r>
        <w:rPr>
          <w:rFonts w:ascii="Arial" w:cs="Arial" w:eastAsia="Arial" w:hAnsi="Arial"/>
          <w:sz w:val="16"/>
          <w:szCs w:val="16"/>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 The lease agreements do not contain any covenants to impose any restrictions except for market-standard practice for similar lease arrangements.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0" w:name="page31"/>
    <w:bookmarkEnd w:id="3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56"/>
        <w:spacing w:after="0" w:line="262" w:lineRule="auto"/>
        <w:rPr>
          <w:sz w:val="20"/>
          <w:szCs w:val="20"/>
          <w:color w:val="auto"/>
        </w:rPr>
      </w:pPr>
      <w:r>
        <w:rPr>
          <w:rFonts w:ascii="Arial" w:cs="Arial" w:eastAsia="Arial" w:hAnsi="Arial"/>
          <w:sz w:val="14"/>
          <w:szCs w:val="14"/>
          <w:color w:val="auto"/>
        </w:rPr>
        <w:t xml:space="preserve">The Company had performed an evaluation of its contracts with suppliers in accordance with Topic 842, </w:t>
      </w:r>
      <w:r>
        <w:rPr>
          <w:rFonts w:ascii="Arial" w:cs="Arial" w:eastAsia="Arial" w:hAnsi="Arial"/>
          <w:sz w:val="14"/>
          <w:szCs w:val="14"/>
          <w:i w:val="1"/>
          <w:iCs w:val="1"/>
          <w:color w:val="auto"/>
        </w:rPr>
        <w:t>Leases</w:t>
      </w:r>
      <w:r>
        <w:rPr>
          <w:rFonts w:ascii="Arial" w:cs="Arial" w:eastAsia="Arial" w:hAnsi="Arial"/>
          <w:sz w:val="14"/>
          <w:szCs w:val="14"/>
          <w:color w:val="auto"/>
        </w:rPr>
        <w:t>, and had determined that, except for leases for office facilities, motor vehicles and other equipment as described above, none of the Company’s contracts contain a lease. In assessment of the lease term, the Company considers the extension option as part of its lease term for those lease arrangements where the Company is reasonably certain of availing the extension option. As part of the Company’s effort to moderate the impact of COVID-19, the Company continued to evaluate its office facilities to determine where it can exit, consolidate, or otherwise optimize its use of office space. The Company recognizes changes to the lease term by remeasuring lease liabilities as of the date of such modification with the resultant adjustment to the ROU assets.</w:t>
      </w:r>
    </w:p>
    <w:p>
      <w:pPr>
        <w:spacing w:after="0" w:line="178" w:lineRule="exact"/>
        <w:rPr>
          <w:sz w:val="20"/>
          <w:szCs w:val="20"/>
          <w:color w:val="auto"/>
        </w:rPr>
      </w:pPr>
    </w:p>
    <w:p>
      <w:pPr>
        <w:jc w:val="both"/>
        <w:ind w:right="20" w:firstLine="356"/>
        <w:spacing w:after="0" w:line="254" w:lineRule="auto"/>
        <w:rPr>
          <w:sz w:val="20"/>
          <w:szCs w:val="20"/>
          <w:color w:val="auto"/>
        </w:rPr>
      </w:pPr>
      <w:r>
        <w:rPr>
          <w:rFonts w:ascii="Arial" w:cs="Arial" w:eastAsia="Arial" w:hAnsi="Arial"/>
          <w:sz w:val="16"/>
          <w:szCs w:val="16"/>
          <w:color w:val="auto"/>
        </w:rPr>
        <w:t>The impact of COVID-19 on the economic environment is uncertain and has caused variability in the determination of the incremental borrowing rate and extension option, which have an impact on measurement of lease liabilities and ROU assets.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Supplemental balance sheet information</w:t>
      </w:r>
    </w:p>
    <w:p>
      <w:pPr>
        <w:spacing w:after="0" w:line="220"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7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w w:val="97"/>
              </w:rPr>
              <w:t>As of</w:t>
            </w:r>
          </w:p>
        </w:tc>
        <w:tc>
          <w:tcPr>
            <w:tcW w:w="1500" w:type="dxa"/>
            <w:vAlign w:val="bottom"/>
          </w:tcPr>
          <w:p>
            <w:pPr>
              <w:spacing w:after="0"/>
              <w:rPr>
                <w:sz w:val="16"/>
                <w:szCs w:val="16"/>
                <w:color w:val="auto"/>
              </w:rPr>
            </w:pPr>
          </w:p>
        </w:tc>
      </w:tr>
      <w:tr>
        <w:trPr>
          <w:trHeight w:val="193"/>
        </w:trPr>
        <w:tc>
          <w:tcPr>
            <w:tcW w:w="7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27"/>
              <w:spacing w:after="0"/>
              <w:rPr>
                <w:sz w:val="20"/>
                <w:szCs w:val="20"/>
                <w:color w:val="auto"/>
              </w:rPr>
            </w:pPr>
            <w:r>
              <w:rPr>
                <w:rFonts w:ascii="Arial" w:cs="Arial" w:eastAsia="Arial" w:hAnsi="Arial"/>
                <w:sz w:val="14"/>
                <w:szCs w:val="14"/>
                <w:b w:val="1"/>
                <w:bCs w:val="1"/>
                <w:color w:val="auto"/>
                <w:w w:val="93"/>
              </w:rPr>
              <w:t>December 31, 2021</w:t>
            </w:r>
          </w:p>
        </w:tc>
      </w:tr>
      <w:tr>
        <w:trPr>
          <w:trHeight w:val="208"/>
        </w:trPr>
        <w:tc>
          <w:tcPr>
            <w:tcW w:w="7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90"/>
        </w:trPr>
        <w:tc>
          <w:tcPr>
            <w:tcW w:w="7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Lease</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01"/>
        </w:trPr>
        <w:tc>
          <w:tcPr>
            <w:tcW w:w="728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
              <w:spacing w:after="0"/>
              <w:rPr>
                <w:sz w:val="20"/>
                <w:szCs w:val="20"/>
                <w:color w:val="auto"/>
              </w:rPr>
            </w:pPr>
            <w:r>
              <w:rPr>
                <w:rFonts w:ascii="Arial" w:cs="Arial" w:eastAsia="Arial" w:hAnsi="Arial"/>
                <w:sz w:val="16"/>
                <w:szCs w:val="16"/>
                <w:color w:val="auto"/>
              </w:rPr>
              <w:t>75,147</w:t>
            </w:r>
          </w:p>
        </w:tc>
        <w:tc>
          <w:tcPr>
            <w:tcW w:w="3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76,692</w:t>
            </w:r>
          </w:p>
        </w:tc>
      </w:tr>
      <w:tr>
        <w:trPr>
          <w:trHeight w:val="238"/>
        </w:trPr>
        <w:tc>
          <w:tcPr>
            <w:tcW w:w="7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01"/>
        </w:trPr>
        <w:tc>
          <w:tcPr>
            <w:tcW w:w="7280" w:type="dxa"/>
            <w:vAlign w:val="bottom"/>
          </w:tcPr>
          <w:p>
            <w:pPr>
              <w:spacing w:after="0"/>
              <w:rPr>
                <w:sz w:val="20"/>
                <w:szCs w:val="20"/>
                <w:color w:val="auto"/>
              </w:rPr>
            </w:pPr>
            <w:r>
              <w:rPr>
                <w:rFonts w:ascii="Arial" w:cs="Arial" w:eastAsia="Arial" w:hAnsi="Arial"/>
                <w:sz w:val="16"/>
                <w:szCs w:val="16"/>
                <w:color w:val="auto"/>
              </w:rPr>
              <w:t>Operating lease liabilities - Current</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19,308</w:t>
            </w:r>
          </w:p>
        </w:tc>
        <w:tc>
          <w:tcPr>
            <w:tcW w:w="3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18,487</w:t>
            </w:r>
          </w:p>
        </w:tc>
      </w:tr>
      <w:tr>
        <w:trPr>
          <w:trHeight w:val="202"/>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 - Non-current</w:t>
            </w: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66,173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68,506</w:t>
            </w:r>
          </w:p>
        </w:tc>
      </w:tr>
      <w:tr>
        <w:trPr>
          <w:trHeight w:val="182"/>
        </w:trPr>
        <w:tc>
          <w:tcPr>
            <w:tcW w:w="7280" w:type="dxa"/>
            <w:vAlign w:val="bottom"/>
          </w:tcPr>
          <w:p>
            <w:pPr>
              <w:ind w:left="100"/>
              <w:spacing w:after="0" w:line="182" w:lineRule="exact"/>
              <w:rPr>
                <w:sz w:val="20"/>
                <w:szCs w:val="20"/>
                <w:color w:val="auto"/>
              </w:rPr>
            </w:pPr>
            <w:r>
              <w:rPr>
                <w:rFonts w:ascii="Arial" w:cs="Arial" w:eastAsia="Arial" w:hAnsi="Arial"/>
                <w:sz w:val="16"/>
                <w:szCs w:val="16"/>
                <w:b w:val="1"/>
                <w:bCs w:val="1"/>
                <w:color w:val="auto"/>
              </w:rPr>
              <w:t>Total operating lease liabilities</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85,481</w:t>
            </w:r>
          </w:p>
        </w:tc>
        <w:tc>
          <w:tcPr>
            <w:tcW w:w="3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86,993</w:t>
            </w:r>
          </w:p>
        </w:tc>
      </w:tr>
      <w:tr>
        <w:trPr>
          <w:trHeight w:val="170"/>
        </w:trPr>
        <w:tc>
          <w:tcPr>
            <w:tcW w:w="72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r>
      <w:tr>
        <w:trPr>
          <w:trHeight w:val="202"/>
        </w:trPr>
        <w:tc>
          <w:tcPr>
            <w:tcW w:w="7280" w:type="dxa"/>
            <w:vAlign w:val="bottom"/>
          </w:tcPr>
          <w:p>
            <w:pPr>
              <w:spacing w:after="0"/>
              <w:rPr>
                <w:sz w:val="20"/>
                <w:szCs w:val="20"/>
                <w:color w:val="auto"/>
              </w:rPr>
            </w:pPr>
            <w:r>
              <w:rPr>
                <w:rFonts w:ascii="Arial" w:cs="Arial" w:eastAsia="Arial" w:hAnsi="Arial"/>
                <w:sz w:val="16"/>
                <w:szCs w:val="16"/>
                <w:b w:val="1"/>
                <w:bCs w:val="1"/>
                <w:color w:val="auto"/>
              </w:rPr>
              <w:t>Finance Lease</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2"/>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gross</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2,489</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2,685</w:t>
            </w:r>
          </w:p>
        </w:tc>
      </w:tr>
      <w:tr>
        <w:trPr>
          <w:trHeight w:val="201"/>
        </w:trPr>
        <w:tc>
          <w:tcPr>
            <w:tcW w:w="7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depreciation</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(2,339)</w:t>
            </w:r>
          </w:p>
        </w:tc>
      </w:tr>
      <w:tr>
        <w:trPr>
          <w:trHeight w:val="182"/>
        </w:trPr>
        <w:tc>
          <w:tcPr>
            <w:tcW w:w="7280" w:type="dxa"/>
            <w:vAlign w:val="bottom"/>
            <w:shd w:val="clear" w:color="auto" w:fill="CCEEFF"/>
          </w:tcPr>
          <w:p>
            <w:pPr>
              <w:ind w:left="180"/>
              <w:spacing w:after="0" w:line="181" w:lineRule="exact"/>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353</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r>
      <w:tr>
        <w:trPr>
          <w:trHeight w:val="170"/>
        </w:trPr>
        <w:tc>
          <w:tcPr>
            <w:tcW w:w="7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r>
      <w:tr>
        <w:trPr>
          <w:trHeight w:val="202"/>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Finance lease liabilities - Current</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01"/>
        </w:trPr>
        <w:tc>
          <w:tcPr>
            <w:tcW w:w="7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Finance lease liabilities - Non-current</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r>
      <w:tr>
        <w:trPr>
          <w:trHeight w:val="194"/>
        </w:trPr>
        <w:tc>
          <w:tcPr>
            <w:tcW w:w="72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 finance lease liabilities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r>
    </w:tbl>
    <w:p>
      <w:pPr>
        <w:spacing w:after="0" w:line="272" w:lineRule="exact"/>
        <w:rPr>
          <w:sz w:val="20"/>
          <w:szCs w:val="20"/>
          <w:color w:val="auto"/>
        </w:rPr>
      </w:pPr>
    </w:p>
    <w:p>
      <w:pPr>
        <w:ind w:right="20" w:firstLine="428"/>
        <w:spacing w:after="0" w:line="254" w:lineRule="auto"/>
        <w:rPr>
          <w:sz w:val="20"/>
          <w:szCs w:val="20"/>
          <w:color w:val="auto"/>
        </w:rPr>
      </w:pPr>
      <w:r>
        <w:rPr>
          <w:rFonts w:ascii="Arial" w:cs="Arial" w:eastAsia="Arial" w:hAnsi="Arial"/>
          <w:sz w:val="16"/>
          <w:szCs w:val="16"/>
          <w:color w:val="auto"/>
        </w:rPr>
        <w:t>Finance lease liabilities are presented as a part of “Accrued expenses and other current liabilities” and “Other non-current liabilities,” as applicable, in the Company’s unaudited consolidated balance sheets.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components of lease cost, which are included in the Company's unaudited consolidated statements of income, are as follows:</w:t>
      </w:r>
    </w:p>
    <w:p>
      <w:pPr>
        <w:spacing w:after="0" w:line="224" w:lineRule="exact"/>
        <w:rPr>
          <w:sz w:val="20"/>
          <w:szCs w:val="20"/>
          <w:color w:val="auto"/>
        </w:rPr>
      </w:pPr>
    </w:p>
    <w:tbl>
      <w:tblPr>
        <w:tblLayout w:type="fixed"/>
        <w:tblInd w:w="520" w:type="dxa"/>
        <w:tblCellMar>
          <w:top w:w="0" w:type="dxa"/>
          <w:left w:w="0" w:type="dxa"/>
          <w:bottom w:w="0" w:type="dxa"/>
          <w:right w:w="0" w:type="dxa"/>
        </w:tblCellMar>
      </w:tblPr>
      <w:tr>
        <w:trPr>
          <w:trHeight w:val="131"/>
        </w:trPr>
        <w:tc>
          <w:tcPr>
            <w:tcW w:w="5740" w:type="dxa"/>
            <w:vAlign w:val="bottom"/>
            <w:vMerge w:val="restart"/>
          </w:tcPr>
          <w:p>
            <w:pPr>
              <w:ind w:left="440"/>
              <w:spacing w:after="0"/>
              <w:rPr>
                <w:sz w:val="20"/>
                <w:szCs w:val="20"/>
                <w:color w:val="auto"/>
              </w:rPr>
            </w:pPr>
            <w:r>
              <w:rPr>
                <w:rFonts w:ascii="Arial" w:cs="Arial" w:eastAsia="Arial" w:hAnsi="Arial"/>
                <w:sz w:val="16"/>
                <w:szCs w:val="16"/>
                <w:b w:val="1"/>
                <w:bCs w:val="1"/>
                <w:i w:val="1"/>
                <w:iCs w:val="1"/>
                <w:color w:val="auto"/>
              </w:rPr>
              <w:t>Lease cost</w:t>
            </w:r>
          </w:p>
        </w:tc>
        <w:tc>
          <w:tcPr>
            <w:tcW w:w="2440" w:type="dxa"/>
            <w:vAlign w:val="bottom"/>
            <w:tcBorders>
              <w:top w:val="single" w:sz="8" w:color="auto"/>
            </w:tcBorders>
            <w:gridSpan w:val="2"/>
            <w:vMerge w:val="restart"/>
          </w:tcPr>
          <w:p>
            <w:pPr>
              <w:ind w:left="440"/>
              <w:spacing w:after="0"/>
              <w:rPr>
                <w:sz w:val="20"/>
                <w:szCs w:val="20"/>
                <w:color w:val="auto"/>
              </w:rPr>
            </w:pPr>
            <w:r>
              <w:rPr>
                <w:rFonts w:ascii="Arial" w:cs="Arial" w:eastAsia="Arial" w:hAnsi="Arial"/>
                <w:sz w:val="13"/>
                <w:szCs w:val="13"/>
                <w:b w:val="1"/>
                <w:bCs w:val="1"/>
                <w:color w:val="auto"/>
                <w:w w:val="88"/>
              </w:rPr>
              <w:t>Three months ended March 31, 2022</w:t>
            </w:r>
          </w:p>
        </w:tc>
        <w:tc>
          <w:tcPr>
            <w:tcW w:w="100" w:type="dxa"/>
            <w:vAlign w:val="bottom"/>
            <w:vMerge w:val="restart"/>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tcPr>
          <w:p>
            <w:pPr>
              <w:jc w:val="right"/>
              <w:ind w:right="44"/>
              <w:spacing w:after="0" w:line="131" w:lineRule="exact"/>
              <w:rPr>
                <w:sz w:val="20"/>
                <w:szCs w:val="20"/>
                <w:color w:val="auto"/>
              </w:rPr>
            </w:pPr>
            <w:r>
              <w:rPr>
                <w:rFonts w:ascii="Arial" w:cs="Arial" w:eastAsia="Arial" w:hAnsi="Arial"/>
                <w:sz w:val="13"/>
                <w:szCs w:val="13"/>
                <w:b w:val="1"/>
                <w:bCs w:val="1"/>
                <w:color w:val="auto"/>
                <w:w w:val="87"/>
              </w:rPr>
              <w:t>Three months ended March 31,</w:t>
            </w:r>
          </w:p>
        </w:tc>
        <w:tc>
          <w:tcPr>
            <w:tcW w:w="0" w:type="dxa"/>
            <w:vAlign w:val="bottom"/>
          </w:tcPr>
          <w:p>
            <w:pPr>
              <w:spacing w:after="0"/>
              <w:rPr>
                <w:sz w:val="1"/>
                <w:szCs w:val="1"/>
                <w:color w:val="auto"/>
              </w:rPr>
            </w:pPr>
          </w:p>
        </w:tc>
      </w:tr>
      <w:tr>
        <w:trPr>
          <w:trHeight w:val="166"/>
        </w:trPr>
        <w:tc>
          <w:tcPr>
            <w:tcW w:w="5740" w:type="dxa"/>
            <w:vAlign w:val="bottom"/>
            <w:tcBorders>
              <w:bottom w:val="single" w:sz="8" w:color="CCEEFF"/>
            </w:tcBorders>
            <w:vMerge w:val="continue"/>
          </w:tcPr>
          <w:p>
            <w:pPr>
              <w:spacing w:after="0"/>
              <w:rPr>
                <w:sz w:val="14"/>
                <w:szCs w:val="14"/>
                <w:color w:val="auto"/>
              </w:rPr>
            </w:pPr>
          </w:p>
        </w:tc>
        <w:tc>
          <w:tcPr>
            <w:tcW w:w="24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984"/>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3"/>
        </w:trPr>
        <w:tc>
          <w:tcPr>
            <w:tcW w:w="5740" w:type="dxa"/>
            <w:vAlign w:val="bottom"/>
            <w:shd w:val="clear" w:color="auto" w:fill="CCEEFF"/>
          </w:tcPr>
          <w:p>
            <w:pPr>
              <w:ind w:left="440"/>
              <w:spacing w:after="0" w:line="183" w:lineRule="exact"/>
              <w:rPr>
                <w:sz w:val="20"/>
                <w:szCs w:val="20"/>
                <w:color w:val="auto"/>
              </w:rPr>
            </w:pPr>
            <w:r>
              <w:rPr>
                <w:rFonts w:ascii="Arial" w:cs="Arial" w:eastAsia="Arial" w:hAnsi="Arial"/>
                <w:sz w:val="16"/>
                <w:szCs w:val="16"/>
                <w:b w:val="1"/>
                <w:bCs w:val="1"/>
                <w:color w:val="auto"/>
              </w:rPr>
              <w:t>Finance lease:</w:t>
            </w:r>
          </w:p>
        </w:tc>
        <w:tc>
          <w:tcPr>
            <w:tcW w:w="1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740" w:type="dxa"/>
            <w:vAlign w:val="bottom"/>
          </w:tcPr>
          <w:p>
            <w:pPr>
              <w:ind w:left="840"/>
              <w:spacing w:after="0"/>
              <w:rPr>
                <w:sz w:val="20"/>
                <w:szCs w:val="20"/>
                <w:color w:val="auto"/>
              </w:rPr>
            </w:pPr>
            <w:r>
              <w:rPr>
                <w:rFonts w:ascii="Arial" w:cs="Arial" w:eastAsia="Arial" w:hAnsi="Arial"/>
                <w:sz w:val="16"/>
                <w:szCs w:val="16"/>
                <w:color w:val="auto"/>
              </w:rPr>
              <w:t>Amortization of right-of-use assets</w:t>
            </w:r>
          </w:p>
        </w:tc>
        <w:tc>
          <w:tcPr>
            <w:tcW w:w="1260" w:type="dxa"/>
            <w:vAlign w:val="bottom"/>
          </w:tcPr>
          <w:p>
            <w:pPr>
              <w:ind w:left="4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2"/>
        </w:trPr>
        <w:tc>
          <w:tcPr>
            <w:tcW w:w="57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Interest on lease liabilities</w:t>
            </w:r>
          </w:p>
        </w:tc>
        <w:tc>
          <w:tcPr>
            <w:tcW w:w="1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4"/>
        </w:trPr>
        <w:tc>
          <w:tcPr>
            <w:tcW w:w="5740" w:type="dxa"/>
            <w:vAlign w:val="bottom"/>
          </w:tcPr>
          <w:p>
            <w:pPr>
              <w:spacing w:after="0"/>
              <w:rPr>
                <w:sz w:val="16"/>
                <w:szCs w:val="16"/>
                <w:color w:val="auto"/>
              </w:rPr>
            </w:pPr>
          </w:p>
        </w:tc>
        <w:tc>
          <w:tcPr>
            <w:tcW w:w="1260" w:type="dxa"/>
            <w:vAlign w:val="bottom"/>
          </w:tcPr>
          <w:p>
            <w:pPr>
              <w:ind w:left="4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2"/>
        </w:trPr>
        <w:tc>
          <w:tcPr>
            <w:tcW w:w="5740" w:type="dxa"/>
            <w:vAlign w:val="bottom"/>
            <w:shd w:val="clear" w:color="auto" w:fill="CCEEFF"/>
          </w:tcPr>
          <w:p>
            <w:pPr>
              <w:ind w:left="440"/>
              <w:spacing w:after="0" w:line="203" w:lineRule="exact"/>
              <w:rPr>
                <w:sz w:val="20"/>
                <w:szCs w:val="20"/>
                <w:color w:val="auto"/>
              </w:rPr>
            </w:pPr>
            <w:r>
              <w:rPr>
                <w:rFonts w:ascii="Arial" w:cs="Arial" w:eastAsia="Arial" w:hAnsi="Arial"/>
                <w:sz w:val="16"/>
                <w:szCs w:val="16"/>
                <w:b w:val="1"/>
                <w:bCs w:val="1"/>
                <w:color w:val="auto"/>
              </w:rPr>
              <w:t>Operating lease</w:t>
            </w:r>
            <w:r>
              <w:rPr>
                <w:rFonts w:ascii="Arial" w:cs="Arial" w:eastAsia="Arial" w:hAnsi="Arial"/>
                <w:sz w:val="20"/>
                <w:szCs w:val="20"/>
                <w:b w:val="1"/>
                <w:bCs w:val="1"/>
                <w:color w:val="auto"/>
                <w:vertAlign w:val="superscript"/>
              </w:rPr>
              <w:t>(a)</w:t>
            </w:r>
          </w:p>
        </w:tc>
        <w:tc>
          <w:tcPr>
            <w:tcW w:w="1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6,761</w:t>
            </w:r>
          </w:p>
        </w:tc>
        <w:tc>
          <w:tcPr>
            <w:tcW w:w="0" w:type="dxa"/>
            <w:vAlign w:val="bottom"/>
          </w:tcPr>
          <w:p>
            <w:pPr>
              <w:spacing w:after="0"/>
              <w:rPr>
                <w:sz w:val="1"/>
                <w:szCs w:val="1"/>
                <w:color w:val="auto"/>
              </w:rPr>
            </w:pPr>
          </w:p>
        </w:tc>
      </w:tr>
      <w:tr>
        <w:trPr>
          <w:trHeight w:val="202"/>
        </w:trPr>
        <w:tc>
          <w:tcPr>
            <w:tcW w:w="5740" w:type="dxa"/>
            <w:vAlign w:val="bottom"/>
            <w:tcBorders>
              <w:bottom w:val="single" w:sz="8" w:color="CCEEFF"/>
            </w:tcBorders>
          </w:tcPr>
          <w:p>
            <w:pPr>
              <w:ind w:left="440"/>
              <w:spacing w:after="0"/>
              <w:rPr>
                <w:sz w:val="20"/>
                <w:szCs w:val="20"/>
                <w:color w:val="auto"/>
              </w:rPr>
            </w:pPr>
            <w:r>
              <w:rPr>
                <w:rFonts w:ascii="Arial" w:cs="Arial" w:eastAsia="Arial" w:hAnsi="Arial"/>
                <w:sz w:val="16"/>
                <w:szCs w:val="16"/>
                <w:b w:val="1"/>
                <w:bCs w:val="1"/>
                <w:color w:val="auto"/>
              </w:rPr>
              <w:t>Variable lease costs</w:t>
            </w:r>
          </w:p>
        </w:tc>
        <w:tc>
          <w:tcPr>
            <w:tcW w:w="1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w:t>
            </w:r>
          </w:p>
        </w:tc>
        <w:tc>
          <w:tcPr>
            <w:tcW w:w="0" w:type="dxa"/>
            <w:vAlign w:val="bottom"/>
          </w:tcPr>
          <w:p>
            <w:pPr>
              <w:spacing w:after="0"/>
              <w:rPr>
                <w:sz w:val="1"/>
                <w:szCs w:val="1"/>
                <w:color w:val="auto"/>
              </w:rPr>
            </w:pPr>
          </w:p>
        </w:tc>
      </w:tr>
      <w:tr>
        <w:trPr>
          <w:trHeight w:val="193"/>
        </w:trPr>
        <w:tc>
          <w:tcPr>
            <w:tcW w:w="574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7,164</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8,601</w:t>
            </w:r>
          </w:p>
        </w:tc>
        <w:tc>
          <w:tcPr>
            <w:tcW w:w="0" w:type="dxa"/>
            <w:vAlign w:val="bottom"/>
          </w:tcPr>
          <w:p>
            <w:pPr>
              <w:spacing w:after="0"/>
              <w:rPr>
                <w:sz w:val="1"/>
                <w:szCs w:val="1"/>
                <w:color w:val="auto"/>
              </w:rPr>
            </w:pPr>
          </w:p>
        </w:tc>
      </w:tr>
      <w:tr>
        <w:trPr>
          <w:trHeight w:val="194"/>
        </w:trPr>
        <w:tc>
          <w:tcPr>
            <w:tcW w:w="5740" w:type="dxa"/>
            <w:vAlign w:val="bottom"/>
          </w:tcPr>
          <w:p>
            <w:pPr>
              <w:ind w:left="440"/>
              <w:spacing w:after="0"/>
              <w:rPr>
                <w:sz w:val="20"/>
                <w:szCs w:val="20"/>
                <w:color w:val="auto"/>
              </w:rPr>
            </w:pPr>
            <w:r>
              <w:rPr>
                <w:rFonts w:ascii="Arial" w:cs="Arial" w:eastAsia="Arial" w:hAnsi="Arial"/>
                <w:sz w:val="16"/>
                <w:szCs w:val="16"/>
                <w:b w:val="1"/>
                <w:bCs w:val="1"/>
                <w:color w:val="auto"/>
              </w:rPr>
              <w:t>Total lease cost</w:t>
            </w:r>
          </w:p>
        </w:tc>
        <w:tc>
          <w:tcPr>
            <w:tcW w:w="126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7,216</w:t>
            </w:r>
          </w:p>
        </w:tc>
        <w:tc>
          <w:tcPr>
            <w:tcW w:w="10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Includes short-term leases, which are immaterial.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1" w:name="page32"/>
    <w:bookmarkEnd w:id="3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Supplemental cash flow and other information related to leases are as follows:</w:t>
      </w:r>
    </w:p>
    <w:p>
      <w:pPr>
        <w:spacing w:after="0" w:line="17"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658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123"/>
              <w:spacing w:after="0"/>
              <w:rPr>
                <w:sz w:val="20"/>
                <w:szCs w:val="20"/>
                <w:color w:val="auto"/>
              </w:rPr>
            </w:pPr>
            <w:r>
              <w:rPr>
                <w:rFonts w:ascii="Arial" w:cs="Arial" w:eastAsia="Arial" w:hAnsi="Arial"/>
                <w:sz w:val="13"/>
                <w:szCs w:val="13"/>
                <w:b w:val="1"/>
                <w:bCs w:val="1"/>
                <w:color w:val="auto"/>
              </w:rPr>
              <w:t>Three months ended March 31,</w:t>
            </w:r>
          </w:p>
        </w:tc>
        <w:tc>
          <w:tcPr>
            <w:tcW w:w="640" w:type="dxa"/>
            <w:vAlign w:val="bottom"/>
            <w:tcBorders>
              <w:bottom w:val="single" w:sz="8" w:color="auto"/>
            </w:tcBorders>
          </w:tcPr>
          <w:p>
            <w:pPr>
              <w:spacing w:after="0"/>
              <w:rPr>
                <w:sz w:val="14"/>
                <w:szCs w:val="14"/>
                <w:color w:val="auto"/>
              </w:rPr>
            </w:pPr>
          </w:p>
        </w:tc>
      </w:tr>
      <w:tr>
        <w:trPr>
          <w:trHeight w:val="159"/>
        </w:trPr>
        <w:tc>
          <w:tcPr>
            <w:tcW w:w="65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7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40" w:type="dxa"/>
            <w:vAlign w:val="bottom"/>
            <w:tcBorders>
              <w:bottom w:val="single" w:sz="8" w:color="auto"/>
            </w:tcBorders>
          </w:tcPr>
          <w:p>
            <w:pPr>
              <w:spacing w:after="0"/>
              <w:rPr>
                <w:sz w:val="13"/>
                <w:szCs w:val="13"/>
                <w:color w:val="auto"/>
              </w:rPr>
            </w:pPr>
          </w:p>
        </w:tc>
      </w:tr>
      <w:tr>
        <w:trPr>
          <w:trHeight w:val="183"/>
        </w:trPr>
        <w:tc>
          <w:tcPr>
            <w:tcW w:w="65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Cash payments for amounts included in the measurement of lease liabilities :</w:t>
            </w: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01"/>
        </w:trPr>
        <w:tc>
          <w:tcPr>
            <w:tcW w:w="6580" w:type="dxa"/>
            <w:vAlign w:val="bottom"/>
          </w:tcPr>
          <w:p>
            <w:pPr>
              <w:spacing w:after="0"/>
              <w:rPr>
                <w:sz w:val="20"/>
                <w:szCs w:val="20"/>
                <w:color w:val="auto"/>
              </w:rPr>
            </w:pPr>
            <w:r>
              <w:rPr>
                <w:rFonts w:ascii="Arial" w:cs="Arial" w:eastAsia="Arial" w:hAnsi="Arial"/>
                <w:sz w:val="16"/>
                <w:szCs w:val="16"/>
                <w:color w:val="auto"/>
              </w:rPr>
              <w:t>Operating cash outflows for operating leases</w:t>
            </w:r>
          </w:p>
        </w:tc>
        <w:tc>
          <w:tcPr>
            <w:tcW w:w="980" w:type="dxa"/>
            <w:vAlign w:val="bottom"/>
          </w:tcPr>
          <w:p>
            <w:pPr>
              <w:jc w:val="right"/>
              <w:ind w:right="829"/>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81"/>
              <w:spacing w:after="0"/>
              <w:rPr>
                <w:sz w:val="20"/>
                <w:szCs w:val="20"/>
                <w:color w:val="auto"/>
              </w:rPr>
            </w:pPr>
            <w:r>
              <w:rPr>
                <w:rFonts w:ascii="Arial" w:cs="Arial" w:eastAsia="Arial" w:hAnsi="Arial"/>
                <w:sz w:val="16"/>
                <w:szCs w:val="16"/>
                <w:color w:val="auto"/>
              </w:rPr>
              <w:t>6,005</w:t>
            </w:r>
          </w:p>
        </w:tc>
        <w:tc>
          <w:tcPr>
            <w:tcW w:w="1040" w:type="dxa"/>
            <w:vAlign w:val="bottom"/>
          </w:tcPr>
          <w:p>
            <w:pPr>
              <w:jc w:val="right"/>
              <w:ind w:right="843"/>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6,868</w:t>
            </w:r>
          </w:p>
        </w:tc>
      </w:tr>
      <w:tr>
        <w:trPr>
          <w:trHeight w:val="202"/>
        </w:trPr>
        <w:tc>
          <w:tcPr>
            <w:tcW w:w="6580" w:type="dxa"/>
            <w:vAlign w:val="bottom"/>
            <w:shd w:val="clear" w:color="auto" w:fill="CCEEFF"/>
          </w:tcPr>
          <w:p>
            <w:pPr>
              <w:spacing w:after="0"/>
              <w:rPr>
                <w:sz w:val="20"/>
                <w:szCs w:val="20"/>
                <w:color w:val="auto"/>
              </w:rPr>
            </w:pPr>
            <w:r>
              <w:rPr>
                <w:rFonts w:ascii="Arial" w:cs="Arial" w:eastAsia="Arial" w:hAnsi="Arial"/>
                <w:sz w:val="16"/>
                <w:szCs w:val="16"/>
                <w:color w:val="auto"/>
              </w:rPr>
              <w:t>Operating cash outflows for finance leases</w:t>
            </w:r>
          </w:p>
        </w:tc>
        <w:tc>
          <w:tcPr>
            <w:tcW w:w="980" w:type="dxa"/>
            <w:vAlign w:val="bottom"/>
            <w:shd w:val="clear" w:color="auto" w:fill="CCEEFF"/>
          </w:tcPr>
          <w:p>
            <w:pPr>
              <w:jc w:val="right"/>
              <w:ind w:right="82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14</w:t>
            </w:r>
          </w:p>
        </w:tc>
        <w:tc>
          <w:tcPr>
            <w:tcW w:w="104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r>
      <w:tr>
        <w:trPr>
          <w:trHeight w:val="201"/>
        </w:trPr>
        <w:tc>
          <w:tcPr>
            <w:tcW w:w="6580" w:type="dxa"/>
            <w:vAlign w:val="bottom"/>
          </w:tcPr>
          <w:p>
            <w:pPr>
              <w:spacing w:after="0"/>
              <w:rPr>
                <w:sz w:val="20"/>
                <w:szCs w:val="20"/>
                <w:color w:val="auto"/>
              </w:rPr>
            </w:pPr>
            <w:r>
              <w:rPr>
                <w:rFonts w:ascii="Arial" w:cs="Arial" w:eastAsia="Arial" w:hAnsi="Arial"/>
                <w:sz w:val="16"/>
                <w:szCs w:val="16"/>
                <w:color w:val="auto"/>
              </w:rPr>
              <w:t>Financing cash outflows for finance leases</w:t>
            </w:r>
          </w:p>
        </w:tc>
        <w:tc>
          <w:tcPr>
            <w:tcW w:w="980" w:type="dxa"/>
            <w:vAlign w:val="bottom"/>
          </w:tcPr>
          <w:p>
            <w:pPr>
              <w:jc w:val="right"/>
              <w:ind w:right="829"/>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81"/>
              <w:spacing w:after="0"/>
              <w:rPr>
                <w:sz w:val="20"/>
                <w:szCs w:val="20"/>
                <w:color w:val="auto"/>
              </w:rPr>
            </w:pPr>
            <w:r>
              <w:rPr>
                <w:rFonts w:ascii="Arial" w:cs="Arial" w:eastAsia="Arial" w:hAnsi="Arial"/>
                <w:sz w:val="16"/>
                <w:szCs w:val="16"/>
                <w:color w:val="auto"/>
              </w:rPr>
              <w:t>39</w:t>
            </w:r>
          </w:p>
        </w:tc>
        <w:tc>
          <w:tcPr>
            <w:tcW w:w="1040" w:type="dxa"/>
            <w:vAlign w:val="bottom"/>
          </w:tcPr>
          <w:p>
            <w:pPr>
              <w:jc w:val="right"/>
              <w:ind w:right="843"/>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57</w:t>
            </w:r>
          </w:p>
        </w:tc>
      </w:tr>
      <w:tr>
        <w:trPr>
          <w:trHeight w:val="202"/>
        </w:trPr>
        <w:tc>
          <w:tcPr>
            <w:tcW w:w="6580" w:type="dxa"/>
            <w:vAlign w:val="bottom"/>
            <w:shd w:val="clear" w:color="auto" w:fill="CCEEFF"/>
          </w:tcPr>
          <w:p>
            <w:pPr>
              <w:spacing w:after="0"/>
              <w:rPr>
                <w:sz w:val="20"/>
                <w:szCs w:val="20"/>
                <w:color w:val="auto"/>
              </w:rPr>
            </w:pPr>
            <w:r>
              <w:rPr>
                <w:rFonts w:ascii="Arial" w:cs="Arial" w:eastAsia="Arial" w:hAnsi="Arial"/>
                <w:sz w:val="16"/>
                <w:szCs w:val="16"/>
                <w:color w:val="auto"/>
              </w:rPr>
              <w:t>Right-of-use assets obtained in exchange for new operating lease liabilities</w:t>
            </w:r>
          </w:p>
        </w:tc>
        <w:tc>
          <w:tcPr>
            <w:tcW w:w="980" w:type="dxa"/>
            <w:vAlign w:val="bottom"/>
            <w:shd w:val="clear" w:color="auto" w:fill="CCEEFF"/>
          </w:tcPr>
          <w:p>
            <w:pPr>
              <w:jc w:val="right"/>
              <w:ind w:right="82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3,834</w:t>
            </w:r>
          </w:p>
        </w:tc>
        <w:tc>
          <w:tcPr>
            <w:tcW w:w="104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2,054</w:t>
            </w:r>
          </w:p>
        </w:tc>
      </w:tr>
      <w:tr>
        <w:trPr>
          <w:trHeight w:val="201"/>
        </w:trPr>
        <w:tc>
          <w:tcPr>
            <w:tcW w:w="6580" w:type="dxa"/>
            <w:vAlign w:val="bottom"/>
          </w:tcPr>
          <w:p>
            <w:pPr>
              <w:spacing w:after="0"/>
              <w:rPr>
                <w:sz w:val="20"/>
                <w:szCs w:val="20"/>
                <w:color w:val="auto"/>
              </w:rPr>
            </w:pPr>
            <w:r>
              <w:rPr>
                <w:rFonts w:ascii="Arial" w:cs="Arial" w:eastAsia="Arial" w:hAnsi="Arial"/>
                <w:sz w:val="16"/>
                <w:szCs w:val="16"/>
                <w:color w:val="auto"/>
              </w:rPr>
              <w:t>Right-of-use assets obtained in exchange for new finance lease liabilities</w:t>
            </w:r>
          </w:p>
        </w:tc>
        <w:tc>
          <w:tcPr>
            <w:tcW w:w="980" w:type="dxa"/>
            <w:vAlign w:val="bottom"/>
          </w:tcPr>
          <w:p>
            <w:pPr>
              <w:jc w:val="right"/>
              <w:ind w:right="829"/>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81"/>
              <w:spacing w:after="0"/>
              <w:rPr>
                <w:sz w:val="20"/>
                <w:szCs w:val="20"/>
                <w:color w:val="auto"/>
              </w:rPr>
            </w:pPr>
            <w:r>
              <w:rPr>
                <w:rFonts w:ascii="Arial" w:cs="Arial" w:eastAsia="Arial" w:hAnsi="Arial"/>
                <w:sz w:val="16"/>
                <w:szCs w:val="16"/>
                <w:color w:val="auto"/>
              </w:rPr>
              <w:t>50</w:t>
            </w:r>
          </w:p>
        </w:tc>
        <w:tc>
          <w:tcPr>
            <w:tcW w:w="1040" w:type="dxa"/>
            <w:vAlign w:val="bottom"/>
          </w:tcPr>
          <w:p>
            <w:pPr>
              <w:jc w:val="right"/>
              <w:ind w:right="843"/>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10</w:t>
            </w:r>
          </w:p>
        </w:tc>
      </w:tr>
      <w:tr>
        <w:trPr>
          <w:trHeight w:val="202"/>
        </w:trPr>
        <w:tc>
          <w:tcPr>
            <w:tcW w:w="658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remaining lease term (in years)</w:t>
            </w: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1"/>
        </w:trPr>
        <w:tc>
          <w:tcPr>
            <w:tcW w:w="6580" w:type="dxa"/>
            <w:vAlign w:val="bottom"/>
          </w:tcPr>
          <w:p>
            <w:pPr>
              <w:ind w:left="300"/>
              <w:spacing w:after="0"/>
              <w:rPr>
                <w:sz w:val="20"/>
                <w:szCs w:val="20"/>
                <w:color w:val="auto"/>
              </w:rPr>
            </w:pPr>
            <w:r>
              <w:rPr>
                <w:rFonts w:ascii="Arial" w:cs="Arial" w:eastAsia="Arial" w:hAnsi="Arial"/>
                <w:sz w:val="16"/>
                <w:szCs w:val="16"/>
                <w:color w:val="auto"/>
              </w:rPr>
              <w:t>Finance lease</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4"/>
              </w:rPr>
              <w:t>2.1 years</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1"/>
              </w:rPr>
              <w:t>1.7 years</w:t>
            </w:r>
          </w:p>
        </w:tc>
      </w:tr>
      <w:tr>
        <w:trPr>
          <w:trHeight w:val="202"/>
        </w:trPr>
        <w:tc>
          <w:tcPr>
            <w:tcW w:w="6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Operating lease</w:t>
            </w: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5.6 years</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6.2 years</w:t>
            </w:r>
          </w:p>
        </w:tc>
      </w:tr>
      <w:tr>
        <w:trPr>
          <w:trHeight w:val="201"/>
        </w:trPr>
        <w:tc>
          <w:tcPr>
            <w:tcW w:w="6580" w:type="dxa"/>
            <w:vAlign w:val="bottom"/>
          </w:tcPr>
          <w:p>
            <w:pPr>
              <w:spacing w:after="0"/>
              <w:rPr>
                <w:sz w:val="20"/>
                <w:szCs w:val="20"/>
                <w:color w:val="auto"/>
              </w:rPr>
            </w:pPr>
            <w:r>
              <w:rPr>
                <w:rFonts w:ascii="Arial" w:cs="Arial" w:eastAsia="Arial" w:hAnsi="Arial"/>
                <w:sz w:val="16"/>
                <w:szCs w:val="16"/>
                <w:color w:val="auto"/>
              </w:rPr>
              <w:t>Weighted-average discount rate</w:t>
            </w: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2"/>
        </w:trPr>
        <w:tc>
          <w:tcPr>
            <w:tcW w:w="6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Finance lease</w:t>
            </w: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r>
      <w:tr>
        <w:trPr>
          <w:trHeight w:val="201"/>
        </w:trPr>
        <w:tc>
          <w:tcPr>
            <w:tcW w:w="6580" w:type="dxa"/>
            <w:vAlign w:val="bottom"/>
          </w:tcPr>
          <w:p>
            <w:pPr>
              <w:ind w:left="300"/>
              <w:spacing w:after="0"/>
              <w:rPr>
                <w:sz w:val="20"/>
                <w:szCs w:val="20"/>
                <w:color w:val="auto"/>
              </w:rPr>
            </w:pPr>
            <w:r>
              <w:rPr>
                <w:rFonts w:ascii="Arial" w:cs="Arial" w:eastAsia="Arial" w:hAnsi="Arial"/>
                <w:sz w:val="16"/>
                <w:szCs w:val="16"/>
                <w:color w:val="auto"/>
              </w:rPr>
              <w:t>Operating lease</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7.0 %</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7.3 %</w:t>
            </w:r>
          </w:p>
        </w:tc>
      </w:tr>
    </w:tbl>
    <w:p>
      <w:pPr>
        <w:spacing w:after="0" w:line="273" w:lineRule="exact"/>
        <w:rPr>
          <w:sz w:val="20"/>
          <w:szCs w:val="20"/>
          <w:color w:val="auto"/>
        </w:rPr>
      </w:pPr>
    </w:p>
    <w:p>
      <w:pPr>
        <w:ind w:left="60" w:right="20" w:firstLine="428"/>
        <w:spacing w:after="0" w:line="231" w:lineRule="auto"/>
        <w:rPr>
          <w:sz w:val="20"/>
          <w:szCs w:val="20"/>
          <w:color w:val="auto"/>
        </w:rPr>
      </w:pPr>
      <w:r>
        <w:rPr>
          <w:rFonts w:ascii="Arial" w:cs="Arial" w:eastAsia="Arial" w:hAnsi="Arial"/>
          <w:sz w:val="16"/>
          <w:szCs w:val="16"/>
          <w:color w:val="auto"/>
        </w:rPr>
        <w:t>The Company determines the incremental borrowing rate by adjusting the benchmark reference rates, with appropriate financing spreads applicable to the respective geographies where the leases were entered and lease specific adjustments for the effects of collateral.</w:t>
      </w:r>
    </w:p>
    <w:p>
      <w:pPr>
        <w:spacing w:after="0" w:line="168" w:lineRule="exact"/>
        <w:rPr>
          <w:sz w:val="20"/>
          <w:szCs w:val="20"/>
          <w:color w:val="auto"/>
        </w:rPr>
      </w:pPr>
    </w:p>
    <w:p>
      <w:pPr>
        <w:ind w:left="60" w:right="20" w:firstLine="428"/>
        <w:spacing w:after="0" w:line="231" w:lineRule="auto"/>
        <w:rPr>
          <w:sz w:val="20"/>
          <w:szCs w:val="20"/>
          <w:color w:val="auto"/>
        </w:rPr>
      </w:pPr>
      <w:r>
        <w:rPr>
          <w:rFonts w:ascii="Arial" w:cs="Arial" w:eastAsia="Arial" w:hAnsi="Arial"/>
          <w:sz w:val="16"/>
          <w:szCs w:val="16"/>
          <w:color w:val="auto"/>
        </w:rPr>
        <w:t>The Company modified certain of its operating leases, resulting in an increase of its lease liabilities by $367 and $169 during the three months ended March 31, 2022 and 2021, respectively, with a corresponding adjustment to ROU assets.</w:t>
      </w:r>
    </w:p>
    <w:p>
      <w:pPr>
        <w:spacing w:after="0" w:line="168" w:lineRule="exact"/>
        <w:rPr>
          <w:sz w:val="20"/>
          <w:szCs w:val="20"/>
          <w:color w:val="auto"/>
        </w:rPr>
      </w:pPr>
    </w:p>
    <w:p>
      <w:pPr>
        <w:ind w:left="60" w:firstLine="428"/>
        <w:spacing w:after="0" w:line="231" w:lineRule="auto"/>
        <w:rPr>
          <w:sz w:val="20"/>
          <w:szCs w:val="20"/>
          <w:color w:val="auto"/>
        </w:rPr>
      </w:pPr>
      <w:r>
        <w:rPr>
          <w:rFonts w:ascii="Arial" w:cs="Arial" w:eastAsia="Arial" w:hAnsi="Arial"/>
          <w:sz w:val="16"/>
          <w:szCs w:val="16"/>
          <w:color w:val="auto"/>
        </w:rPr>
        <w:t>As of March 31, 2022 and December 31, 2021, the Company did not have any significant leases that have not yet commenced but that create significant rights and obligations for the Company.</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Maturities of lease liabilities as of March 31, 2022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0" w:type="dxa"/>
            <w:vAlign w:val="bottom"/>
          </w:tcPr>
          <w:p>
            <w:pPr>
              <w:spacing w:after="0"/>
              <w:rPr>
                <w:sz w:val="16"/>
                <w:szCs w:val="16"/>
                <w:color w:val="auto"/>
              </w:rPr>
            </w:pPr>
          </w:p>
        </w:tc>
        <w:tc>
          <w:tcPr>
            <w:tcW w:w="3600" w:type="dxa"/>
            <w:vAlign w:val="bottom"/>
            <w:tcBorders>
              <w:bottom w:val="single" w:sz="8" w:color="CCEEFF"/>
            </w:tcBorders>
          </w:tcPr>
          <w:p>
            <w:pPr>
              <w:spacing w:after="0"/>
              <w:rPr>
                <w:sz w:val="16"/>
                <w:szCs w:val="16"/>
                <w:color w:val="auto"/>
              </w:rPr>
            </w:pPr>
          </w:p>
        </w:tc>
        <w:tc>
          <w:tcPr>
            <w:tcW w:w="3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Finance Leases</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2022 (April 1 - December 31)</w:t>
            </w:r>
          </w:p>
        </w:tc>
        <w:tc>
          <w:tcPr>
            <w:tcW w:w="3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18,480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2023</w:t>
            </w: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23,220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164</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3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18,377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2025</w:t>
            </w: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11,619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42</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3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0" w:type="dxa"/>
            <w:vAlign w:val="bottom"/>
          </w:tcPr>
          <w:p>
            <w:pPr>
              <w:spacing w:after="0"/>
              <w:rPr>
                <w:sz w:val="17"/>
                <w:szCs w:val="17"/>
                <w:color w:val="auto"/>
              </w:rPr>
            </w:pPr>
          </w:p>
        </w:tc>
        <w:tc>
          <w:tcPr>
            <w:tcW w:w="36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2027 and thereafter</w:t>
            </w:r>
          </w:p>
        </w:tc>
        <w:tc>
          <w:tcPr>
            <w:tcW w:w="3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24,940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36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lease payments</w:t>
            </w:r>
          </w:p>
        </w:tc>
        <w:tc>
          <w:tcPr>
            <w:tcW w:w="3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105,942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60" w:type="dxa"/>
            <w:vAlign w:val="bottom"/>
          </w:tcPr>
          <w:p>
            <w:pPr>
              <w:spacing w:after="0"/>
              <w:rPr>
                <w:sz w:val="17"/>
                <w:szCs w:val="17"/>
                <w:color w:val="auto"/>
              </w:rPr>
            </w:pPr>
          </w:p>
        </w:tc>
        <w:tc>
          <w:tcPr>
            <w:tcW w:w="36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Imputed interest</w:t>
            </w:r>
          </w:p>
        </w:tc>
        <w:tc>
          <w:tcPr>
            <w:tcW w:w="3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20,461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36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Present value of lease liabilities</w:t>
            </w:r>
          </w:p>
        </w:tc>
        <w:tc>
          <w:tcPr>
            <w:tcW w:w="3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85,481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bottom w:val="single" w:sz="8" w:color="CCEEFF"/>
            </w:tcBorders>
            <w:vMerge w:val="restart"/>
          </w:tcPr>
          <w:p>
            <w:pPr>
              <w:jc w:val="right"/>
              <w:ind w:right="1387"/>
              <w:spacing w:after="0"/>
              <w:rPr>
                <w:sz w:val="20"/>
                <w:szCs w:val="20"/>
                <w:color w:val="auto"/>
              </w:rPr>
            </w:pPr>
            <w:r>
              <w:rPr>
                <w:rFonts w:ascii="Arial" w:cs="Arial" w:eastAsia="Arial" w:hAnsi="Arial"/>
                <w:sz w:val="16"/>
                <w:szCs w:val="16"/>
                <w:color w:val="auto"/>
              </w:rPr>
              <w:t>32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2"/>
        </w:trPr>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60" w:type="dxa"/>
            <w:vAlign w:val="bottom"/>
            <w:tcBorders>
              <w:bottom w:val="single" w:sz="8" w:color="9A9A9A"/>
            </w:tcBorders>
          </w:tcPr>
          <w:p>
            <w:pPr>
              <w:spacing w:after="0"/>
              <w:rPr>
                <w:sz w:val="8"/>
                <w:szCs w:val="8"/>
                <w:color w:val="auto"/>
              </w:rPr>
            </w:pPr>
          </w:p>
        </w:tc>
        <w:tc>
          <w:tcPr>
            <w:tcW w:w="3600" w:type="dxa"/>
            <w:vAlign w:val="bottom"/>
            <w:tcBorders>
              <w:bottom w:val="single" w:sz="8" w:color="9A9A9A"/>
            </w:tcBorders>
          </w:tcPr>
          <w:p>
            <w:pPr>
              <w:spacing w:after="0"/>
              <w:rPr>
                <w:sz w:val="8"/>
                <w:szCs w:val="8"/>
                <w:color w:val="auto"/>
              </w:rPr>
            </w:pPr>
          </w:p>
        </w:tc>
        <w:tc>
          <w:tcPr>
            <w:tcW w:w="3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2" w:name="page33"/>
    <w:bookmarkEnd w:id="3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Maturities of lease liabilities as of December 31, 2021 were as follows:</w:t>
      </w:r>
    </w:p>
    <w:p>
      <w:pPr>
        <w:spacing w:after="0" w:line="46" w:lineRule="exact"/>
        <w:rPr>
          <w:sz w:val="20"/>
          <w:szCs w:val="20"/>
          <w:color w:val="auto"/>
        </w:rPr>
      </w:pPr>
    </w:p>
    <w:tbl>
      <w:tblPr>
        <w:tblLayout w:type="fixed"/>
        <w:tblInd w:w="360" w:type="dxa"/>
        <w:tblCellMar>
          <w:top w:w="0" w:type="dxa"/>
          <w:left w:w="0" w:type="dxa"/>
          <w:bottom w:w="0" w:type="dxa"/>
          <w:right w:w="0" w:type="dxa"/>
        </w:tblCellMar>
      </w:tblPr>
      <w:tr>
        <w:trPr>
          <w:trHeight w:val="188"/>
        </w:trPr>
        <w:tc>
          <w:tcPr>
            <w:tcW w:w="6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2"/>
          </w:tcPr>
          <w:p>
            <w:pPr>
              <w:ind w:left="180"/>
              <w:spacing w:after="0"/>
              <w:rPr>
                <w:sz w:val="20"/>
                <w:szCs w:val="20"/>
                <w:color w:val="auto"/>
              </w:rPr>
            </w:pPr>
            <w:r>
              <w:rPr>
                <w:rFonts w:ascii="Arial" w:cs="Arial" w:eastAsia="Arial" w:hAnsi="Arial"/>
                <w:sz w:val="14"/>
                <w:szCs w:val="14"/>
                <w:b w:val="1"/>
                <w:bCs w:val="1"/>
                <w:color w:val="auto"/>
              </w:rPr>
              <w:t>Operating Leases</w:t>
            </w:r>
          </w:p>
        </w:tc>
        <w:tc>
          <w:tcPr>
            <w:tcW w:w="260" w:type="dxa"/>
            <w:vAlign w:val="bottom"/>
          </w:tcPr>
          <w:p>
            <w:pPr>
              <w:spacing w:after="0"/>
              <w:rPr>
                <w:sz w:val="16"/>
                <w:szCs w:val="16"/>
                <w:color w:val="auto"/>
              </w:rPr>
            </w:pPr>
          </w:p>
        </w:tc>
        <w:tc>
          <w:tcPr>
            <w:tcW w:w="1500" w:type="dxa"/>
            <w:vAlign w:val="bottom"/>
          </w:tcPr>
          <w:p>
            <w:pPr>
              <w:jc w:val="right"/>
              <w:ind w:right="342"/>
              <w:spacing w:after="0"/>
              <w:rPr>
                <w:sz w:val="20"/>
                <w:szCs w:val="20"/>
                <w:color w:val="auto"/>
              </w:rPr>
            </w:pPr>
            <w:r>
              <w:rPr>
                <w:rFonts w:ascii="Arial" w:cs="Arial" w:eastAsia="Arial" w:hAnsi="Arial"/>
                <w:sz w:val="14"/>
                <w:szCs w:val="14"/>
                <w:b w:val="1"/>
                <w:bCs w:val="1"/>
                <w:color w:val="auto"/>
              </w:rPr>
              <w:t>Finance Leases</w:t>
            </w:r>
          </w:p>
        </w:tc>
      </w:tr>
      <w:tr>
        <w:trPr>
          <w:trHeight w:val="197"/>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2022</w:t>
            </w: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24,020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01"/>
        </w:trPr>
        <w:tc>
          <w:tcPr>
            <w:tcW w:w="6540" w:type="dxa"/>
            <w:vAlign w:val="bottom"/>
          </w:tcPr>
          <w:p>
            <w:pPr>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22,666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02"/>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01"/>
        </w:trPr>
        <w:tc>
          <w:tcPr>
            <w:tcW w:w="6540" w:type="dxa"/>
            <w:vAlign w:val="bottom"/>
          </w:tcPr>
          <w:p>
            <w:pPr>
              <w:spacing w:after="0"/>
              <w:rPr>
                <w:sz w:val="20"/>
                <w:szCs w:val="20"/>
                <w:color w:val="auto"/>
              </w:rPr>
            </w:pPr>
            <w:r>
              <w:rPr>
                <w:rFonts w:ascii="Arial" w:cs="Arial" w:eastAsia="Arial" w:hAnsi="Arial"/>
                <w:sz w:val="16"/>
                <w:szCs w:val="16"/>
                <w:color w:val="auto"/>
              </w:rPr>
              <w:t>2025</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10,741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2"/>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1"/>
        </w:trPr>
        <w:tc>
          <w:tcPr>
            <w:tcW w:w="6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2027 and thereafter</w:t>
            </w: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25,198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65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lease payments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108,765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r>
      <w:tr>
        <w:trPr>
          <w:trHeight w:val="201"/>
        </w:trPr>
        <w:tc>
          <w:tcPr>
            <w:tcW w:w="6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Imputed interest</w:t>
            </w: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21,772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19"/>
        </w:trPr>
        <w:tc>
          <w:tcPr>
            <w:tcW w:w="654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Present value of lease liabilities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86,993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Income Taxes</w:t>
      </w:r>
    </w:p>
    <w:p>
      <w:pPr>
        <w:spacing w:after="0" w:line="224" w:lineRule="exact"/>
        <w:rPr>
          <w:sz w:val="20"/>
          <w:szCs w:val="20"/>
          <w:color w:val="auto"/>
        </w:rPr>
      </w:pPr>
    </w:p>
    <w:p>
      <w:pPr>
        <w:jc w:val="both"/>
        <w:ind w:firstLine="356"/>
        <w:spacing w:after="0" w:line="243" w:lineRule="auto"/>
        <w:rPr>
          <w:sz w:val="20"/>
          <w:szCs w:val="20"/>
          <w:color w:val="auto"/>
        </w:rPr>
      </w:pPr>
      <w:r>
        <w:rPr>
          <w:rFonts w:ascii="Arial" w:cs="Arial" w:eastAsia="Arial" w:hAnsi="Arial"/>
          <w:sz w:val="16"/>
          <w:szCs w:val="16"/>
          <w:color w:val="auto"/>
        </w:rPr>
        <w:t>The Company determines the tax provision for interim periods using an estimate of its annual effective tax rate. Each quarter, the Company updates its estimate of annual effective tax rate, and if its estimated tax rate changes, the Company makes a cumulative adjustment. The impact of COVID-19 on the economic environment is uncertain and may change the annual effective tax rate, which could impact tax expense.</w:t>
      </w:r>
    </w:p>
    <w:p>
      <w:pPr>
        <w:spacing w:after="0" w:line="177" w:lineRule="exact"/>
        <w:rPr>
          <w:sz w:val="20"/>
          <w:szCs w:val="20"/>
          <w:color w:val="auto"/>
        </w:rPr>
      </w:pPr>
    </w:p>
    <w:p>
      <w:pPr>
        <w:jc w:val="both"/>
        <w:ind w:right="20" w:firstLine="392"/>
        <w:spacing w:after="0" w:line="244" w:lineRule="auto"/>
        <w:rPr>
          <w:sz w:val="20"/>
          <w:szCs w:val="20"/>
          <w:color w:val="auto"/>
        </w:rPr>
      </w:pPr>
      <w:r>
        <w:rPr>
          <w:rFonts w:ascii="Arial" w:cs="Arial" w:eastAsia="Arial" w:hAnsi="Arial"/>
          <w:sz w:val="15"/>
          <w:szCs w:val="15"/>
          <w:color w:val="auto"/>
        </w:rPr>
        <w:t>The Company's effective tax rate increased from 21.9% during the three months ended March 31, 2021 to 23.7% during the three months ended March 31, 2022. The Company recorded income tax expense of $11,202 and $8,958 for the three months ended March 31, 2022 and 2021, respectively. The increase in the income tax expense was primarily as a result of higher profit during the three months ended March 31, 2022 compared to the three months ended March 31, 2021, and an increase in non-deductible expenses, partially offset by higher excess tax benefits during the three months ended March 31, 2022.</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Income tax (deferred) recognized in AOCI were as follows:</w:t>
      </w:r>
    </w:p>
    <w:p>
      <w:pPr>
        <w:spacing w:after="0" w:line="82"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7300" w:type="dxa"/>
            <w:vAlign w:val="bottom"/>
          </w:tcPr>
          <w:p>
            <w:pPr>
              <w:spacing w:after="0"/>
              <w:rPr>
                <w:sz w:val="14"/>
                <w:szCs w:val="14"/>
                <w:color w:val="auto"/>
              </w:rPr>
            </w:pPr>
          </w:p>
        </w:tc>
        <w:tc>
          <w:tcPr>
            <w:tcW w:w="2640" w:type="dxa"/>
            <w:vAlign w:val="bottom"/>
            <w:tcBorders>
              <w:bottom w:val="single" w:sz="8" w:color="auto"/>
            </w:tcBorders>
            <w:gridSpan w:val="4"/>
          </w:tcPr>
          <w:p>
            <w:pPr>
              <w:jc w:val="right"/>
              <w:ind w:right="146"/>
              <w:spacing w:after="0"/>
              <w:rPr>
                <w:sz w:val="20"/>
                <w:szCs w:val="20"/>
                <w:color w:val="auto"/>
              </w:rPr>
            </w:pPr>
            <w:r>
              <w:rPr>
                <w:rFonts w:ascii="Arial" w:cs="Arial" w:eastAsia="Arial" w:hAnsi="Arial"/>
                <w:sz w:val="13"/>
                <w:szCs w:val="13"/>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r>
      <w:tr>
        <w:trPr>
          <w:trHeight w:val="162"/>
        </w:trPr>
        <w:tc>
          <w:tcPr>
            <w:tcW w:w="73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2022</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4"/>
                <w:szCs w:val="14"/>
                <w:color w:val="auto"/>
              </w:rPr>
            </w:pPr>
          </w:p>
        </w:tc>
      </w:tr>
      <w:tr>
        <w:trPr>
          <w:trHeight w:val="183"/>
        </w:trPr>
        <w:tc>
          <w:tcPr>
            <w:tcW w:w="730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Deferred taxes benefit / (expense) recognized on:</w:t>
            </w: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201"/>
        </w:trPr>
        <w:tc>
          <w:tcPr>
            <w:tcW w:w="7300" w:type="dxa"/>
            <w:vAlign w:val="bottom"/>
          </w:tcPr>
          <w:p>
            <w:pPr>
              <w:ind w:left="100"/>
              <w:spacing w:after="0"/>
              <w:rPr>
                <w:sz w:val="20"/>
                <w:szCs w:val="20"/>
                <w:color w:val="auto"/>
              </w:rPr>
            </w:pPr>
            <w:r>
              <w:rPr>
                <w:rFonts w:ascii="Arial" w:cs="Arial" w:eastAsia="Arial" w:hAnsi="Arial"/>
                <w:sz w:val="16"/>
                <w:szCs w:val="16"/>
                <w:color w:val="auto"/>
              </w:rPr>
              <w:t>Unrealized gain/(loss) on cash flow hedges</w:t>
            </w:r>
          </w:p>
        </w:tc>
        <w:tc>
          <w:tcPr>
            <w:tcW w:w="1020" w:type="dxa"/>
            <w:vAlign w:val="bottom"/>
          </w:tcPr>
          <w:p>
            <w:pPr>
              <w:jc w:val="right"/>
              <w:ind w:right="84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080" w:type="dxa"/>
            <w:vAlign w:val="bottom"/>
          </w:tcPr>
          <w:p>
            <w:pPr>
              <w:jc w:val="right"/>
              <w:ind w:right="906"/>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(398)</w:t>
            </w:r>
          </w:p>
        </w:tc>
      </w:tr>
      <w:tr>
        <w:trPr>
          <w:trHeight w:val="202"/>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Reclassification adjustment for cash flow hedges</w:t>
            </w: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r>
      <w:tr>
        <w:trPr>
          <w:trHeight w:val="201"/>
        </w:trPr>
        <w:tc>
          <w:tcPr>
            <w:tcW w:w="7300" w:type="dxa"/>
            <w:vAlign w:val="bottom"/>
          </w:tcPr>
          <w:p>
            <w:pPr>
              <w:ind w:left="100"/>
              <w:spacing w:after="0"/>
              <w:rPr>
                <w:sz w:val="20"/>
                <w:szCs w:val="20"/>
                <w:color w:val="auto"/>
              </w:rPr>
            </w:pPr>
            <w:r>
              <w:rPr>
                <w:rFonts w:ascii="Arial" w:cs="Arial" w:eastAsia="Arial" w:hAnsi="Arial"/>
                <w:sz w:val="16"/>
                <w:szCs w:val="16"/>
                <w:color w:val="auto"/>
              </w:rPr>
              <w:t>Reclassification adjustment for retirement benefits</w:t>
            </w:r>
          </w:p>
        </w:tc>
        <w:tc>
          <w:tcPr>
            <w:tcW w:w="10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02"/>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Foreign currency translation loss</w:t>
            </w:r>
          </w:p>
        </w:tc>
        <w:tc>
          <w:tcPr>
            <w:tcW w:w="10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r>
      <w:tr>
        <w:trPr>
          <w:trHeight w:val="194"/>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Total Income tax benefit recognized in AOCI</w:t>
            </w:r>
          </w:p>
        </w:tc>
        <w:tc>
          <w:tcPr>
            <w:tcW w:w="1020" w:type="dxa"/>
            <w:vAlign w:val="bottom"/>
            <w:tcBorders>
              <w:bottom w:val="single" w:sz="8" w:color="auto"/>
            </w:tcBorders>
          </w:tcPr>
          <w:p>
            <w:pPr>
              <w:jc w:val="right"/>
              <w:ind w:right="84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964</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ind w:right="906"/>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w:t>
            </w:r>
          </w:p>
        </w:tc>
      </w:tr>
      <w:tr>
        <w:trPr>
          <w:trHeight w:val="20"/>
        </w:trPr>
        <w:tc>
          <w:tcPr>
            <w:tcW w:w="7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Stock-Based Compensation</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costs related to the Company’s stock-based compensation plan are included in the unaudited consolidated statements of income: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40" w:type="dxa"/>
            <w:vAlign w:val="bottom"/>
          </w:tcPr>
          <w:p>
            <w:pPr>
              <w:spacing w:after="0"/>
              <w:rPr>
                <w:sz w:val="14"/>
                <w:szCs w:val="14"/>
                <w:color w:val="auto"/>
              </w:rPr>
            </w:pPr>
          </w:p>
        </w:tc>
        <w:tc>
          <w:tcPr>
            <w:tcW w:w="23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3"/>
                <w:szCs w:val="13"/>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r>
      <w:tr>
        <w:trPr>
          <w:trHeight w:val="162"/>
        </w:trPr>
        <w:tc>
          <w:tcPr>
            <w:tcW w:w="79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4"/>
                <w:szCs w:val="14"/>
                <w:color w:val="auto"/>
              </w:rPr>
            </w:pPr>
          </w:p>
        </w:tc>
      </w:tr>
      <w:tr>
        <w:trPr>
          <w:trHeight w:val="194"/>
        </w:trPr>
        <w:tc>
          <w:tcPr>
            <w:tcW w:w="794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Cost of revenues</w:t>
            </w:r>
          </w:p>
        </w:tc>
        <w:tc>
          <w:tcPr>
            <w:tcW w:w="860" w:type="dxa"/>
            <w:vAlign w:val="bottom"/>
            <w:shd w:val="clear" w:color="auto" w:fill="CCEEFF"/>
          </w:tcPr>
          <w:p>
            <w:pPr>
              <w:jc w:val="right"/>
              <w:ind w:right="687"/>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2,641</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6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1,536</w:t>
            </w:r>
          </w:p>
        </w:tc>
      </w:tr>
      <w:tr>
        <w:trPr>
          <w:trHeight w:val="201"/>
        </w:trPr>
        <w:tc>
          <w:tcPr>
            <w:tcW w:w="794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8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4,395</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3,298</w:t>
            </w:r>
          </w:p>
        </w:tc>
      </w:tr>
      <w:tr>
        <w:trPr>
          <w:trHeight w:val="20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and marketing expenses</w:t>
            </w:r>
          </w:p>
        </w:tc>
        <w:tc>
          <w:tcPr>
            <w:tcW w:w="8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4,188</w:t>
            </w: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2,998</w:t>
            </w:r>
          </w:p>
        </w:tc>
      </w:tr>
      <w:tr>
        <w:trPr>
          <w:trHeight w:val="193"/>
        </w:trPr>
        <w:tc>
          <w:tcPr>
            <w:tcW w:w="7940" w:type="dxa"/>
            <w:vAlign w:val="bottom"/>
          </w:tcPr>
          <w:p>
            <w:pPr>
              <w:ind w:left="20"/>
              <w:spacing w:after="0" w:line="181" w:lineRule="exact"/>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tcPr>
          <w:p>
            <w:pPr>
              <w:jc w:val="right"/>
              <w:ind w:right="687"/>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11,224</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ind w:right="665"/>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7,832</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02"/>
        </w:trPr>
        <w:tc>
          <w:tcPr>
            <w:tcW w:w="794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r>
      <w:tr>
        <w:trPr>
          <w:trHeight w:val="193"/>
        </w:trPr>
        <w:tc>
          <w:tcPr>
            <w:tcW w:w="7940" w:type="dxa"/>
            <w:vAlign w:val="bottom"/>
          </w:tcPr>
          <w:p>
            <w:pPr>
              <w:ind w:left="20"/>
              <w:spacing w:after="0" w:line="181" w:lineRule="exact"/>
              <w:rPr>
                <w:sz w:val="20"/>
                <w:szCs w:val="20"/>
                <w:color w:val="auto"/>
              </w:rPr>
            </w:pPr>
            <w:r>
              <w:rPr>
                <w:rFonts w:ascii="Arial" w:cs="Arial" w:eastAsia="Arial" w:hAnsi="Arial"/>
                <w:sz w:val="16"/>
                <w:szCs w:val="16"/>
                <w:color w:val="auto"/>
              </w:rPr>
              <w:t>Income tax benefit related to share-based compensation, including excess tax benefits</w:t>
            </w:r>
          </w:p>
        </w:tc>
        <w:tc>
          <w:tcPr>
            <w:tcW w:w="860" w:type="dxa"/>
            <w:vAlign w:val="bottom"/>
            <w:tcBorders>
              <w:bottom w:val="single" w:sz="8" w:color="auto"/>
            </w:tcBorders>
          </w:tcPr>
          <w:p>
            <w:pPr>
              <w:jc w:val="right"/>
              <w:ind w:right="687"/>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2,806</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ind w:right="665"/>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2,358</w:t>
            </w:r>
          </w:p>
        </w:tc>
      </w:tr>
      <w:tr>
        <w:trPr>
          <w:trHeight w:val="20"/>
        </w:trPr>
        <w:tc>
          <w:tcPr>
            <w:tcW w:w="7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3" w:name="page34"/>
    <w:bookmarkEnd w:id="3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March 31, 2022, the Company had 1,256,384 shares available for grant under the 2018 Omnibus Incentive Plan.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Stock option activity under the Company’s stock-based compensation plans is shown below:</w:t>
      </w:r>
    </w:p>
    <w:tbl>
      <w:tblPr>
        <w:tblLayout w:type="fixed"/>
        <w:tblInd w:w="0" w:type="dxa"/>
        <w:tblCellMar>
          <w:top w:w="0" w:type="dxa"/>
          <w:left w:w="0" w:type="dxa"/>
          <w:bottom w:w="0" w:type="dxa"/>
          <w:right w:w="0" w:type="dxa"/>
        </w:tblCellMar>
      </w:tblPr>
      <w:tr>
        <w:trPr>
          <w:trHeight w:val="149"/>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7"/>
              </w:rPr>
              <w:t>Weighted-Average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center"/>
              <w:ind w:left="137"/>
              <w:spacing w:after="0"/>
              <w:rPr>
                <w:sz w:val="20"/>
                <w:szCs w:val="20"/>
                <w:color w:val="auto"/>
              </w:rPr>
            </w:pPr>
            <w:r>
              <w:rPr>
                <w:rFonts w:ascii="Arial" w:cs="Arial" w:eastAsia="Arial" w:hAnsi="Arial"/>
                <w:sz w:val="13"/>
                <w:szCs w:val="13"/>
                <w:b w:val="1"/>
                <w:bCs w:val="1"/>
                <w:color w:val="auto"/>
                <w:w w:val="87"/>
              </w:rPr>
              <w:t>Aggregate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Weighted-Average</w:t>
            </w:r>
          </w:p>
        </w:tc>
        <w:tc>
          <w:tcPr>
            <w:tcW w:w="0" w:type="dxa"/>
            <w:vAlign w:val="bottom"/>
          </w:tcPr>
          <w:p>
            <w:pPr>
              <w:spacing w:after="0"/>
              <w:rPr>
                <w:sz w:val="1"/>
                <w:szCs w:val="1"/>
                <w:color w:val="auto"/>
              </w:rPr>
            </w:pPr>
          </w:p>
        </w:tc>
      </w:tr>
      <w:tr>
        <w:trPr>
          <w:trHeight w:val="59"/>
        </w:trPr>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220" w:type="dxa"/>
            <w:vAlign w:val="bottom"/>
            <w:gridSpan w:val="2"/>
            <w:vMerge w:val="restart"/>
          </w:tcPr>
          <w:p>
            <w:pPr>
              <w:jc w:val="right"/>
              <w:ind w:right="221"/>
              <w:spacing w:after="0" w:line="119" w:lineRule="exact"/>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vMerge w:val="restart"/>
          </w:tcPr>
          <w:p>
            <w:pPr>
              <w:jc w:val="center"/>
              <w:ind w:right="166"/>
              <w:spacing w:after="0" w:line="119" w:lineRule="exact"/>
              <w:rPr>
                <w:sz w:val="20"/>
                <w:szCs w:val="20"/>
                <w:color w:val="auto"/>
              </w:rPr>
            </w:pPr>
            <w:r>
              <w:rPr>
                <w:rFonts w:ascii="Arial" w:cs="Arial" w:eastAsia="Arial" w:hAnsi="Arial"/>
                <w:sz w:val="13"/>
                <w:szCs w:val="13"/>
                <w:b w:val="1"/>
                <w:bCs w:val="1"/>
                <w:color w:val="auto"/>
                <w:w w:val="90"/>
              </w:rPr>
              <w:t>Remaining</w:t>
            </w:r>
          </w:p>
        </w:tc>
        <w:tc>
          <w:tcPr>
            <w:tcW w:w="0" w:type="dxa"/>
            <w:vAlign w:val="bottom"/>
          </w:tcPr>
          <w:p>
            <w:pPr>
              <w:spacing w:after="0"/>
              <w:rPr>
                <w:sz w:val="1"/>
                <w:szCs w:val="1"/>
                <w:color w:val="auto"/>
              </w:rPr>
            </w:pPr>
          </w:p>
        </w:tc>
      </w:tr>
      <w:tr>
        <w:trPr>
          <w:trHeight w:val="59"/>
        </w:trPr>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4"/>
            <w:vMerge w:val="restart"/>
          </w:tcPr>
          <w:p>
            <w:pPr>
              <w:jc w:val="center"/>
              <w:spacing w:after="0" w:line="119" w:lineRule="exact"/>
              <w:rPr>
                <w:sz w:val="20"/>
                <w:szCs w:val="20"/>
                <w:color w:val="auto"/>
              </w:rPr>
            </w:pPr>
            <w:r>
              <w:rPr>
                <w:rFonts w:ascii="Arial" w:cs="Arial" w:eastAsia="Arial" w:hAnsi="Arial"/>
                <w:sz w:val="13"/>
                <w:szCs w:val="13"/>
                <w:b w:val="1"/>
                <w:bCs w:val="1"/>
                <w:color w:val="auto"/>
                <w:w w:val="85"/>
              </w:rPr>
              <w:t>Exercise</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restart"/>
          </w:tcPr>
          <w:p>
            <w:pPr>
              <w:jc w:val="center"/>
              <w:ind w:left="137"/>
              <w:spacing w:after="0" w:line="119" w:lineRule="exact"/>
              <w:rPr>
                <w:sz w:val="20"/>
                <w:szCs w:val="20"/>
                <w:color w:val="auto"/>
              </w:rPr>
            </w:pPr>
            <w:r>
              <w:rPr>
                <w:rFonts w:ascii="Arial" w:cs="Arial" w:eastAsia="Arial" w:hAnsi="Arial"/>
                <w:sz w:val="13"/>
                <w:szCs w:val="13"/>
                <w:b w:val="1"/>
                <w:bCs w:val="1"/>
                <w:color w:val="auto"/>
                <w:w w:val="94"/>
              </w:rPr>
              <w:t>Intrinsic</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220" w:type="dxa"/>
            <w:vAlign w:val="bottom"/>
            <w:gridSpan w:val="2"/>
            <w:vMerge w:val="restart"/>
          </w:tcPr>
          <w:p>
            <w:pPr>
              <w:jc w:val="right"/>
              <w:ind w:right="301"/>
              <w:spacing w:after="0" w:line="119" w:lineRule="exact"/>
              <w:rPr>
                <w:sz w:val="20"/>
                <w:szCs w:val="20"/>
                <w:color w:val="auto"/>
              </w:rPr>
            </w:pPr>
            <w:r>
              <w:rPr>
                <w:rFonts w:ascii="Arial" w:cs="Arial" w:eastAsia="Arial" w:hAnsi="Arial"/>
                <w:sz w:val="13"/>
                <w:szCs w:val="13"/>
                <w:b w:val="1"/>
                <w:bCs w:val="1"/>
                <w:color w:val="auto"/>
              </w:rPr>
              <w:t>Options</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vMerge w:val="restart"/>
          </w:tcPr>
          <w:p>
            <w:pPr>
              <w:jc w:val="center"/>
              <w:ind w:right="146"/>
              <w:spacing w:after="0" w:line="119" w:lineRule="exact"/>
              <w:rPr>
                <w:sz w:val="20"/>
                <w:szCs w:val="20"/>
                <w:color w:val="auto"/>
              </w:rPr>
            </w:pPr>
            <w:r>
              <w:rPr>
                <w:rFonts w:ascii="Arial" w:cs="Arial" w:eastAsia="Arial" w:hAnsi="Arial"/>
                <w:sz w:val="13"/>
                <w:szCs w:val="13"/>
                <w:b w:val="1"/>
                <w:bCs w:val="1"/>
                <w:color w:val="auto"/>
                <w:w w:val="91"/>
              </w:rPr>
              <w:t>Contractual</w:t>
            </w:r>
          </w:p>
        </w:tc>
        <w:tc>
          <w:tcPr>
            <w:tcW w:w="0" w:type="dxa"/>
            <w:vAlign w:val="bottom"/>
          </w:tcPr>
          <w:p>
            <w:pPr>
              <w:spacing w:after="0"/>
              <w:rPr>
                <w:sz w:val="1"/>
                <w:szCs w:val="1"/>
                <w:color w:val="auto"/>
              </w:rPr>
            </w:pPr>
          </w:p>
        </w:tc>
      </w:tr>
      <w:tr>
        <w:trPr>
          <w:trHeight w:val="59"/>
        </w:trPr>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3"/>
            <w:vMerge w:val="restart"/>
          </w:tcPr>
          <w:p>
            <w:pPr>
              <w:jc w:val="center"/>
              <w:ind w:left="429"/>
              <w:spacing w:after="0"/>
              <w:rPr>
                <w:sz w:val="20"/>
                <w:szCs w:val="20"/>
                <w:color w:val="auto"/>
              </w:rPr>
            </w:pPr>
            <w:r>
              <w:rPr>
                <w:rFonts w:ascii="Arial" w:cs="Arial" w:eastAsia="Arial" w:hAnsi="Arial"/>
                <w:sz w:val="13"/>
                <w:szCs w:val="13"/>
                <w:b w:val="1"/>
                <w:bCs w:val="1"/>
                <w:color w:val="auto"/>
                <w:w w:val="87"/>
              </w:rPr>
              <w:t>Price</w:t>
            </w: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restart"/>
          </w:tcPr>
          <w:p>
            <w:pPr>
              <w:jc w:val="center"/>
              <w:ind w:left="137"/>
              <w:spacing w:after="0"/>
              <w:rPr>
                <w:sz w:val="20"/>
                <w:szCs w:val="20"/>
                <w:color w:val="auto"/>
              </w:rPr>
            </w:pPr>
            <w:r>
              <w:rPr>
                <w:rFonts w:ascii="Arial" w:cs="Arial" w:eastAsia="Arial" w:hAnsi="Arial"/>
                <w:sz w:val="13"/>
                <w:szCs w:val="13"/>
                <w:b w:val="1"/>
                <w:bCs w:val="1"/>
                <w:color w:val="auto"/>
                <w:w w:val="92"/>
              </w:rPr>
              <w:t>Value</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vMerge w:val="restart"/>
          </w:tcPr>
          <w:p>
            <w:pPr>
              <w:jc w:val="center"/>
              <w:ind w:right="166"/>
              <w:spacing w:after="0"/>
              <w:rPr>
                <w:sz w:val="20"/>
                <w:szCs w:val="20"/>
                <w:color w:val="auto"/>
              </w:rPr>
            </w:pPr>
            <w:r>
              <w:rPr>
                <w:rFonts w:ascii="Arial" w:cs="Arial" w:eastAsia="Arial" w:hAnsi="Arial"/>
                <w:sz w:val="13"/>
                <w:szCs w:val="13"/>
                <w:b w:val="1"/>
                <w:bCs w:val="1"/>
                <w:color w:val="auto"/>
                <w:w w:val="90"/>
              </w:rPr>
              <w:t>Life (Years)</w:t>
            </w:r>
          </w:p>
        </w:tc>
        <w:tc>
          <w:tcPr>
            <w:tcW w:w="0" w:type="dxa"/>
            <w:vAlign w:val="bottom"/>
          </w:tcPr>
          <w:p>
            <w:pPr>
              <w:spacing w:after="0"/>
              <w:rPr>
                <w:sz w:val="1"/>
                <w:szCs w:val="1"/>
                <w:color w:val="auto"/>
              </w:rPr>
            </w:pPr>
          </w:p>
        </w:tc>
      </w:tr>
      <w:tr>
        <w:trPr>
          <w:trHeight w:val="60"/>
        </w:trPr>
        <w:tc>
          <w:tcPr>
            <w:tcW w:w="360" w:type="dxa"/>
            <w:vAlign w:val="bottom"/>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474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494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Outstanding at December 31, 2021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3,093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8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27.62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362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1"/>
        </w:trPr>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40" w:type="dxa"/>
            <w:vAlign w:val="bottom"/>
          </w:tcPr>
          <w:p>
            <w:pPr>
              <w:ind w:left="100"/>
              <w:spacing w:after="0"/>
              <w:rPr>
                <w:sz w:val="20"/>
                <w:szCs w:val="20"/>
                <w:color w:val="auto"/>
              </w:rPr>
            </w:pPr>
            <w:r>
              <w:rPr>
                <w:rFonts w:ascii="Arial" w:cs="Arial" w:eastAsia="Arial" w:hAnsi="Arial"/>
                <w:sz w:val="16"/>
                <w:szCs w:val="16"/>
                <w:color w:val="auto"/>
              </w:rPr>
              <w:t>Granted</w:t>
            </w:r>
          </w:p>
        </w:tc>
        <w:tc>
          <w:tcPr>
            <w:tcW w:w="6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gridSpan w:val="3"/>
          </w:tcPr>
          <w:p>
            <w:pPr>
              <w:jc w:val="right"/>
              <w:ind w:right="317"/>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Exercised</w:t>
            </w: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317"/>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40" w:type="dxa"/>
            <w:vAlign w:val="bottom"/>
          </w:tcPr>
          <w:p>
            <w:pPr>
              <w:ind w:left="100"/>
              <w:spacing w:after="0"/>
              <w:rPr>
                <w:sz w:val="20"/>
                <w:szCs w:val="20"/>
                <w:color w:val="auto"/>
              </w:rPr>
            </w:pPr>
            <w:r>
              <w:rPr>
                <w:rFonts w:ascii="Arial" w:cs="Arial" w:eastAsia="Arial" w:hAnsi="Arial"/>
                <w:sz w:val="16"/>
                <w:szCs w:val="16"/>
                <w:color w:val="auto"/>
              </w:rPr>
              <w:t>Forfeited</w:t>
            </w:r>
          </w:p>
        </w:tc>
        <w:tc>
          <w:tcPr>
            <w:tcW w:w="6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gridSpan w:val="3"/>
          </w:tcPr>
          <w:p>
            <w:pPr>
              <w:jc w:val="right"/>
              <w:ind w:right="317"/>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tcPr>
          <w:p>
            <w:pPr>
              <w:spacing w:after="0"/>
              <w:rPr>
                <w:sz w:val="18"/>
                <w:szCs w:val="18"/>
                <w:color w:val="auto"/>
              </w:rPr>
            </w:pPr>
          </w:p>
        </w:tc>
        <w:tc>
          <w:tcPr>
            <w:tcW w:w="4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Outstanding at March 31, 2022</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3,093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89"/>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27.62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358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94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6"/>
                <w:szCs w:val="16"/>
                <w:color w:val="auto"/>
              </w:rPr>
              <w:t>Vested and exercisable at March 31, 2022</w:t>
            </w:r>
          </w:p>
        </w:tc>
        <w:tc>
          <w:tcPr>
            <w:tcW w:w="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3"/>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 w:type="dxa"/>
            <w:vAlign w:val="bottom"/>
          </w:tcPr>
          <w:p>
            <w:pPr>
              <w:spacing w:after="0"/>
              <w:rPr>
                <w:sz w:val="14"/>
                <w:szCs w:val="14"/>
                <w:color w:val="auto"/>
              </w:rPr>
            </w:pPr>
          </w:p>
        </w:tc>
        <w:tc>
          <w:tcPr>
            <w:tcW w:w="4940" w:type="dxa"/>
            <w:vAlign w:val="bottom"/>
            <w:tcBorders>
              <w:top w:val="single" w:sz="8" w:color="CCEEFF"/>
            </w:tcBorders>
            <w:gridSpan w:val="2"/>
            <w:vMerge w:val="continue"/>
          </w:tcPr>
          <w:p>
            <w:pPr>
              <w:spacing w:after="0"/>
              <w:rPr>
                <w:sz w:val="14"/>
                <w:szCs w:val="14"/>
                <w:color w:val="auto"/>
              </w:rPr>
            </w:pPr>
          </w:p>
        </w:tc>
        <w:tc>
          <w:tcPr>
            <w:tcW w:w="1220" w:type="dxa"/>
            <w:vAlign w:val="bottom"/>
            <w:tcBorders>
              <w:top w:val="single" w:sz="8" w:color="auto"/>
              <w:bottom w:val="single" w:sz="8" w:color="auto"/>
            </w:tcBorders>
            <w:gridSpan w:val="2"/>
          </w:tcPr>
          <w:p>
            <w:pPr>
              <w:jc w:val="right"/>
              <w:spacing w:after="0" w:line="168" w:lineRule="exact"/>
              <w:rPr>
                <w:sz w:val="20"/>
                <w:szCs w:val="20"/>
                <w:color w:val="auto"/>
              </w:rPr>
            </w:pPr>
            <w:r>
              <w:rPr>
                <w:rFonts w:ascii="Arial" w:cs="Arial" w:eastAsia="Arial" w:hAnsi="Arial"/>
                <w:sz w:val="16"/>
                <w:szCs w:val="16"/>
                <w:color w:val="auto"/>
              </w:rPr>
              <w:t>3,093</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ind w:right="389"/>
              <w:spacing w:after="0" w:line="168" w:lineRule="exact"/>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6"/>
                <w:szCs w:val="16"/>
                <w:color w:val="auto"/>
                <w:w w:val="99"/>
              </w:rPr>
              <w:t>27.62</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center"/>
              <w:spacing w:after="0" w:line="168"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6"/>
                <w:szCs w:val="16"/>
                <w:color w:val="auto"/>
                <w:w w:val="97"/>
              </w:rPr>
              <w:t>358</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71"/>
        </w:trPr>
        <w:tc>
          <w:tcPr>
            <w:tcW w:w="5300" w:type="dxa"/>
            <w:vAlign w:val="bottom"/>
            <w:gridSpan w:val="3"/>
          </w:tcPr>
          <w:p>
            <w:pPr>
              <w:spacing w:after="0"/>
              <w:rPr>
                <w:sz w:val="20"/>
                <w:szCs w:val="20"/>
                <w:color w:val="auto"/>
              </w:rPr>
            </w:pPr>
            <w:r>
              <w:rPr>
                <w:rFonts w:ascii="Arial" w:cs="Arial" w:eastAsia="Arial" w:hAnsi="Arial"/>
                <w:sz w:val="16"/>
                <w:szCs w:val="16"/>
                <w:b w:val="1"/>
                <w:bCs w:val="1"/>
                <w:color w:val="auto"/>
              </w:rPr>
              <w:t>Restricted Stock Units</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60" w:type="dxa"/>
            <w:vAlign w:val="bottom"/>
          </w:tcPr>
          <w:p>
            <w:pPr>
              <w:spacing w:after="0"/>
              <w:rPr>
                <w:sz w:val="24"/>
                <w:szCs w:val="24"/>
                <w:color w:val="auto"/>
              </w:rPr>
            </w:pPr>
          </w:p>
        </w:tc>
        <w:tc>
          <w:tcPr>
            <w:tcW w:w="7080" w:type="dxa"/>
            <w:vAlign w:val="bottom"/>
            <w:gridSpan w:val="9"/>
          </w:tcPr>
          <w:p>
            <w:pPr>
              <w:ind w:left="20"/>
              <w:spacing w:after="0"/>
              <w:rPr>
                <w:sz w:val="20"/>
                <w:szCs w:val="20"/>
                <w:color w:val="auto"/>
              </w:rPr>
            </w:pPr>
            <w:r>
              <w:rPr>
                <w:rFonts w:ascii="Arial" w:cs="Arial" w:eastAsia="Arial" w:hAnsi="Arial"/>
                <w:sz w:val="16"/>
                <w:szCs w:val="16"/>
                <w:color w:val="auto"/>
                <w:w w:val="99"/>
              </w:rPr>
              <w:t>Restricted stock unit activity under the Company’s stock-based compensation plans is shown below:</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5"/>
          </w:tcPr>
          <w:p>
            <w:pPr>
              <w:jc w:val="center"/>
              <w:ind w:right="217"/>
              <w:spacing w:after="0"/>
              <w:rPr>
                <w:sz w:val="20"/>
                <w:szCs w:val="20"/>
                <w:color w:val="auto"/>
              </w:rPr>
            </w:pPr>
            <w:r>
              <w:rPr>
                <w:rFonts w:ascii="Arial" w:cs="Arial" w:eastAsia="Arial" w:hAnsi="Arial"/>
                <w:sz w:val="13"/>
                <w:szCs w:val="13"/>
                <w:b w:val="1"/>
                <w:bCs w:val="1"/>
                <w:color w:val="auto"/>
                <w:w w:val="86"/>
              </w:rPr>
              <w:t>Restricted Stock Units</w:t>
            </w:r>
          </w:p>
        </w:tc>
        <w:tc>
          <w:tcPr>
            <w:tcW w:w="3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rPr>
              <w:t>Number</w:t>
            </w: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4"/>
          </w:tcPr>
          <w:p>
            <w:pPr>
              <w:jc w:val="right"/>
              <w:ind w:right="297"/>
              <w:spacing w:after="0" w:line="116" w:lineRule="exact"/>
              <w:rPr>
                <w:sz w:val="20"/>
                <w:szCs w:val="20"/>
                <w:color w:val="auto"/>
              </w:rPr>
            </w:pPr>
            <w:r>
              <w:rPr>
                <w:rFonts w:ascii="Arial" w:cs="Arial" w:eastAsia="Arial" w:hAnsi="Arial"/>
                <w:sz w:val="13"/>
                <w:szCs w:val="13"/>
                <w:b w:val="1"/>
                <w:bCs w:val="1"/>
                <w:color w:val="auto"/>
                <w:w w:val="94"/>
              </w:rPr>
              <w:t>Weighted-Average</w:t>
            </w: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gridSpan w:val="4"/>
            <w:vMerge w:val="continue"/>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Fair Value</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740" w:type="dxa"/>
            <w:vAlign w:val="bottom"/>
            <w:tcBorders>
              <w:bottom w:val="single" w:sz="8" w:color="CCEEFF"/>
            </w:tcBorders>
          </w:tcPr>
          <w:p>
            <w:pPr>
              <w:spacing w:after="0"/>
              <w:rPr>
                <w:sz w:val="5"/>
                <w:szCs w:val="5"/>
                <w:color w:val="auto"/>
              </w:rPr>
            </w:pPr>
          </w:p>
        </w:tc>
        <w:tc>
          <w:tcPr>
            <w:tcW w:w="64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40" w:type="dxa"/>
            <w:vAlign w:val="bottom"/>
            <w:shd w:val="clear" w:color="auto" w:fill="CCEEFF"/>
          </w:tcPr>
          <w:p>
            <w:pPr>
              <w:ind w:left="600"/>
              <w:spacing w:after="0" w:line="182" w:lineRule="exact"/>
              <w:rPr>
                <w:sz w:val="20"/>
                <w:szCs w:val="20"/>
                <w:color w:val="auto"/>
              </w:rPr>
            </w:pPr>
            <w:r>
              <w:rPr>
                <w:rFonts w:ascii="Arial" w:cs="Arial" w:eastAsia="Arial" w:hAnsi="Arial"/>
                <w:sz w:val="16"/>
                <w:szCs w:val="16"/>
                <w:color w:val="auto"/>
              </w:rPr>
              <w:t>Outstanding at December 31, 2021*</w:t>
            </w:r>
          </w:p>
        </w:tc>
        <w:tc>
          <w:tcPr>
            <w:tcW w:w="6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w w:val="96"/>
              </w:rPr>
              <w:t>982,187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81.61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40" w:type="dxa"/>
            <w:vAlign w:val="bottom"/>
          </w:tcPr>
          <w:p>
            <w:pPr>
              <w:ind w:left="880"/>
              <w:spacing w:after="0"/>
              <w:rPr>
                <w:sz w:val="20"/>
                <w:szCs w:val="20"/>
                <w:color w:val="auto"/>
              </w:rPr>
            </w:pPr>
            <w:r>
              <w:rPr>
                <w:rFonts w:ascii="Arial" w:cs="Arial" w:eastAsia="Arial" w:hAnsi="Arial"/>
                <w:sz w:val="16"/>
                <w:szCs w:val="16"/>
                <w:color w:val="auto"/>
              </w:rPr>
              <w:t>Granted</w:t>
            </w: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gridSpan w:val="3"/>
          </w:tcPr>
          <w:p>
            <w:pPr>
              <w:ind w:left="120"/>
              <w:spacing w:after="0"/>
              <w:rPr>
                <w:sz w:val="20"/>
                <w:szCs w:val="20"/>
                <w:color w:val="auto"/>
              </w:rPr>
            </w:pPr>
            <w:r>
              <w:rPr>
                <w:rFonts w:ascii="Arial" w:cs="Arial" w:eastAsia="Arial" w:hAnsi="Arial"/>
                <w:sz w:val="16"/>
                <w:szCs w:val="16"/>
                <w:color w:val="auto"/>
                <w:w w:val="96"/>
              </w:rPr>
              <w:t>370,958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119.08</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40" w:type="dxa"/>
            <w:vAlign w:val="bottom"/>
            <w:shd w:val="clear" w:color="auto" w:fill="CCEEFF"/>
          </w:tcPr>
          <w:p>
            <w:pPr>
              <w:ind w:left="880"/>
              <w:spacing w:after="0"/>
              <w:rPr>
                <w:sz w:val="20"/>
                <w:szCs w:val="20"/>
                <w:color w:val="auto"/>
              </w:rPr>
            </w:pPr>
            <w:r>
              <w:rPr>
                <w:rFonts w:ascii="Arial" w:cs="Arial" w:eastAsia="Arial" w:hAnsi="Arial"/>
                <w:sz w:val="16"/>
                <w:szCs w:val="16"/>
                <w:color w:val="auto"/>
              </w:rPr>
              <w:t>Vested</w:t>
            </w: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6"/>
              </w:rPr>
              <w:t>(286,463)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72.62</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40" w:type="dxa"/>
            <w:vAlign w:val="bottom"/>
            <w:tcBorders>
              <w:bottom w:val="single" w:sz="8" w:color="CCEEFF"/>
            </w:tcBorders>
          </w:tcPr>
          <w:p>
            <w:pPr>
              <w:ind w:left="880"/>
              <w:spacing w:after="0"/>
              <w:rPr>
                <w:sz w:val="20"/>
                <w:szCs w:val="20"/>
                <w:color w:val="auto"/>
              </w:rPr>
            </w:pPr>
            <w:r>
              <w:rPr>
                <w:rFonts w:ascii="Arial" w:cs="Arial" w:eastAsia="Arial" w:hAnsi="Arial"/>
                <w:sz w:val="16"/>
                <w:szCs w:val="16"/>
                <w:color w:val="auto"/>
              </w:rPr>
              <w:t>Forfeited</w:t>
            </w:r>
          </w:p>
        </w:tc>
        <w:tc>
          <w:tcPr>
            <w:tcW w:w="6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(11,413)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95.72</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40" w:type="dxa"/>
            <w:vAlign w:val="bottom"/>
            <w:tcBorders>
              <w:bottom w:val="single" w:sz="8" w:color="CCEEFF"/>
            </w:tcBorders>
            <w:shd w:val="clear" w:color="auto" w:fill="CCEEFF"/>
          </w:tcPr>
          <w:p>
            <w:pPr>
              <w:ind w:left="600"/>
              <w:spacing w:after="0" w:line="181" w:lineRule="exact"/>
              <w:rPr>
                <w:sz w:val="20"/>
                <w:szCs w:val="20"/>
                <w:color w:val="auto"/>
              </w:rPr>
            </w:pPr>
            <w:r>
              <w:rPr>
                <w:rFonts w:ascii="Arial" w:cs="Arial" w:eastAsia="Arial" w:hAnsi="Arial"/>
                <w:sz w:val="16"/>
                <w:szCs w:val="16"/>
                <w:color w:val="auto"/>
              </w:rPr>
              <w:t>Outstanding at March 31, 2022*</w:t>
            </w:r>
          </w:p>
        </w:tc>
        <w:tc>
          <w:tcPr>
            <w:tcW w:w="6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87"/>
              </w:rPr>
              <w:t>1,055,269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97.07</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 As of March 31, 2022 and December 31, 2021 restricted stock units vested for which the underlying common stock is yet to be issued are 163,130 and 162,481 respectively.</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March 31, 2022, unrecognized compensation cost of $92,797 is expected to be expensed over a weighted average period of 2.9 years.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Based Stock Awards</w:t>
      </w:r>
    </w:p>
    <w:p>
      <w:pPr>
        <w:spacing w:after="0" w:line="200" w:lineRule="exact"/>
        <w:rPr>
          <w:sz w:val="20"/>
          <w:szCs w:val="20"/>
          <w:color w:val="auto"/>
        </w:rPr>
      </w:pPr>
    </w:p>
    <w:p>
      <w:pPr>
        <w:spacing w:after="0" w:line="202" w:lineRule="exact"/>
        <w:rPr>
          <w:sz w:val="20"/>
          <w:szCs w:val="20"/>
          <w:color w:val="auto"/>
        </w:rPr>
      </w:pPr>
    </w:p>
    <w:p>
      <w:pPr>
        <w:jc w:val="both"/>
        <w:ind w:firstLine="392"/>
        <w:spacing w:after="0" w:line="239" w:lineRule="auto"/>
        <w:rPr>
          <w:sz w:val="20"/>
          <w:szCs w:val="20"/>
          <w:color w:val="auto"/>
        </w:rPr>
      </w:pPr>
      <w:r>
        <w:rPr>
          <w:rFonts w:ascii="Arial" w:cs="Arial" w:eastAsia="Arial" w:hAnsi="Arial"/>
          <w:sz w:val="15"/>
          <w:szCs w:val="15"/>
          <w:color w:val="auto"/>
        </w:rPr>
        <w:t>Under the 2018 Plan, the Company grants performance-based restricted stock units (“PRSUs”) to executive officers and other specified employees. During the three months ended March 31, 2022, the Company granted 40% of each award recipient’s equity grants in the form of PRSUs that cliff vest at the end of a three-year period based on an aggregated revenue target for a three year period. The remaining 60% of each award recipient’s equity grants are PRSUs that are based on a market condition that is contingent on the Company's meeting the total shareholder return relative to a group of peer companies specified under the program measured over a three-year performance period. However, the features of the equity incentive compensation program are subject to change by the Compensation Committee of our Board of Directors. The award recipient may earn up to two hundred percent (200%) of the PRSUs granted based on the actual achievement of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4" w:name="page35"/>
    <w:bookmarkEnd w:id="3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Performance restricted stock unit activity under the Company’s stock plans is shown below:</w:t>
      </w:r>
    </w:p>
    <w:p>
      <w:pPr>
        <w:spacing w:after="0" w:line="117"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2840" w:type="dxa"/>
            <w:vAlign w:val="bottom"/>
            <w:gridSpan w:val="5"/>
          </w:tcPr>
          <w:p>
            <w:pPr>
              <w:ind w:left="760"/>
              <w:spacing w:after="0"/>
              <w:rPr>
                <w:sz w:val="20"/>
                <w:szCs w:val="20"/>
                <w:color w:val="auto"/>
              </w:rPr>
            </w:pPr>
            <w:r>
              <w:rPr>
                <w:rFonts w:ascii="Arial" w:cs="Arial" w:eastAsia="Arial" w:hAnsi="Arial"/>
                <w:sz w:val="13"/>
                <w:szCs w:val="13"/>
                <w:b w:val="1"/>
                <w:bCs w:val="1"/>
                <w:color w:val="auto"/>
              </w:rPr>
              <w:t>Revenue Based PRSUs</w:t>
            </w:r>
          </w:p>
        </w:tc>
        <w:tc>
          <w:tcPr>
            <w:tcW w:w="2740" w:type="dxa"/>
            <w:vAlign w:val="bottom"/>
            <w:gridSpan w:val="4"/>
          </w:tcPr>
          <w:p>
            <w:pPr>
              <w:jc w:val="right"/>
              <w:ind w:right="405"/>
              <w:spacing w:after="0"/>
              <w:rPr>
                <w:sz w:val="20"/>
                <w:szCs w:val="20"/>
                <w:color w:val="auto"/>
              </w:rPr>
            </w:pPr>
            <w:r>
              <w:rPr>
                <w:rFonts w:ascii="Arial" w:cs="Arial" w:eastAsia="Arial" w:hAnsi="Arial"/>
                <w:sz w:val="13"/>
                <w:szCs w:val="13"/>
                <w:b w:val="1"/>
                <w:bCs w:val="1"/>
                <w:color w:val="auto"/>
              </w:rPr>
              <w:t>Market Condition Based PRSUs</w:t>
            </w:r>
          </w:p>
        </w:tc>
        <w:tc>
          <w:tcPr>
            <w:tcW w:w="0" w:type="dxa"/>
            <w:vAlign w:val="bottom"/>
          </w:tcPr>
          <w:p>
            <w:pPr>
              <w:spacing w:after="0"/>
              <w:rPr>
                <w:sz w:val="1"/>
                <w:szCs w:val="1"/>
                <w:color w:val="auto"/>
              </w:rPr>
            </w:pPr>
          </w:p>
        </w:tc>
      </w:tr>
      <w:tr>
        <w:trPr>
          <w:trHeight w:val="115"/>
        </w:trPr>
        <w:tc>
          <w:tcPr>
            <w:tcW w:w="4860" w:type="dxa"/>
            <w:vAlign w:val="bottom"/>
          </w:tcPr>
          <w:p>
            <w:pPr>
              <w:spacing w:after="0"/>
              <w:rPr>
                <w:sz w:val="10"/>
                <w:szCs w:val="10"/>
                <w:color w:val="auto"/>
              </w:rPr>
            </w:pPr>
          </w:p>
        </w:tc>
        <w:tc>
          <w:tcPr>
            <w:tcW w:w="1420" w:type="dxa"/>
            <w:vAlign w:val="bottom"/>
            <w:tcBorders>
              <w:top w:val="single" w:sz="8" w:color="auto"/>
            </w:tcBorders>
            <w:gridSpan w:val="2"/>
            <w:vMerge w:val="restart"/>
          </w:tcPr>
          <w:p>
            <w:pPr>
              <w:ind w:left="440"/>
              <w:spacing w:after="0"/>
              <w:rPr>
                <w:sz w:val="20"/>
                <w:szCs w:val="20"/>
                <w:color w:val="auto"/>
              </w:rPr>
            </w:pPr>
            <w:r>
              <w:rPr>
                <w:rFonts w:ascii="Arial" w:cs="Arial" w:eastAsia="Arial" w:hAnsi="Arial"/>
                <w:sz w:val="13"/>
                <w:szCs w:val="13"/>
                <w:b w:val="1"/>
                <w:bCs w:val="1"/>
                <w:color w:val="auto"/>
              </w:rPr>
              <w:t>Number</w:t>
            </w: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45"/>
              <w:spacing w:after="0" w:line="116" w:lineRule="exact"/>
              <w:rPr>
                <w:sz w:val="20"/>
                <w:szCs w:val="20"/>
                <w:color w:val="auto"/>
              </w:rPr>
            </w:pPr>
            <w:r>
              <w:rPr>
                <w:rFonts w:ascii="Arial" w:cs="Arial" w:eastAsia="Arial" w:hAnsi="Arial"/>
                <w:sz w:val="13"/>
                <w:szCs w:val="13"/>
                <w:b w:val="1"/>
                <w:bCs w:val="1"/>
                <w:color w:val="auto"/>
                <w:w w:val="87"/>
              </w:rPr>
              <w:t>Weighted-Average</w:t>
            </w:r>
          </w:p>
        </w:tc>
        <w:tc>
          <w:tcPr>
            <w:tcW w:w="100" w:type="dxa"/>
            <w:vAlign w:val="bottom"/>
          </w:tcPr>
          <w:p>
            <w:pPr>
              <w:spacing w:after="0"/>
              <w:rPr>
                <w:sz w:val="10"/>
                <w:szCs w:val="10"/>
                <w:color w:val="auto"/>
              </w:rPr>
            </w:pPr>
          </w:p>
        </w:tc>
        <w:tc>
          <w:tcPr>
            <w:tcW w:w="1440" w:type="dxa"/>
            <w:vAlign w:val="bottom"/>
            <w:tcBorders>
              <w:top w:val="single" w:sz="8" w:color="auto"/>
            </w:tcBorders>
            <w:gridSpan w:val="2"/>
            <w:vMerge w:val="restart"/>
          </w:tcPr>
          <w:p>
            <w:pPr>
              <w:ind w:left="440"/>
              <w:spacing w:after="0"/>
              <w:rPr>
                <w:sz w:val="20"/>
                <w:szCs w:val="20"/>
                <w:color w:val="auto"/>
              </w:rPr>
            </w:pPr>
            <w:r>
              <w:rPr>
                <w:rFonts w:ascii="Arial" w:cs="Arial" w:eastAsia="Arial" w:hAnsi="Arial"/>
                <w:sz w:val="13"/>
                <w:szCs w:val="13"/>
                <w:b w:val="1"/>
                <w:bCs w:val="1"/>
                <w:color w:val="auto"/>
              </w:rPr>
              <w:t>Number</w:t>
            </w: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85"/>
              <w:spacing w:after="0" w:line="116" w:lineRule="exact"/>
              <w:rPr>
                <w:sz w:val="20"/>
                <w:szCs w:val="20"/>
                <w:color w:val="auto"/>
              </w:rPr>
            </w:pPr>
            <w:r>
              <w:rPr>
                <w:rFonts w:ascii="Arial" w:cs="Arial" w:eastAsia="Arial" w:hAnsi="Arial"/>
                <w:sz w:val="13"/>
                <w:szCs w:val="13"/>
                <w:b w:val="1"/>
                <w:bCs w:val="1"/>
                <w:color w:val="auto"/>
                <w:w w:val="87"/>
              </w:rPr>
              <w:t>Weighted-Average</w:t>
            </w:r>
          </w:p>
        </w:tc>
        <w:tc>
          <w:tcPr>
            <w:tcW w:w="0" w:type="dxa"/>
            <w:vAlign w:val="bottom"/>
          </w:tcPr>
          <w:p>
            <w:pPr>
              <w:spacing w:after="0"/>
              <w:rPr>
                <w:sz w:val="1"/>
                <w:szCs w:val="1"/>
                <w:color w:val="auto"/>
              </w:rPr>
            </w:pPr>
          </w:p>
        </w:tc>
      </w:tr>
      <w:tr>
        <w:trPr>
          <w:trHeight w:val="97"/>
        </w:trPr>
        <w:tc>
          <w:tcPr>
            <w:tcW w:w="486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Fair Value</w:t>
            </w:r>
          </w:p>
        </w:tc>
        <w:tc>
          <w:tcPr>
            <w:tcW w:w="14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restart"/>
          </w:tcPr>
          <w:p>
            <w:pPr>
              <w:jc w:val="right"/>
              <w:ind w:right="285"/>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68"/>
        </w:trPr>
        <w:tc>
          <w:tcPr>
            <w:tcW w:w="4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86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6"/>
                <w:szCs w:val="16"/>
                <w:color w:val="auto"/>
              </w:rPr>
              <w:t>Outstanding at December 31,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58,864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78.29</w:t>
            </w: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172,042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113.74</w:t>
            </w:r>
          </w:p>
        </w:tc>
        <w:tc>
          <w:tcPr>
            <w:tcW w:w="0" w:type="dxa"/>
            <w:vAlign w:val="bottom"/>
          </w:tcPr>
          <w:p>
            <w:pPr>
              <w:spacing w:after="0"/>
              <w:rPr>
                <w:sz w:val="1"/>
                <w:szCs w:val="1"/>
                <w:color w:val="auto"/>
              </w:rPr>
            </w:pPr>
          </w:p>
        </w:tc>
      </w:tr>
      <w:tr>
        <w:trPr>
          <w:trHeight w:val="201"/>
        </w:trPr>
        <w:tc>
          <w:tcPr>
            <w:tcW w:w="4860" w:type="dxa"/>
            <w:vAlign w:val="bottom"/>
          </w:tcPr>
          <w:p>
            <w:pPr>
              <w:ind w:left="20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spacing w:after="0"/>
              <w:rPr>
                <w:sz w:val="20"/>
                <w:szCs w:val="20"/>
                <w:color w:val="auto"/>
              </w:rPr>
            </w:pPr>
            <w:r>
              <w:rPr>
                <w:rFonts w:ascii="Arial" w:cs="Arial" w:eastAsia="Arial" w:hAnsi="Arial"/>
                <w:sz w:val="16"/>
                <w:szCs w:val="16"/>
                <w:color w:val="auto"/>
              </w:rPr>
              <w:t>52,702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119.98</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79,001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155.67</w:t>
            </w:r>
          </w:p>
        </w:tc>
        <w:tc>
          <w:tcPr>
            <w:tcW w:w="0" w:type="dxa"/>
            <w:vAlign w:val="bottom"/>
          </w:tcPr>
          <w:p>
            <w:pPr>
              <w:spacing w:after="0"/>
              <w:rPr>
                <w:sz w:val="1"/>
                <w:szCs w:val="1"/>
                <w:color w:val="auto"/>
              </w:rPr>
            </w:pPr>
          </w:p>
        </w:tc>
      </w:tr>
      <w:tr>
        <w:trPr>
          <w:trHeight w:val="202"/>
        </w:trPr>
        <w:tc>
          <w:tcPr>
            <w:tcW w:w="4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Vested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4860" w:type="dxa"/>
            <w:vAlign w:val="bottom"/>
          </w:tcPr>
          <w:p>
            <w:pPr>
              <w:ind w:left="200"/>
              <w:spacing w:after="0"/>
              <w:rPr>
                <w:sz w:val="20"/>
                <w:szCs w:val="20"/>
                <w:color w:val="auto"/>
              </w:rPr>
            </w:pPr>
            <w:r>
              <w:rPr>
                <w:rFonts w:ascii="Arial" w:cs="Arial" w:eastAsia="Arial" w:hAnsi="Arial"/>
                <w:sz w:val="16"/>
                <w:szCs w:val="16"/>
                <w:color w:val="auto"/>
              </w:rPr>
              <w:t>Forfeited</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860" w:type="dxa"/>
            <w:vAlign w:val="bottom"/>
            <w:tcBorders>
              <w:top w:val="single" w:sz="8" w:color="CCEEFF"/>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Outstanding at March 31, 2022</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251,043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126.93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March 31, 2022, unrecognized compensation cost of $33,048 is expected to be expensed over a weighted average period of 2.3 years.</w:t>
      </w:r>
    </w:p>
    <w:p>
      <w:pPr>
        <w:spacing w:after="0" w:line="220" w:lineRule="exact"/>
        <w:rPr>
          <w:sz w:val="20"/>
          <w:szCs w:val="20"/>
          <w:color w:val="auto"/>
        </w:rPr>
      </w:pPr>
    </w:p>
    <w:p>
      <w:pPr>
        <w:jc w:val="both"/>
        <w:ind w:right="20" w:firstLine="392"/>
        <w:spacing w:after="0" w:line="254" w:lineRule="auto"/>
        <w:rPr>
          <w:sz w:val="20"/>
          <w:szCs w:val="20"/>
          <w:color w:val="auto"/>
        </w:rPr>
      </w:pPr>
      <w:r>
        <w:rPr>
          <w:rFonts w:ascii="Arial" w:cs="Arial" w:eastAsia="Arial" w:hAnsi="Arial"/>
          <w:sz w:val="16"/>
          <w:szCs w:val="16"/>
          <w:color w:val="auto"/>
        </w:rPr>
        <w:t>The impact of COVID-19 on the economic environment is uncertain and has caused variability in the estimation of number of performance based restricted stock units that will eventually vest and the related compensation cost to be recognized in the unaudited consolidated statements of income.</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Commitments and Contingencies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Commitments</w:t>
      </w:r>
    </w:p>
    <w:p>
      <w:pPr>
        <w:spacing w:after="0" w:line="220" w:lineRule="exact"/>
        <w:rPr>
          <w:sz w:val="20"/>
          <w:szCs w:val="20"/>
          <w:color w:val="auto"/>
        </w:rPr>
      </w:pPr>
    </w:p>
    <w:p>
      <w:pPr>
        <w:jc w:val="both"/>
        <w:ind w:right="20" w:firstLine="392"/>
        <w:spacing w:after="0" w:line="287" w:lineRule="auto"/>
        <w:rPr>
          <w:sz w:val="20"/>
          <w:szCs w:val="20"/>
          <w:color w:val="auto"/>
        </w:rPr>
      </w:pPr>
      <w:r>
        <w:rPr>
          <w:rFonts w:ascii="Arial" w:cs="Arial" w:eastAsia="Arial" w:hAnsi="Arial"/>
          <w:sz w:val="15"/>
          <w:szCs w:val="15"/>
          <w:color w:val="auto"/>
        </w:rPr>
        <w:t>At March 31, 2022, the Company had committed to spend approximately $6,300 under agreements to purchase property and equipment. This amount is net of capital advances paid which are recognized in the unaudited consolidated balance sheets as “Capital work in progress” under “Property and equipment, net.”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Commitments</w:t>
      </w:r>
    </w:p>
    <w:p>
      <w:pPr>
        <w:spacing w:after="0" w:line="208" w:lineRule="exact"/>
        <w:rPr>
          <w:sz w:val="20"/>
          <w:szCs w:val="20"/>
          <w:color w:val="auto"/>
        </w:rPr>
      </w:pPr>
    </w:p>
    <w:p>
      <w:pPr>
        <w:jc w:val="both"/>
        <w:ind w:firstLine="356"/>
        <w:spacing w:after="0" w:line="225" w:lineRule="auto"/>
        <w:rPr>
          <w:sz w:val="20"/>
          <w:szCs w:val="20"/>
          <w:color w:val="auto"/>
        </w:rPr>
      </w:pPr>
      <w:r>
        <w:rPr>
          <w:rFonts w:ascii="Arial" w:cs="Arial" w:eastAsia="Arial" w:hAnsi="Arial"/>
          <w:sz w:val="16"/>
          <w:szCs w:val="16"/>
          <w:color w:val="auto"/>
        </w:rPr>
        <w:t>Certain units of the Company’s Indian subsidiaries were established as 100% Export-Oriented units or under the Software Technology Parks of India (STPI) or Special Economic Zone (SEZ)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 believes, however, that these units have in the past satisfied and will continue to satisfy the required conditions.</w:t>
      </w:r>
    </w:p>
    <w:p>
      <w:pPr>
        <w:spacing w:after="0" w:line="194" w:lineRule="exact"/>
        <w:rPr>
          <w:sz w:val="20"/>
          <w:szCs w:val="20"/>
          <w:color w:val="auto"/>
        </w:rPr>
      </w:pPr>
    </w:p>
    <w:p>
      <w:pPr>
        <w:jc w:val="both"/>
        <w:ind w:firstLine="356"/>
        <w:spacing w:after="0" w:line="243" w:lineRule="auto"/>
        <w:rPr>
          <w:sz w:val="20"/>
          <w:szCs w:val="20"/>
          <w:color w:val="auto"/>
        </w:rPr>
      </w:pPr>
      <w:r>
        <w:rPr>
          <w:rFonts w:ascii="Arial" w:cs="Arial" w:eastAsia="Arial" w:hAnsi="Arial"/>
          <w:sz w:val="16"/>
          <w:szCs w:val="16"/>
          <w:color w:val="auto"/>
        </w:rPr>
        <w:t>The Company’s operations centers in the Philippines are registered with the Philippine Economic Zone Authority. The registration provides the Company with certain fiscal incentives on the import of capital goods and local purchase of services and materials and requires ExlService Philippines, Inc. to meet certain performance, investment and certain other criteria. The Company believes that these centers have in the past complied with the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Contingencies</w:t>
      </w:r>
    </w:p>
    <w:p>
      <w:pPr>
        <w:spacing w:after="0" w:line="220" w:lineRule="exact"/>
        <w:rPr>
          <w:sz w:val="20"/>
          <w:szCs w:val="20"/>
          <w:color w:val="auto"/>
        </w:rPr>
      </w:pPr>
    </w:p>
    <w:p>
      <w:pPr>
        <w:jc w:val="both"/>
        <w:ind w:firstLine="356"/>
        <w:spacing w:after="0" w:line="237" w:lineRule="auto"/>
        <w:rPr>
          <w:sz w:val="20"/>
          <w:szCs w:val="20"/>
          <w:color w:val="auto"/>
        </w:rPr>
      </w:pPr>
      <w:r>
        <w:rPr>
          <w:rFonts w:ascii="Arial" w:cs="Arial" w:eastAsia="Arial" w:hAnsi="Arial"/>
          <w:sz w:val="16"/>
          <w:szCs w:val="16"/>
          <w:color w:val="auto"/>
        </w:rPr>
        <w:t>Transfer pricing regulations generally require that any controlled intercompany transactions involving related entities be at an arm’s-length price. Accordingly, the Company determines the appropriate transfer prices for transactions among its related entities on the basis of a detailed functional and economic analysis involving benchmarking against transactions among unrelated entities. Tax authorities have jurisdiction to review transfer pricing results, and in the event that they determine that the transfer price applied was not appropriate, the Company may incur additional tax, interest and penalties. The Company is currently involved in transfer pricing disputes with Indian tax authorities regarding transactions with some of its related entities. In addition, the Company and a U.S. subsidiary are engaged in tax litigation with Indian tax authorities regarding a permanent establishment matter.</w:t>
      </w:r>
    </w:p>
    <w:p>
      <w:pPr>
        <w:spacing w:after="0" w:line="192" w:lineRule="exact"/>
        <w:rPr>
          <w:sz w:val="20"/>
          <w:szCs w:val="20"/>
          <w:color w:val="auto"/>
        </w:rPr>
      </w:pPr>
    </w:p>
    <w:p>
      <w:pPr>
        <w:jc w:val="both"/>
        <w:ind w:right="20" w:firstLine="356"/>
        <w:spacing w:after="0" w:line="243" w:lineRule="auto"/>
        <w:rPr>
          <w:sz w:val="20"/>
          <w:szCs w:val="20"/>
          <w:color w:val="auto"/>
        </w:rPr>
      </w:pPr>
      <w:r>
        <w:rPr>
          <w:rFonts w:ascii="Arial" w:cs="Arial" w:eastAsia="Arial" w:hAnsi="Arial"/>
          <w:sz w:val="16"/>
          <w:szCs w:val="16"/>
          <w:color w:val="auto"/>
        </w:rPr>
        <w:t>The aggregate amount demanded by Indian tax authorities (net of advance payments) from the Company related to its transfer pricing and other corporate tax issues for tax years 2003 to 2019 and its permanent establishment issues for tax years 2003 to 2006 as of March 31, 2022 and December 31, 2021 is $30,711 and $34,276, respectively. The Company has made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5" w:name="page36"/>
    <w:bookmarkEnd w:id="3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payments and/or provided bank guarantees against these demands in the amounts of $8,760 and $7,954, respectively. Amounts paid as deposits in respect of such assessments aggregating to $7,012 and $6,172 as of March 31, 2022 and December 31, 2021, respectively, are included in “Other assets” and amounts deposited for bank guarantees aggregating to $1,748 and $1,782 as of March 31, 2022 and December 31, 2021, respectively, are included in “Restricted cash” in the non-current assets section of the Company’s unaudited consolidated balance sheets.</w:t>
      </w:r>
    </w:p>
    <w:p>
      <w:pPr>
        <w:spacing w:after="0" w:line="193" w:lineRule="exact"/>
        <w:rPr>
          <w:sz w:val="20"/>
          <w:szCs w:val="20"/>
          <w:color w:val="auto"/>
        </w:rPr>
      </w:pPr>
    </w:p>
    <w:p>
      <w:pPr>
        <w:jc w:val="both"/>
        <w:ind w:firstLine="356"/>
        <w:spacing w:after="0" w:line="261" w:lineRule="auto"/>
        <w:rPr>
          <w:sz w:val="20"/>
          <w:szCs w:val="20"/>
          <w:color w:val="auto"/>
        </w:rPr>
      </w:pPr>
      <w:r>
        <w:rPr>
          <w:rFonts w:ascii="Arial" w:cs="Arial" w:eastAsia="Arial" w:hAnsi="Arial"/>
          <w:sz w:val="15"/>
          <w:szCs w:val="15"/>
          <w:color w:val="auto"/>
        </w:rPr>
        <w:t>Based on the facts underlying the Company’s position and its experience with these types of assessments, the Company believes that its position will more likely than not be sustained upon final examination by the tax authorities based on its technical merits as of the reporting date and accordingly has not accrued any amount with respect to these matters in its consolidated financial statements.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176" w:lineRule="exact"/>
        <w:rPr>
          <w:sz w:val="20"/>
          <w:szCs w:val="20"/>
          <w:color w:val="auto"/>
        </w:rPr>
      </w:pPr>
    </w:p>
    <w:p>
      <w:pPr>
        <w:jc w:val="both"/>
        <w:ind w:firstLine="356"/>
        <w:spacing w:after="0" w:line="280" w:lineRule="auto"/>
        <w:rPr>
          <w:sz w:val="20"/>
          <w:szCs w:val="20"/>
          <w:color w:val="auto"/>
        </w:rPr>
      </w:pPr>
      <w:r>
        <w:rPr>
          <w:rFonts w:ascii="Arial" w:cs="Arial" w:eastAsia="Arial" w:hAnsi="Arial"/>
          <w:sz w:val="14"/>
          <w:szCs w:val="14"/>
          <w:color w:val="auto"/>
        </w:rPr>
        <w:t>India’s Value Added Tax ("VAT") regime ended in June 2017 and was replaced by the current Goods and Service Tax ("GST") regime. Pursuant to reviewing the Company’s annual VAT filings, the Indian tax authorities raised aggregate VAT tax demands for tax years 2015 and 2017 in an amount of $6,031 and $6,387 as of March 31, 2022 and December 31, 2021, respectively. Beginning in the first quarter of 2020, the GST authorities rejected the Company’s refunds claims in an amount of $3,259 and $3,322 as of March 31, 2022 and December 31, 2021, respectively. The Company has filed appeals against these matters and believes that it is more likely than not that upon final examination its position will be sustained based on its technical merits. Accordingly, no provision was recognized as of March 31, 2022 and December 31, 2021.</w:t>
      </w:r>
    </w:p>
    <w:p>
      <w:pPr>
        <w:spacing w:after="0" w:line="165" w:lineRule="exact"/>
        <w:rPr>
          <w:sz w:val="20"/>
          <w:szCs w:val="20"/>
          <w:color w:val="auto"/>
        </w:rPr>
      </w:pPr>
    </w:p>
    <w:p>
      <w:pPr>
        <w:jc w:val="both"/>
        <w:ind w:firstLine="356"/>
        <w:spacing w:after="0" w:line="254" w:lineRule="auto"/>
        <w:rPr>
          <w:sz w:val="20"/>
          <w:szCs w:val="20"/>
          <w:color w:val="auto"/>
        </w:rPr>
      </w:pPr>
      <w:r>
        <w:rPr>
          <w:rFonts w:ascii="Arial" w:cs="Arial" w:eastAsia="Arial" w:hAnsi="Arial"/>
          <w:sz w:val="15"/>
          <w:szCs w:val="15"/>
          <w:color w:val="auto"/>
        </w:rPr>
        <w:t>In February 2019, there was a judicial pronouncement in India with respect to defined social security contribution benefits payments interpreting certain statutory defined contribution obligations of employees and employers. Currently some of the Company's subsidiaries in India are undergoing assessment with the statutory authorities. As of the reporting date, it is unclear whether the interpretation set out in the pronouncement has retrospective application. If applied retrospectively, the interpretation may result in a significant increase in contributions payable by the Company for past periods for certain of its India-based employees. There are numerous interpretative challenges concerning the retrospective application of the judgment. Due to such challenges and a lack of interpretive guidance, and based on legal advice, the Company believes it is currently impracticable to reliably estimate the timing and amount of any payments the Company may be required to make. The Company will continue to monitor and evaluate its position based on future events and developments in this matter for the implications on the financial statements, if any.</w:t>
      </w:r>
    </w:p>
    <w:p>
      <w:pPr>
        <w:spacing w:after="0" w:line="183" w:lineRule="exact"/>
        <w:rPr>
          <w:sz w:val="20"/>
          <w:szCs w:val="20"/>
          <w:color w:val="auto"/>
        </w:rPr>
      </w:pPr>
    </w:p>
    <w:p>
      <w:pPr>
        <w:jc w:val="both"/>
        <w:ind w:firstLine="392"/>
        <w:spacing w:after="0" w:line="295" w:lineRule="auto"/>
        <w:rPr>
          <w:sz w:val="20"/>
          <w:szCs w:val="20"/>
          <w:color w:val="auto"/>
        </w:rPr>
      </w:pPr>
      <w:r>
        <w:rPr>
          <w:rFonts w:ascii="Arial" w:cs="Arial" w:eastAsia="Arial" w:hAnsi="Arial"/>
          <w:sz w:val="14"/>
          <w:szCs w:val="14"/>
          <w:color w:val="auto"/>
        </w:rPr>
        <w:t>In September 2020, the Indian Parliament passed various consolidating labor codes, including the Code on Social Security, 2020 (the “Indian Social Security Code”) which aims to rationalize labor laws. The Indian Social Security Code has implications on defined social security contribution plans, provision of certain benefits or facilities to employees at employer’s costs and post-retirement benefits. Most specifically, it broadens the definition of an employee and wages and liberalizes the definition of “continuous period” for the purpose of determining employee benefits, amongst others. However, the rules for the Indian Social Security Code are yet to be published and the effective date from which these changes are applicable is yet to be notified. The Company will complete its evaluation once the subject rules are notified and will give appropriate impact in the financial statements in the period in which, the Indian Social Security Code becomes effective and the related rules to determine the financial impact are published.</w:t>
      </w:r>
    </w:p>
    <w:p>
      <w:pPr>
        <w:spacing w:after="0" w:line="166"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4"/>
          <w:szCs w:val="14"/>
          <w:color w:val="auto"/>
        </w:rPr>
        <w:t>From time to time, the Company, its subsidiaries, and/or their present officers or directors, on individual basis,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amounts claimed in such cases are not meaningful indicators of the potential liabilities of the Company, that these matters are without merit, and that the Company intends to vigorously defend each of them.</w:t>
      </w:r>
    </w:p>
    <w:p>
      <w:pPr>
        <w:spacing w:after="0" w:line="1" w:lineRule="exact"/>
        <w:rPr>
          <w:sz w:val="20"/>
          <w:szCs w:val="20"/>
          <w:color w:val="auto"/>
        </w:rPr>
      </w:pPr>
    </w:p>
    <w:p>
      <w:pPr>
        <w:jc w:val="both"/>
        <w:ind w:right="20" w:firstLine="356"/>
        <w:spacing w:after="0" w:line="276" w:lineRule="auto"/>
        <w:rPr>
          <w:sz w:val="20"/>
          <w:szCs w:val="20"/>
          <w:color w:val="auto"/>
        </w:rPr>
      </w:pPr>
      <w:r>
        <w:rPr>
          <w:rFonts w:ascii="Arial" w:cs="Arial" w:eastAsia="Arial" w:hAnsi="Arial"/>
          <w:sz w:val="14"/>
          <w:szCs w:val="14"/>
          <w:color w:val="auto"/>
        </w:rPr>
        <w:t>The outcomes of legal actions are unpredictable and subject to significant uncertainties, and thus it is inherently difficult to determine the likelihood of the Company incurring a material loss or quantification of any such loss. With respect to pending litigation matters as of the reporting date, based on information currently available, including the Company’s assessment of the facts underlying each matter and advice of counsel, the amount or range of reasonably possible losses, if any, cannot be reasonably estimated.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6" w:name="page37"/>
    <w:bookmarkEnd w:id="3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EXLSERVICE HOLDINGS, INC.</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NOTES TO UNAUDITED CONSOLIDATED FINANCIAL STATEMENTS—(continued)</w:t>
      </w:r>
    </w:p>
    <w:p>
      <w:pPr>
        <w:spacing w:after="0" w:line="10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March 31,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 Subsequent Events</w:t>
      </w:r>
    </w:p>
    <w:p>
      <w:pPr>
        <w:spacing w:after="0" w:line="224" w:lineRule="exact"/>
        <w:rPr>
          <w:sz w:val="20"/>
          <w:szCs w:val="20"/>
          <w:color w:val="auto"/>
        </w:rPr>
      </w:pPr>
    </w:p>
    <w:p>
      <w:pPr>
        <w:jc w:val="both"/>
        <w:ind w:firstLine="356"/>
        <w:spacing w:after="0" w:line="285" w:lineRule="auto"/>
        <w:rPr>
          <w:sz w:val="20"/>
          <w:szCs w:val="20"/>
          <w:color w:val="auto"/>
        </w:rPr>
      </w:pPr>
      <w:r>
        <w:rPr>
          <w:rFonts w:ascii="Arial" w:cs="Arial" w:eastAsia="Arial" w:hAnsi="Arial"/>
          <w:sz w:val="14"/>
          <w:szCs w:val="14"/>
          <w:color w:val="auto"/>
        </w:rPr>
        <w:t>On April 18, 2022, the Company and each of the Company’s wholly owned material domestic subsidiaries entered into the 2022 Credit Agreement, pursuant to which the parties thereto amended and restated the Credit Agreement. Among other things, the 2022 Credit Agreement (a) provides for the issuance of new revolving credit commitments such that the aggregate amount of revolving credit commitments available to the Company is equal to $400,000; (b) extends the maturity date of the Credit Facility from November 21, 2022 to April 18, 2027; and (c) replaces LIBOR with Secured Overnight Financing Rate (“SOFR”) as the reference rate for the U.S. dollar borrowings.</w:t>
      </w:r>
    </w:p>
    <w:p>
      <w:pPr>
        <w:spacing w:after="0" w:line="162" w:lineRule="exact"/>
        <w:rPr>
          <w:sz w:val="20"/>
          <w:szCs w:val="20"/>
          <w:color w:val="auto"/>
        </w:rPr>
      </w:pPr>
    </w:p>
    <w:p>
      <w:pPr>
        <w:jc w:val="both"/>
        <w:ind w:firstLine="356"/>
        <w:spacing w:after="0" w:line="243" w:lineRule="auto"/>
        <w:rPr>
          <w:sz w:val="20"/>
          <w:szCs w:val="20"/>
          <w:color w:val="auto"/>
        </w:rPr>
      </w:pPr>
      <w:r>
        <w:rPr>
          <w:rFonts w:ascii="Arial" w:cs="Arial" w:eastAsia="Arial" w:hAnsi="Arial"/>
          <w:sz w:val="16"/>
          <w:szCs w:val="16"/>
          <w:color w:val="auto"/>
        </w:rPr>
        <w:t>The 2022 Credit Agreement provides an option to increase the commitments by up to $200,000, subject to certain approvals and conditions. The 2022 Credit Agreement includes a letter of credit sub facility and is voluntarily pre-payable from time to time without premium or penalty. Borrowings under the 2022 Credit Agreement can be used for working capital and general corporate purposes, including permitted acquisitions.</w:t>
      </w:r>
    </w:p>
    <w:p>
      <w:pPr>
        <w:spacing w:after="0" w:line="189" w:lineRule="exact"/>
        <w:rPr>
          <w:sz w:val="20"/>
          <w:szCs w:val="20"/>
          <w:color w:val="auto"/>
        </w:rPr>
      </w:pPr>
    </w:p>
    <w:p>
      <w:pPr>
        <w:jc w:val="both"/>
        <w:ind w:firstLine="356"/>
        <w:spacing w:after="0" w:line="239" w:lineRule="auto"/>
        <w:rPr>
          <w:sz w:val="20"/>
          <w:szCs w:val="20"/>
          <w:color w:val="auto"/>
        </w:rPr>
      </w:pPr>
      <w:r>
        <w:rPr>
          <w:rFonts w:ascii="Arial" w:cs="Arial" w:eastAsia="Arial" w:hAnsi="Arial"/>
          <w:sz w:val="16"/>
          <w:szCs w:val="16"/>
          <w:color w:val="auto"/>
        </w:rPr>
        <w:t>Obligations under the 2022 Credit Agreement are guaranteed by the Company’s material domestic subsidiaries and are secured by all or substantially all of the assets of the Company and our material domestic subsidiaries. The 2022 Credit Agreement contains customary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certain assets or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7" w:name="page38"/>
    <w:bookmarkEnd w:id="3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24" w:lineRule="exact"/>
        <w:rPr>
          <w:sz w:val="20"/>
          <w:szCs w:val="20"/>
          <w:color w:val="auto"/>
        </w:rPr>
      </w:pPr>
    </w:p>
    <w:p>
      <w:pPr>
        <w:jc w:val="both"/>
        <w:ind w:right="20" w:firstLine="356"/>
        <w:spacing w:after="0" w:line="258" w:lineRule="auto"/>
        <w:rPr>
          <w:sz w:val="20"/>
          <w:szCs w:val="20"/>
          <w:color w:val="auto"/>
        </w:rPr>
      </w:pPr>
      <w:r>
        <w:rPr>
          <w:rFonts w:ascii="Arial" w:cs="Arial" w:eastAsia="Arial" w:hAnsi="Arial"/>
          <w:sz w:val="16"/>
          <w:szCs w:val="16"/>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2021. Some of the statements in the following discussion are forward looking statements.</w:t>
      </w:r>
    </w:p>
    <w:p>
      <w:pPr>
        <w:spacing w:after="0" w:line="179" w:lineRule="exact"/>
        <w:rPr>
          <w:sz w:val="20"/>
          <w:szCs w:val="20"/>
          <w:color w:val="auto"/>
        </w:rPr>
      </w:pPr>
    </w:p>
    <w:p>
      <w:pPr>
        <w:jc w:val="both"/>
        <w:ind w:firstLine="356"/>
        <w:spacing w:after="0" w:line="221" w:lineRule="auto"/>
        <w:rPr>
          <w:sz w:val="20"/>
          <w:szCs w:val="20"/>
          <w:color w:val="auto"/>
        </w:rPr>
      </w:pPr>
      <w:r>
        <w:rPr>
          <w:rFonts w:ascii="Arial" w:cs="Arial" w:eastAsia="Arial" w:hAnsi="Arial"/>
          <w:sz w:val="16"/>
          <w:szCs w:val="16"/>
          <w:i w:val="1"/>
          <w:iCs w:val="1"/>
          <w:color w:val="auto"/>
        </w:rPr>
        <w:t>We have described in this Quarterly Report on Form 10-Q, the impact of the global Coronavirus Disease 2019 pandemic (“COVID-19”) on our financial results for the quarter ended March 31, 2022. See "Cautionary Note Regarding Forward-Looking Statements" below, and Part I, Item 1A, “Risk Factors” in our Annual Report on Form 10-K for the fiscal year ended December 31, 2021 for further information regarding risks and uncertainties relating to COVID-19.</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24" w:lineRule="exact"/>
        <w:rPr>
          <w:sz w:val="20"/>
          <w:szCs w:val="20"/>
          <w:color w:val="auto"/>
        </w:rPr>
      </w:pPr>
    </w:p>
    <w:p>
      <w:pPr>
        <w:jc w:val="both"/>
        <w:ind w:firstLine="356"/>
        <w:spacing w:after="0" w:line="273" w:lineRule="auto"/>
        <w:rPr>
          <w:sz w:val="20"/>
          <w:szCs w:val="20"/>
          <w:color w:val="auto"/>
        </w:rPr>
      </w:pPr>
      <w:r>
        <w:rPr>
          <w:rFonts w:ascii="Arial" w:cs="Arial" w:eastAsia="Arial" w:hAnsi="Arial"/>
          <w:sz w:val="14"/>
          <w:szCs w:val="14"/>
          <w:color w:val="auto"/>
        </w:rPr>
        <w:t>This Quarterly Report on Form 10-Q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Many of the following risks, uncertainties and other factors identified below have been, and will be, amplified by the COVID-19 pandemic (“COVID-19”). These factors include but are not limited to:</w:t>
      </w:r>
    </w:p>
    <w:p>
      <w:pPr>
        <w:spacing w:after="0" w:line="169" w:lineRule="exact"/>
        <w:rPr>
          <w:sz w:val="20"/>
          <w:szCs w:val="20"/>
          <w:color w:val="auto"/>
        </w:rPr>
      </w:pPr>
    </w:p>
    <w:p>
      <w:pPr>
        <w:ind w:left="560" w:right="80" w:hanging="280"/>
        <w:spacing w:after="0" w:line="254" w:lineRule="auto"/>
        <w:tabs>
          <w:tab w:leader="none" w:pos="55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impact of COVID-19 and related response measures on our business, results of operations and financial condition, including the impact of governmental lockdowns and other restrictions on our operations and processes and those of our clients and suppliers;</w:t>
      </w:r>
    </w:p>
    <w:p>
      <w:pPr>
        <w:spacing w:after="0" w:line="180" w:lineRule="exact"/>
        <w:rPr>
          <w:rFonts w:ascii="Arial" w:cs="Arial" w:eastAsia="Arial" w:hAnsi="Arial"/>
          <w:sz w:val="16"/>
          <w:szCs w:val="16"/>
          <w:color w:val="auto"/>
        </w:rPr>
      </w:pPr>
    </w:p>
    <w:p>
      <w:pPr>
        <w:ind w:left="560" w:hanging="280"/>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dependence on a limited number of clients in a limited number of industries and our ability to withstand the loss of a significant client;</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negative public reaction in the U.S. or elsewhere to offshore outsourcing;</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fluctuations in our earnings;</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attract and retain clients including in a timely manner;</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successfully consummate or integrate strategic acquisitions;</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accurately estimate and/or manage the costs;</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restrictions on immigration;</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hire and retain enough sufficiently trained employees to support our operations;</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grow our business or effectively manage growth and international operations;</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changes in the senior management team;</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increasing competition in our industry;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38" w:name="page39"/>
    <w:bookmarkEnd w:id="3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60" w:hanging="280"/>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telecommunications or technology disruptions or breaches, natural or other disasters, medical epidemics or pandemics, or acts of violence or war;</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realize the entire book value of goodwill and other intangible assets from acquisitions;</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make accurate estimates and assumptions in connection with the preparation of our consolidated financial statements;</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failure to protect our intellectual property;</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regulatory, legislative and judicial developments, including changes to or the withdrawal of governmental fiscal incentives;</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tax laws or decisions regarding repatriation of funds held abroad;</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ability to service debt or obtain additional financing on favorable terms;</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credit risk fluctuations in the market values of our investment and derivatives portfolios;</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legal liability arising out of customer contracts;</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technological innovation;</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meet our environmental, social and governance-related goals and targets;</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effects of political and economic conditions globally, particularly in the geographies where we operate;</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operational and information security failures arising as a result of remote work solutions adopted due to COVID-19;</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cyber security incidents, data breaches, or other unauthorized disclosure of sensitive or confidential client and employee data; and</w:t>
      </w:r>
    </w:p>
    <w:p>
      <w:pPr>
        <w:spacing w:after="0" w:line="207" w:lineRule="exact"/>
        <w:rPr>
          <w:rFonts w:ascii="Arial" w:cs="Arial" w:eastAsia="Arial" w:hAnsi="Arial"/>
          <w:sz w:val="16"/>
          <w:szCs w:val="16"/>
          <w:color w:val="auto"/>
        </w:rPr>
      </w:pPr>
    </w:p>
    <w:p>
      <w:pPr>
        <w:ind w:left="560" w:hanging="280"/>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adverse outcome of our disputes with the tax authorities, in the geographies where we operate.</w:t>
      </w:r>
    </w:p>
    <w:p>
      <w:pPr>
        <w:spacing w:after="0" w:line="208" w:lineRule="exact"/>
        <w:rPr>
          <w:sz w:val="20"/>
          <w:szCs w:val="20"/>
          <w:color w:val="auto"/>
        </w:rPr>
      </w:pPr>
    </w:p>
    <w:p>
      <w:pPr>
        <w:jc w:val="both"/>
        <w:ind w:firstLine="356"/>
        <w:spacing w:after="0" w:line="254" w:lineRule="auto"/>
        <w:rPr>
          <w:sz w:val="20"/>
          <w:szCs w:val="20"/>
          <w:color w:val="auto"/>
        </w:rPr>
      </w:pPr>
      <w:r>
        <w:rPr>
          <w:rFonts w:ascii="Arial" w:cs="Arial" w:eastAsia="Arial" w:hAnsi="Arial"/>
          <w:sz w:val="16"/>
          <w:szCs w:val="16"/>
          <w:color w:val="auto"/>
        </w:rPr>
        <w:t>These and other factors are more fully discussed in our Annual Report on Form 10-K for the fiscal year ended December 31, 2021. These and other risks could cause actual results to differ materially from those implied by forward-looking statements in this Quarterly Report on Form 10-Q.</w:t>
      </w:r>
    </w:p>
    <w:p>
      <w:pPr>
        <w:spacing w:after="0" w:line="181" w:lineRule="exact"/>
        <w:rPr>
          <w:sz w:val="20"/>
          <w:szCs w:val="20"/>
          <w:color w:val="auto"/>
        </w:rPr>
      </w:pPr>
    </w:p>
    <w:p>
      <w:pPr>
        <w:jc w:val="both"/>
        <w:ind w:right="20" w:firstLine="356"/>
        <w:spacing w:after="0" w:line="267" w:lineRule="auto"/>
        <w:rPr>
          <w:sz w:val="20"/>
          <w:szCs w:val="20"/>
          <w:color w:val="auto"/>
        </w:rPr>
      </w:pPr>
      <w:r>
        <w:rPr>
          <w:rFonts w:ascii="Arial" w:cs="Arial" w:eastAsia="Arial" w:hAnsi="Arial"/>
          <w:sz w:val="15"/>
          <w:szCs w:val="15"/>
          <w:color w:val="auto"/>
        </w:rPr>
        <w:t>The forward-looking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212" w:lineRule="exact"/>
        <w:rPr>
          <w:sz w:val="20"/>
          <w:szCs w:val="20"/>
          <w:color w:val="auto"/>
        </w:rPr>
      </w:pPr>
    </w:p>
    <w:p>
      <w:pPr>
        <w:jc w:val="both"/>
        <w:ind w:right="20" w:firstLine="356"/>
        <w:spacing w:after="0" w:line="221" w:lineRule="auto"/>
        <w:rPr>
          <w:sz w:val="20"/>
          <w:szCs w:val="20"/>
          <w:color w:val="auto"/>
        </w:rPr>
      </w:pPr>
      <w:r>
        <w:rPr>
          <w:rFonts w:ascii="Arial" w:cs="Arial" w:eastAsia="Arial" w:hAnsi="Arial"/>
          <w:sz w:val="16"/>
          <w:szCs w:val="16"/>
          <w:color w:val="auto"/>
        </w:rPr>
        <w:t>We are a leading data analytics and digital operations and solutions company that partners with clients to improve business outcomes and unlock growth. By bringing together deep domain expertise with robust data, powerful analytics, cloud, AI and ML, we create agile, scalable solutions and execute complex operations for the world’s leading corporations in industries including insurance, healthcare, banking and financial services, media, and retail, among others.</w:t>
      </w:r>
    </w:p>
    <w:p>
      <w:pPr>
        <w:spacing w:after="0" w:line="181" w:lineRule="exact"/>
        <w:rPr>
          <w:sz w:val="20"/>
          <w:szCs w:val="20"/>
          <w:color w:val="auto"/>
        </w:rPr>
      </w:pPr>
    </w:p>
    <w:p>
      <w:pPr>
        <w:jc w:val="both"/>
        <w:ind w:right="20" w:firstLine="356"/>
        <w:spacing w:after="0" w:line="243" w:lineRule="auto"/>
        <w:rPr>
          <w:sz w:val="20"/>
          <w:szCs w:val="20"/>
          <w:color w:val="auto"/>
        </w:rPr>
      </w:pPr>
      <w:r>
        <w:rPr>
          <w:rFonts w:ascii="Arial" w:cs="Arial" w:eastAsia="Arial" w:hAnsi="Arial"/>
          <w:sz w:val="16"/>
          <w:szCs w:val="16"/>
          <w:color w:val="auto"/>
        </w:rPr>
        <w:t>We deliver data analytics and digital operations and solutions to our clients, driving enterprise-scale business transformation initiatives that leverage our deep expertise in advanced analytics, AI, ML and cloud. We manage and report financial information through our four strategic business units: Insurance, Healthcare, Analytics and Emerging Business, which reflects how management reviews financial information and makes operating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39" w:name="page40"/>
    <w:bookmarkEnd w:id="3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reportable segments are as follows:</w:t>
      </w:r>
    </w:p>
    <w:p>
      <w:pPr>
        <w:spacing w:after="0" w:line="8" w:lineRule="exact"/>
        <w:rPr>
          <w:sz w:val="20"/>
          <w:szCs w:val="20"/>
          <w:color w:val="auto"/>
        </w:rPr>
      </w:pPr>
    </w:p>
    <w:p>
      <w:pPr>
        <w:ind w:left="560" w:hanging="209"/>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Insurance,</w:t>
      </w:r>
    </w:p>
    <w:p>
      <w:pPr>
        <w:spacing w:after="0" w:line="205" w:lineRule="exact"/>
        <w:rPr>
          <w:rFonts w:ascii="Arial" w:cs="Arial" w:eastAsia="Arial" w:hAnsi="Arial"/>
          <w:sz w:val="16"/>
          <w:szCs w:val="16"/>
          <w:color w:val="auto"/>
        </w:rPr>
      </w:pPr>
    </w:p>
    <w:p>
      <w:pPr>
        <w:ind w:left="560" w:hanging="209"/>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Healthcare,</w:t>
      </w:r>
    </w:p>
    <w:p>
      <w:pPr>
        <w:spacing w:after="0" w:line="219" w:lineRule="exact"/>
        <w:rPr>
          <w:rFonts w:ascii="Arial" w:cs="Arial" w:eastAsia="Arial" w:hAnsi="Arial"/>
          <w:sz w:val="16"/>
          <w:szCs w:val="16"/>
          <w:color w:val="auto"/>
        </w:rPr>
      </w:pPr>
    </w:p>
    <w:p>
      <w:pPr>
        <w:ind w:left="560" w:hanging="209"/>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Analytics, and</w:t>
      </w:r>
    </w:p>
    <w:p>
      <w:pPr>
        <w:spacing w:after="0" w:line="219" w:lineRule="exact"/>
        <w:rPr>
          <w:rFonts w:ascii="Arial" w:cs="Arial" w:eastAsia="Arial" w:hAnsi="Arial"/>
          <w:sz w:val="16"/>
          <w:szCs w:val="16"/>
          <w:color w:val="auto"/>
        </w:rPr>
      </w:pPr>
    </w:p>
    <w:p>
      <w:pPr>
        <w:ind w:left="560" w:hanging="209"/>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Emerging Business.</w:t>
      </w:r>
    </w:p>
    <w:p>
      <w:pPr>
        <w:spacing w:after="0" w:line="220" w:lineRule="exact"/>
        <w:rPr>
          <w:sz w:val="20"/>
          <w:szCs w:val="20"/>
          <w:color w:val="auto"/>
        </w:rPr>
      </w:pPr>
    </w:p>
    <w:p>
      <w:pPr>
        <w:jc w:val="both"/>
        <w:ind w:firstLine="356"/>
        <w:spacing w:after="0" w:line="243" w:lineRule="auto"/>
        <w:rPr>
          <w:sz w:val="20"/>
          <w:szCs w:val="20"/>
          <w:color w:val="auto"/>
        </w:rPr>
      </w:pPr>
      <w:r>
        <w:rPr>
          <w:rFonts w:ascii="Arial" w:cs="Arial" w:eastAsia="Arial" w:hAnsi="Arial"/>
          <w:sz w:val="16"/>
          <w:szCs w:val="16"/>
          <w:color w:val="auto"/>
        </w:rPr>
        <w:t>Our global delivery network, which includes highly trained industry and process specialists across the United States, Latin America, South Africa, Europe and Asia (primarily India and the Philippines), is a key asset. We have operations centers in India, the United States, the United Kingdom, the Philippines, Bulgaria, Colombia, South Africa, Romania and the Czech Republic.</w:t>
      </w:r>
    </w:p>
    <w:p>
      <w:pPr>
        <w:spacing w:after="0" w:line="189" w:lineRule="exact"/>
        <w:rPr>
          <w:sz w:val="20"/>
          <w:szCs w:val="20"/>
          <w:color w:val="auto"/>
        </w:rPr>
      </w:pPr>
    </w:p>
    <w:p>
      <w:pPr>
        <w:jc w:val="both"/>
        <w:ind w:firstLine="356"/>
        <w:spacing w:after="0" w:line="239" w:lineRule="auto"/>
        <w:rPr>
          <w:sz w:val="20"/>
          <w:szCs w:val="20"/>
          <w:color w:val="auto"/>
        </w:rPr>
      </w:pPr>
      <w:r>
        <w:rPr>
          <w:rFonts w:ascii="Arial" w:cs="Arial" w:eastAsia="Arial" w:hAnsi="Arial"/>
          <w:sz w:val="16"/>
          <w:szCs w:val="16"/>
          <w:color w:val="auto"/>
        </w:rPr>
        <w:t>On December 16, 2021, we completed the acquisition of Clairvoyant, a global data, AI, ML, and cloud services firm that helps organizations in their business transformation by maximizing the value of data through actionable insights. It provides data engineering, analytics, AI, ML, product engineering, and cloud-based solutions. The acquisition strengthens our Analytics capabilities by adding additional expertise in data engineering and cloud enablement, further supporting our clients in the insurance, healthcare, banking and financial services, and retail industries.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Continued impact of COVID-19 on Our Business</w:t>
      </w:r>
    </w:p>
    <w:p>
      <w:pPr>
        <w:spacing w:after="0" w:line="200" w:lineRule="exact"/>
        <w:rPr>
          <w:sz w:val="20"/>
          <w:szCs w:val="20"/>
          <w:color w:val="auto"/>
        </w:rPr>
      </w:pPr>
    </w:p>
    <w:p>
      <w:pPr>
        <w:jc w:val="both"/>
        <w:ind w:firstLine="348"/>
        <w:spacing w:after="0" w:line="255" w:lineRule="auto"/>
        <w:rPr>
          <w:sz w:val="20"/>
          <w:szCs w:val="20"/>
          <w:color w:val="auto"/>
        </w:rPr>
      </w:pPr>
      <w:r>
        <w:rPr>
          <w:rFonts w:ascii="Arial" w:cs="Arial" w:eastAsia="Arial" w:hAnsi="Arial"/>
          <w:sz w:val="16"/>
          <w:szCs w:val="16"/>
          <w:color w:val="auto"/>
        </w:rPr>
        <w:t>Over the course of 2020 and 2021, and continuing into first quarter of 2022, our clients, contractors, suppliers, and other partners adapted in order to conduct business activities in a COVID-19 environment. As the global economy continued to adapt to the impact of COVID-19, our clients are focused on receiving personalized customer experiences, optimizing costs and supporting resilient operating models. We remain committed to helping our clients adapt and thrive through the ongoing uncertainties caused by COVID-19 and, going forward, to the shifting business environment.</w:t>
      </w:r>
    </w:p>
    <w:p>
      <w:pPr>
        <w:spacing w:after="0" w:line="180" w:lineRule="exact"/>
        <w:rPr>
          <w:sz w:val="20"/>
          <w:szCs w:val="20"/>
          <w:color w:val="auto"/>
        </w:rPr>
      </w:pPr>
    </w:p>
    <w:p>
      <w:pPr>
        <w:jc w:val="both"/>
        <w:ind w:firstLine="348"/>
        <w:spacing w:after="0" w:line="225" w:lineRule="auto"/>
        <w:rPr>
          <w:sz w:val="20"/>
          <w:szCs w:val="20"/>
          <w:color w:val="auto"/>
        </w:rPr>
      </w:pPr>
      <w:r>
        <w:rPr>
          <w:rFonts w:ascii="Arial" w:cs="Arial" w:eastAsia="Arial" w:hAnsi="Arial"/>
          <w:sz w:val="16"/>
          <w:szCs w:val="16"/>
          <w:color w:val="auto"/>
        </w:rPr>
        <w:t>Our remote working delivery capability steadily improved throughout 2021 and the first quarter of 2022. We are able to deliver a significant portion of our clients’ current requirements in a remote work model given the intermittent lockdown restrictions in the locations in which we operate. However, certain clients have not authorized us to perform certain work remotely due to its sensitive nature. As of March 31, 2022, there have been minimal interruptions in our ability to provide our services and support to our clients. Working remotely has had relatively little impact on the productivity of our employees. We continue to work closely with our clients to provide consistent access to our services and have remained flexible to achieve client priorities.</w:t>
      </w:r>
    </w:p>
    <w:p>
      <w:pPr>
        <w:spacing w:after="0" w:line="194"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5"/>
          <w:szCs w:val="15"/>
          <w:color w:val="auto"/>
        </w:rPr>
        <w:t>We continue to incur additional costs in order to ensure the continuity of our operations and support our remote work model. Such costs include purchase of desktops and laptops for our employees, software and internet connectivity devices, technology tools for productivity enhancement, transportation, and sanitization and cleaning costs of our offices and facilities. We also expect that we will continue to incur additional costs to monitor and improve operational efficiency of our remote work model, implement new information technology solutions and security measures to safeguard against information security risks and protect the health and safety of our employees as they gradually return to the office. We believe that these short-to-medium-term costs may benefit us in the long-term, as these steps have broadened our remote working capabilities, which has become a permanent feature in our future delivery model, as well as our business continuity plans. Based on our success of remote work model during the COVID-19 pandemic, we have implemented a new work standard under which employees in many of our locations, where permitted by local laws and regulations, and where the role and client requirements permit, will have the opportunity to choose between different work arrangements. These include working in a hybrid arrangement, where an employee can split time between working from the office and working from a pre-approved remote location, or a fully remote arrangement, where an employee can work entirely from a pre-approved remote location.</w:t>
      </w:r>
    </w:p>
    <w:p>
      <w:pPr>
        <w:spacing w:after="0" w:line="176" w:lineRule="exact"/>
        <w:rPr>
          <w:sz w:val="20"/>
          <w:szCs w:val="20"/>
          <w:color w:val="auto"/>
        </w:rPr>
      </w:pPr>
    </w:p>
    <w:p>
      <w:pPr>
        <w:jc w:val="both"/>
        <w:ind w:firstLine="356"/>
        <w:spacing w:after="0" w:line="228" w:lineRule="auto"/>
        <w:rPr>
          <w:sz w:val="20"/>
          <w:szCs w:val="20"/>
          <w:color w:val="auto"/>
        </w:rPr>
      </w:pPr>
      <w:r>
        <w:rPr>
          <w:rFonts w:ascii="Arial" w:cs="Arial" w:eastAsia="Arial" w:hAnsi="Arial"/>
          <w:sz w:val="16"/>
          <w:szCs w:val="16"/>
          <w:color w:val="auto"/>
        </w:rPr>
        <w:t>We have begun to re-open some of our operation centers and offices globally with a focus on safety, while acting consistently with applicable local regulations. We anticipate that the ability to open these operations centers and offices will vary significantly from region to region based on a number of factors, including the availability of COVID-19 vaccines and the spread of future COVID-19 variants. Our operations centers and offices will not re-open fully until local authorities permit us to do so and our own criteria and conditions to ensure employee health and safety are satisfied.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40" w:name="page41"/>
    <w:bookmarkEnd w:id="4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firstLine="348"/>
        <w:spacing w:after="0" w:line="232" w:lineRule="auto"/>
        <w:rPr>
          <w:sz w:val="20"/>
          <w:szCs w:val="20"/>
          <w:color w:val="auto"/>
        </w:rPr>
      </w:pPr>
      <w:r>
        <w:rPr>
          <w:rFonts w:ascii="Arial" w:cs="Arial" w:eastAsia="Arial" w:hAnsi="Arial"/>
          <w:sz w:val="16"/>
          <w:szCs w:val="16"/>
          <w:color w:val="auto"/>
        </w:rPr>
        <w:t>We believe our actions have been successful and that the pandemic, and our responses, have not significantly affected our business, results of operations, financial position and cash flow during the first quarter of 2022, however the full extent of the impact of the pandemic for the period beyond the first quarter of 2022 is currently uncertain and will depend on many factors that are not within our control.</w:t>
      </w:r>
    </w:p>
    <w:p>
      <w:pPr>
        <w:spacing w:after="0" w:line="191" w:lineRule="exact"/>
        <w:rPr>
          <w:sz w:val="20"/>
          <w:szCs w:val="20"/>
          <w:color w:val="auto"/>
        </w:rPr>
      </w:pPr>
    </w:p>
    <w:p>
      <w:pPr>
        <w:jc w:val="both"/>
        <w:ind w:right="20" w:firstLine="348"/>
        <w:spacing w:after="0" w:line="270" w:lineRule="auto"/>
        <w:rPr>
          <w:sz w:val="20"/>
          <w:szCs w:val="20"/>
          <w:color w:val="auto"/>
        </w:rPr>
      </w:pPr>
      <w:r>
        <w:rPr>
          <w:rFonts w:ascii="Arial" w:cs="Arial" w:eastAsia="Arial" w:hAnsi="Arial"/>
          <w:sz w:val="16"/>
          <w:szCs w:val="16"/>
          <w:color w:val="auto"/>
        </w:rPr>
        <w:t>For additional information and risks related to COVID-19, see Part I, Item 1A, “Risk Factors” in our Annual Report on Form 10-K for the fiscal year ended December 31, 2021.</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w:t>
      </w:r>
    </w:p>
    <w:p>
      <w:pPr>
        <w:spacing w:after="0" w:line="200" w:lineRule="exact"/>
        <w:rPr>
          <w:sz w:val="20"/>
          <w:szCs w:val="20"/>
          <w:color w:val="auto"/>
        </w:rPr>
      </w:pPr>
    </w:p>
    <w:p>
      <w:pPr>
        <w:jc w:val="both"/>
        <w:ind w:right="20" w:firstLine="356"/>
        <w:spacing w:after="0" w:line="254" w:lineRule="auto"/>
        <w:rPr>
          <w:sz w:val="20"/>
          <w:szCs w:val="20"/>
          <w:color w:val="auto"/>
        </w:rPr>
      </w:pPr>
      <w:r>
        <w:rPr>
          <w:rFonts w:ascii="Arial" w:cs="Arial" w:eastAsia="Arial" w:hAnsi="Arial"/>
          <w:sz w:val="16"/>
          <w:szCs w:val="16"/>
          <w:color w:val="auto"/>
        </w:rPr>
        <w:t>For the three months ended March 31, 2022, we had revenues of $329.2 million compared to revenues of $261.4 million for the three months ended March 31, 2021, an increase of $67.8 million, or 25.9%.</w:t>
      </w:r>
    </w:p>
    <w:p>
      <w:pPr>
        <w:spacing w:after="0" w:line="181" w:lineRule="exact"/>
        <w:rPr>
          <w:sz w:val="20"/>
          <w:szCs w:val="20"/>
          <w:color w:val="auto"/>
        </w:rPr>
      </w:pPr>
    </w:p>
    <w:p>
      <w:pPr>
        <w:jc w:val="both"/>
        <w:ind w:firstLine="356"/>
        <w:spacing w:after="0" w:line="254" w:lineRule="auto"/>
        <w:rPr>
          <w:sz w:val="20"/>
          <w:szCs w:val="20"/>
          <w:color w:val="auto"/>
        </w:rPr>
      </w:pPr>
      <w:r>
        <w:rPr>
          <w:rFonts w:ascii="Arial" w:cs="Arial" w:eastAsia="Arial" w:hAnsi="Arial"/>
          <w:sz w:val="16"/>
          <w:szCs w:val="16"/>
          <w:color w:val="auto"/>
        </w:rPr>
        <w:t>We serve clients mainly in the United States and the United Kingdom, with these two regions generating 85.8% and 10.0%, respectively, of our total revenues for the three months ended March 31, 2022, and 85.8% and 9.5%, respectively, of our revenues for the three months ended March 31, 2021.</w:t>
      </w:r>
    </w:p>
    <w:p>
      <w:pPr>
        <w:spacing w:after="0" w:line="181" w:lineRule="exact"/>
        <w:rPr>
          <w:sz w:val="20"/>
          <w:szCs w:val="20"/>
          <w:color w:val="auto"/>
        </w:rPr>
      </w:pPr>
    </w:p>
    <w:p>
      <w:pPr>
        <w:jc w:val="both"/>
        <w:ind w:right="20" w:firstLine="356"/>
        <w:spacing w:after="0" w:line="243" w:lineRule="auto"/>
        <w:rPr>
          <w:sz w:val="20"/>
          <w:szCs w:val="20"/>
          <w:color w:val="auto"/>
        </w:rPr>
      </w:pPr>
      <w:r>
        <w:rPr>
          <w:rFonts w:ascii="Arial" w:cs="Arial" w:eastAsia="Arial" w:hAnsi="Arial"/>
          <w:sz w:val="16"/>
          <w:szCs w:val="16"/>
          <w:color w:val="auto"/>
        </w:rPr>
        <w:t>For the three months ended March 31, 2022 and 2021, our total revenues from our top ten clients accounted for 36.2% and 39.3% of our total revenues, respectively. Our revenue concentration with our top clients remains largely consistent year-over-year and we continue to develop relationships with new clients to diversify our client base. We believe that the loss of any of our top ten clients could have a material adverse effect on our financial performance.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w:t>
      </w:r>
    </w:p>
    <w:p>
      <w:pPr>
        <w:spacing w:after="0" w:line="224" w:lineRule="exact"/>
        <w:rPr>
          <w:sz w:val="20"/>
          <w:szCs w:val="20"/>
          <w:color w:val="auto"/>
        </w:rPr>
      </w:pPr>
    </w:p>
    <w:p>
      <w:pPr>
        <w:jc w:val="both"/>
        <w:ind w:right="20" w:firstLine="356"/>
        <w:spacing w:after="0" w:line="243" w:lineRule="auto"/>
        <w:rPr>
          <w:sz w:val="20"/>
          <w:szCs w:val="20"/>
          <w:color w:val="auto"/>
        </w:rPr>
      </w:pPr>
      <w:r>
        <w:rPr>
          <w:rFonts w:ascii="Arial" w:cs="Arial" w:eastAsia="Arial" w:hAnsi="Arial"/>
          <w:sz w:val="16"/>
          <w:szCs w:val="16"/>
          <w:color w:val="auto"/>
        </w:rPr>
        <w:t>We provide data analytics and digital operations and solutions to our clients. We market our services to our existing and prospective clients through our sales and client management teams, which are aligned by key industry verticals and cross-industry domains such as finance and accounting. Our sales and client management teams operate primarily from the United States, Europe and Australia.</w:t>
      </w:r>
    </w:p>
    <w:p>
      <w:pPr>
        <w:spacing w:after="0" w:line="189" w:lineRule="exact"/>
        <w:rPr>
          <w:sz w:val="20"/>
          <w:szCs w:val="20"/>
          <w:color w:val="auto"/>
        </w:rPr>
      </w:pPr>
    </w:p>
    <w:p>
      <w:pPr>
        <w:jc w:val="both"/>
        <w:ind w:firstLine="356"/>
        <w:spacing w:after="0" w:line="274" w:lineRule="auto"/>
        <w:rPr>
          <w:sz w:val="20"/>
          <w:szCs w:val="20"/>
          <w:color w:val="auto"/>
        </w:rPr>
      </w:pPr>
      <w:r>
        <w:rPr>
          <w:rFonts w:ascii="Arial" w:cs="Arial" w:eastAsia="Arial" w:hAnsi="Arial"/>
          <w:sz w:val="14"/>
          <w:szCs w:val="14"/>
          <w:i w:val="1"/>
          <w:iCs w:val="1"/>
          <w:color w:val="auto"/>
        </w:rPr>
        <w:t xml:space="preserve">Digital Operations and Solutions: </w:t>
      </w:r>
      <w:r>
        <w:rPr>
          <w:rFonts w:ascii="Arial" w:cs="Arial" w:eastAsia="Arial" w:hAnsi="Arial"/>
          <w:sz w:val="14"/>
          <w:szCs w:val="14"/>
          <w:color w:val="auto"/>
        </w:rPr>
        <w:t>We provide our clients with a range of digital operations and solutions from our Insurance, Healthcare and Emerging Business strategic</w:t>
      </w:r>
      <w:r>
        <w:rPr>
          <w:rFonts w:ascii="Arial" w:cs="Arial" w:eastAsia="Arial" w:hAnsi="Arial"/>
          <w:sz w:val="14"/>
          <w:szCs w:val="14"/>
          <w:i w:val="1"/>
          <w:iCs w:val="1"/>
          <w:color w:val="auto"/>
        </w:rPr>
        <w:t xml:space="preserve"> </w:t>
      </w:r>
      <w:r>
        <w:rPr>
          <w:rFonts w:ascii="Arial" w:cs="Arial" w:eastAsia="Arial" w:hAnsi="Arial"/>
          <w:sz w:val="14"/>
          <w:szCs w:val="14"/>
          <w:color w:val="auto"/>
        </w:rPr>
        <w:t>business units, which are focused on solving complex industry problems such as the insurance claims lifecycle and financial transactions processing, and typically involve the use of agile delivery models to implement digital technologies and interventions like hyper-automation, customer experience transformation, advanced automation, robotics, enterprise architecture, end-to-end business function management and transformations. We either administer and manage these functions on an ongoing basis via longer-term arrangements or project work. For a portion of our digital operations and solutions,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 We also provide consulting services related to digital operations and solutions that include industry-specific digital transformational services as well as cross-industry finance and accounting services as part of the Emerging Business strategic business unit.</w:t>
      </w:r>
    </w:p>
    <w:p>
      <w:pPr>
        <w:spacing w:after="0" w:line="168" w:lineRule="exact"/>
        <w:rPr>
          <w:sz w:val="20"/>
          <w:szCs w:val="20"/>
          <w:color w:val="auto"/>
        </w:rPr>
      </w:pPr>
    </w:p>
    <w:p>
      <w:pPr>
        <w:jc w:val="both"/>
        <w:ind w:firstLine="356"/>
        <w:spacing w:after="0" w:line="237" w:lineRule="auto"/>
        <w:rPr>
          <w:sz w:val="20"/>
          <w:szCs w:val="20"/>
          <w:color w:val="auto"/>
        </w:rPr>
      </w:pPr>
      <w:r>
        <w:rPr>
          <w:rFonts w:ascii="Arial" w:cs="Arial" w:eastAsia="Arial" w:hAnsi="Arial"/>
          <w:sz w:val="16"/>
          <w:szCs w:val="16"/>
          <w:color w:val="auto"/>
        </w:rPr>
        <w:t>We provide our services under contracts with our clients, which typically have terms of three or more years, with some being rolling contracts with no end dates. Typically, our clients can terminate these contracts with or without cause and with short notice periods. These contracts provide us with a relatively predictable revenue base for a substantial portion of our digital operations and solutions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92" w:lineRule="exact"/>
        <w:rPr>
          <w:sz w:val="20"/>
          <w:szCs w:val="20"/>
          <w:color w:val="auto"/>
        </w:rPr>
      </w:pPr>
    </w:p>
    <w:p>
      <w:pPr>
        <w:jc w:val="both"/>
        <w:ind w:firstLine="356"/>
        <w:spacing w:after="0" w:line="280" w:lineRule="auto"/>
        <w:rPr>
          <w:sz w:val="20"/>
          <w:szCs w:val="20"/>
          <w:color w:val="auto"/>
        </w:rPr>
      </w:pPr>
      <w:r>
        <w:rPr>
          <w:rFonts w:ascii="Arial" w:cs="Arial" w:eastAsia="Arial" w:hAnsi="Arial"/>
          <w:sz w:val="14"/>
          <w:szCs w:val="14"/>
          <w:color w:val="auto"/>
        </w:rPr>
        <w:t>We charge for our services using various pricing models like time-and-material pricing, full-time-equivalent pricing, transaction-based pricing, outcome-based pricing, subscription-based pricing and other alternative pricing models. Outcome-based pricing arrangements are examples of non-linear pricing models where clients link revenues from platforms and solutions and the services we provide to usage or savings rather than the efforts deployed to provide these services. We continue to observe a shift in the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full-time-equivalent pricing model to a transaction-based or other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41" w:name="page42"/>
    <w:bookmarkEnd w:id="4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alternative pricing model. These alternative pricing models place the focus on operating efficiency in order to maintain or improve our gross margins.</w:t>
      </w:r>
    </w:p>
    <w:p>
      <w:pPr>
        <w:spacing w:after="0" w:line="208" w:lineRule="exact"/>
        <w:rPr>
          <w:sz w:val="20"/>
          <w:szCs w:val="20"/>
          <w:color w:val="auto"/>
        </w:rPr>
      </w:pPr>
    </w:p>
    <w:p>
      <w:pPr>
        <w:jc w:val="both"/>
        <w:ind w:firstLine="356"/>
        <w:spacing w:after="0" w:line="238" w:lineRule="auto"/>
        <w:rPr>
          <w:sz w:val="20"/>
          <w:szCs w:val="20"/>
          <w:color w:val="auto"/>
        </w:rPr>
      </w:pPr>
      <w:r>
        <w:rPr>
          <w:rFonts w:ascii="Arial" w:cs="Arial" w:eastAsia="Arial" w:hAnsi="Arial"/>
          <w:sz w:val="16"/>
          <w:szCs w:val="16"/>
          <w:color w:val="auto"/>
        </w:rPr>
        <w:t>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92" w:lineRule="exact"/>
        <w:rPr>
          <w:sz w:val="20"/>
          <w:szCs w:val="20"/>
          <w:color w:val="auto"/>
        </w:rPr>
      </w:pPr>
    </w:p>
    <w:p>
      <w:pPr>
        <w:jc w:val="both"/>
        <w:ind w:firstLine="356"/>
        <w:spacing w:after="0" w:line="270" w:lineRule="auto"/>
        <w:rPr>
          <w:sz w:val="20"/>
          <w:szCs w:val="20"/>
          <w:color w:val="auto"/>
        </w:rPr>
      </w:pPr>
      <w:r>
        <w:rPr>
          <w:rFonts w:ascii="Arial" w:cs="Arial" w:eastAsia="Arial" w:hAnsi="Arial"/>
          <w:sz w:val="14"/>
          <w:szCs w:val="14"/>
          <w:i w:val="1"/>
          <w:iCs w:val="1"/>
          <w:color w:val="auto"/>
        </w:rPr>
        <w:t xml:space="preserve">Analytics: </w:t>
      </w:r>
      <w:r>
        <w:rPr>
          <w:rFonts w:ascii="Arial" w:cs="Arial" w:eastAsia="Arial" w:hAnsi="Arial"/>
          <w:sz w:val="14"/>
          <w:szCs w:val="14"/>
          <w:color w:val="auto"/>
        </w:rPr>
        <w:t>Our analytics services focus on driving improved business outcomes for our clients by unlocking deep insights from data and create data driven solutions across</w:t>
      </w:r>
      <w:r>
        <w:rPr>
          <w:rFonts w:ascii="Arial" w:cs="Arial" w:eastAsia="Arial" w:hAnsi="Arial"/>
          <w:sz w:val="14"/>
          <w:szCs w:val="14"/>
          <w:i w:val="1"/>
          <w:iCs w:val="1"/>
          <w:color w:val="auto"/>
        </w:rPr>
        <w:t xml:space="preserve"> </w:t>
      </w:r>
      <w:r>
        <w:rPr>
          <w:rFonts w:ascii="Arial" w:cs="Arial" w:eastAsia="Arial" w:hAnsi="Arial"/>
          <w:sz w:val="14"/>
          <w:szCs w:val="14"/>
          <w:color w:val="auto"/>
        </w:rPr>
        <w:t>all parts of our clients’ business. We also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teams deliver predictive and prescriptive analytics in the areas of customer acquisition and lifecycle management, risk underwriting and pricing, operational effectiveness, credit and operational risk monitoring and governance, regulatory reporting, payment integrity and care management and data management. We enhance, modernize and enrich structured and unstructured data and use a spectrum of advanced analytical tools and techniques, including our in-house ML and AI capabilities to create insights and improve decision making for our clients. Our Clairvoyant acquisition in December 2021 strengthens our analytics capabilities by adding additional expertise in data engineering and cloud enablement, further supporting our clients in the insurance, healthcare, banking and financial services, and retail industries. We actively cross-sell and, where appropriate, integrate our analytics services with other digital operations and solutions as part of a comprehensive offering for our clients. Our projects-based analytics services are cyclical and can be significantly affected by variations in business cycles. In addition, our projects-based analytics services are documented in contracts with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fluctuations and uncertainties in the revenues generated from providing analytics services.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anticipate that revenues from our analytics services will grow as we expand our service offerings and client base, both organically and through acquisitions.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24" w:lineRule="exact"/>
        <w:rPr>
          <w:sz w:val="20"/>
          <w:szCs w:val="20"/>
          <w:color w:val="auto"/>
        </w:rPr>
      </w:pPr>
    </w:p>
    <w:p>
      <w:pPr>
        <w:jc w:val="both"/>
        <w:ind w:right="20" w:firstLine="356"/>
        <w:spacing w:after="0" w:line="239" w:lineRule="auto"/>
        <w:rPr>
          <w:sz w:val="20"/>
          <w:szCs w:val="20"/>
          <w:color w:val="auto"/>
        </w:rPr>
      </w:pPr>
      <w:r>
        <w:rPr>
          <w:rFonts w:ascii="Arial" w:cs="Arial" w:eastAsia="Arial" w:hAnsi="Arial"/>
          <w:sz w:val="16"/>
          <w:szCs w:val="16"/>
          <w:color w:val="auto"/>
        </w:rPr>
        <w:t>There have been no significant changes in our critical accounting policies and estimates during the three months ended March 31, 2022, as compared to the critical accounting policies and estimates referred in Part II, Item 7, “Management’s Discussion and Analysis of Financial Condition and Results of Operations” under “Critical Accounting Policies and Estimates” and Note 2 - Summary of Significant Accounting Policies to our consolidated financial statements included in our Annual Report on Form 10-K for the fiscal year ended December 31, 2021.</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42" w:name="page43"/>
    <w:bookmarkEnd w:id="4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our results of operations for the three months ended March 31, 2022 and 2021:</w:t>
      </w:r>
    </w:p>
    <w:p>
      <w:pPr>
        <w:spacing w:after="0" w:line="201" w:lineRule="exact"/>
        <w:rPr>
          <w:sz w:val="20"/>
          <w:szCs w:val="20"/>
          <w:color w:val="auto"/>
        </w:rPr>
      </w:pPr>
    </w:p>
    <w:tbl>
      <w:tblPr>
        <w:tblLayout w:type="fixed"/>
        <w:tblInd w:w="560" w:type="dxa"/>
        <w:tblCellMar>
          <w:top w:w="0" w:type="dxa"/>
          <w:left w:w="0" w:type="dxa"/>
          <w:bottom w:w="0" w:type="dxa"/>
          <w:right w:w="0" w:type="dxa"/>
        </w:tblCellMar>
      </w:tblPr>
      <w:tr>
        <w:trPr>
          <w:trHeight w:val="170"/>
        </w:trPr>
        <w:tc>
          <w:tcPr>
            <w:tcW w:w="7340" w:type="dxa"/>
            <w:vAlign w:val="bottom"/>
          </w:tcPr>
          <w:p>
            <w:pPr>
              <w:spacing w:after="0"/>
              <w:rPr>
                <w:sz w:val="14"/>
                <w:szCs w:val="14"/>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r>
      <w:tr>
        <w:trPr>
          <w:trHeight w:val="162"/>
        </w:trPr>
        <w:tc>
          <w:tcPr>
            <w:tcW w:w="73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4"/>
                <w:szCs w:val="14"/>
                <w:color w:val="auto"/>
              </w:rPr>
            </w:pPr>
          </w:p>
        </w:tc>
      </w:tr>
      <w:tr>
        <w:trPr>
          <w:trHeight w:val="158"/>
        </w:trPr>
        <w:tc>
          <w:tcPr>
            <w:tcW w:w="7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gridSpan w:val="3"/>
          </w:tcPr>
          <w:p>
            <w:pPr>
              <w:jc w:val="right"/>
              <w:ind w:right="310"/>
              <w:spacing w:after="0"/>
              <w:rPr>
                <w:sz w:val="20"/>
                <w:szCs w:val="20"/>
                <w:color w:val="auto"/>
              </w:rPr>
            </w:pPr>
            <w:r>
              <w:rPr>
                <w:rFonts w:ascii="Arial" w:cs="Arial" w:eastAsia="Arial" w:hAnsi="Arial"/>
                <w:sz w:val="13"/>
                <w:szCs w:val="13"/>
                <w:b w:val="1"/>
                <w:bCs w:val="1"/>
                <w:color w:val="auto"/>
                <w:w w:val="90"/>
              </w:rPr>
              <w:t>(dollars in millions)</w:t>
            </w:r>
          </w:p>
        </w:tc>
        <w:tc>
          <w:tcPr>
            <w:tcW w:w="500" w:type="dxa"/>
            <w:vAlign w:val="bottom"/>
          </w:tcPr>
          <w:p>
            <w:pPr>
              <w:spacing w:after="0"/>
              <w:rPr>
                <w:sz w:val="13"/>
                <w:szCs w:val="13"/>
                <w:color w:val="auto"/>
              </w:rPr>
            </w:pPr>
          </w:p>
        </w:tc>
      </w:tr>
      <w:tr>
        <w:trPr>
          <w:trHeight w:val="203"/>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net</w:t>
            </w:r>
          </w:p>
        </w:tc>
        <w:tc>
          <w:tcPr>
            <w:tcW w:w="820" w:type="dxa"/>
            <w:vAlign w:val="bottom"/>
            <w:shd w:val="clear" w:color="auto" w:fill="CCEEFF"/>
          </w:tcPr>
          <w:p>
            <w:pPr>
              <w:jc w:val="right"/>
              <w:ind w:right="672"/>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9"/>
              </w:rPr>
              <w:t>329.2</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3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9"/>
              </w:rPr>
              <w:t>261.4</w:t>
            </w:r>
          </w:p>
        </w:tc>
      </w:tr>
      <w:tr>
        <w:trPr>
          <w:trHeight w:val="202"/>
        </w:trPr>
        <w:tc>
          <w:tcPr>
            <w:tcW w:w="73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6"/>
                <w:szCs w:val="16"/>
                <w:color w:val="auto"/>
              </w:rPr>
              <w:t>Cost of revenues</w:t>
            </w:r>
            <w:r>
              <w:rPr>
                <w:rFonts w:ascii="Arial" w:cs="Arial" w:eastAsia="Arial" w:hAnsi="Arial"/>
                <w:sz w:val="20"/>
                <w:szCs w:val="20"/>
                <w:color w:val="auto"/>
                <w:vertAlign w:val="superscript"/>
              </w:rPr>
              <w:t>(1)</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99"/>
              </w:rPr>
              <w:t>207.5</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9"/>
              </w:rPr>
              <w:t>158.8</w:t>
            </w:r>
          </w:p>
        </w:tc>
      </w:tr>
      <w:tr>
        <w:trPr>
          <w:trHeight w:val="194"/>
        </w:trPr>
        <w:tc>
          <w:tcPr>
            <w:tcW w:w="7340" w:type="dxa"/>
            <w:vAlign w:val="bottom"/>
            <w:shd w:val="clear" w:color="auto" w:fill="CCEEFF"/>
          </w:tcPr>
          <w:p>
            <w:pPr>
              <w:ind w:left="20"/>
              <w:spacing w:after="0" w:line="194" w:lineRule="exact"/>
              <w:rPr>
                <w:sz w:val="20"/>
                <w:szCs w:val="20"/>
                <w:color w:val="auto"/>
              </w:rPr>
            </w:pPr>
            <w:r>
              <w:rPr>
                <w:rFonts w:ascii="Arial" w:cs="Arial" w:eastAsia="Arial" w:hAnsi="Arial"/>
                <w:sz w:val="16"/>
                <w:szCs w:val="16"/>
                <w:b w:val="1"/>
                <w:bCs w:val="1"/>
                <w:color w:val="auto"/>
              </w:rPr>
              <w:t>Gross profit</w:t>
            </w:r>
            <w:r>
              <w:rPr>
                <w:rFonts w:ascii="Arial" w:cs="Arial" w:eastAsia="Arial" w:hAnsi="Arial"/>
                <w:sz w:val="20"/>
                <w:szCs w:val="20"/>
                <w:b w:val="1"/>
                <w:bCs w:val="1"/>
                <w:color w:val="auto"/>
                <w:vertAlign w:val="superscript"/>
              </w:rPr>
              <w:t>(1)</w:t>
            </w:r>
          </w:p>
        </w:tc>
        <w:tc>
          <w:tcPr>
            <w:tcW w:w="8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99"/>
              </w:rPr>
              <w:t>121.7</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9"/>
              </w:rPr>
              <w:t>102.6</w:t>
            </w:r>
          </w:p>
        </w:tc>
      </w:tr>
      <w:tr>
        <w:trPr>
          <w:trHeight w:val="181"/>
        </w:trPr>
        <w:tc>
          <w:tcPr>
            <w:tcW w:w="7340" w:type="dxa"/>
            <w:vAlign w:val="bottom"/>
          </w:tcPr>
          <w:p>
            <w:pPr>
              <w:ind w:left="20"/>
              <w:spacing w:after="0" w:line="181" w:lineRule="exact"/>
              <w:rPr>
                <w:sz w:val="20"/>
                <w:szCs w:val="20"/>
                <w:color w:val="auto"/>
              </w:rPr>
            </w:pPr>
            <w:r>
              <w:rPr>
                <w:rFonts w:ascii="Arial" w:cs="Arial" w:eastAsia="Arial" w:hAnsi="Arial"/>
                <w:sz w:val="16"/>
                <w:szCs w:val="16"/>
                <w:color w:val="auto"/>
              </w:rPr>
              <w:t>Operating expenses:</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02"/>
        </w:trPr>
        <w:tc>
          <w:tcPr>
            <w:tcW w:w="7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General and administrative expenses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30.7</w:t>
            </w:r>
          </w:p>
        </w:tc>
      </w:tr>
      <w:tr>
        <w:trPr>
          <w:trHeight w:val="201"/>
        </w:trPr>
        <w:tc>
          <w:tcPr>
            <w:tcW w:w="7340" w:type="dxa"/>
            <w:vAlign w:val="bottom"/>
          </w:tcPr>
          <w:p>
            <w:pPr>
              <w:ind w:left="200"/>
              <w:spacing w:after="0"/>
              <w:rPr>
                <w:sz w:val="20"/>
                <w:szCs w:val="20"/>
                <w:color w:val="auto"/>
              </w:rPr>
            </w:pPr>
            <w:r>
              <w:rPr>
                <w:rFonts w:ascii="Arial" w:cs="Arial" w:eastAsia="Arial" w:hAnsi="Arial"/>
                <w:sz w:val="16"/>
                <w:szCs w:val="16"/>
                <w:color w:val="auto"/>
              </w:rPr>
              <w:t>Selling and marketing expenses</w:t>
            </w:r>
          </w:p>
        </w:tc>
        <w:tc>
          <w:tcPr>
            <w:tcW w:w="82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18.2</w:t>
            </w:r>
          </w:p>
        </w:tc>
      </w:tr>
      <w:tr>
        <w:trPr>
          <w:trHeight w:val="202"/>
        </w:trPr>
        <w:tc>
          <w:tcPr>
            <w:tcW w:w="7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 expense</w:t>
            </w: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w:t>
            </w:r>
          </w:p>
        </w:tc>
      </w:tr>
      <w:tr>
        <w:trPr>
          <w:trHeight w:val="193"/>
        </w:trPr>
        <w:tc>
          <w:tcPr>
            <w:tcW w:w="734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6"/>
                <w:szCs w:val="16"/>
                <w:color w:val="auto"/>
              </w:rPr>
              <w:t>Total operating expenses</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61.0</w:t>
            </w:r>
          </w:p>
        </w:tc>
      </w:tr>
      <w:tr>
        <w:trPr>
          <w:trHeight w:val="194"/>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44.0</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41.6</w:t>
            </w:r>
          </w:p>
        </w:tc>
      </w:tr>
      <w:tr>
        <w:trPr>
          <w:trHeight w:val="201"/>
        </w:trPr>
        <w:tc>
          <w:tcPr>
            <w:tcW w:w="7340" w:type="dxa"/>
            <w:vAlign w:val="bottom"/>
          </w:tcPr>
          <w:p>
            <w:pPr>
              <w:ind w:left="20"/>
              <w:spacing w:after="0"/>
              <w:rPr>
                <w:sz w:val="20"/>
                <w:szCs w:val="20"/>
                <w:color w:val="auto"/>
              </w:rPr>
            </w:pPr>
            <w:r>
              <w:rPr>
                <w:rFonts w:ascii="Arial" w:cs="Arial" w:eastAsia="Arial" w:hAnsi="Arial"/>
                <w:sz w:val="16"/>
                <w:szCs w:val="16"/>
                <w:color w:val="auto"/>
              </w:rPr>
              <w:t>Foreign exchange gain, net</w:t>
            </w:r>
          </w:p>
        </w:tc>
        <w:tc>
          <w:tcPr>
            <w:tcW w:w="82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0.4</w:t>
            </w:r>
          </w:p>
        </w:tc>
      </w:tr>
      <w:tr>
        <w:trPr>
          <w:trHeight w:val="202"/>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1"/>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w:t>
            </w:r>
          </w:p>
        </w:tc>
      </w:tr>
      <w:tr>
        <w:trPr>
          <w:trHeight w:val="194"/>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 expense and earnings from equity affiliates</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47.3</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40.9</w:t>
            </w:r>
          </w:p>
        </w:tc>
      </w:tr>
      <w:tr>
        <w:trPr>
          <w:trHeight w:val="201"/>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9.0</w:t>
            </w:r>
          </w:p>
        </w:tc>
      </w:tr>
      <w:tr>
        <w:trPr>
          <w:trHeight w:val="194"/>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earnings from equity affiliates</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36.1</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31.9</w:t>
            </w:r>
          </w:p>
        </w:tc>
      </w:tr>
      <w:tr>
        <w:trPr>
          <w:trHeight w:val="201"/>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Gain from equity-method investment</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19"/>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ExlService Holdings, Inc. stockholders</w:t>
            </w:r>
          </w:p>
        </w:tc>
        <w:tc>
          <w:tcPr>
            <w:tcW w:w="82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36.2</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31.9</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(1) Exclusive of depreciation and amortization expense.</w:t>
      </w:r>
    </w:p>
    <w:p>
      <w:pPr>
        <w:spacing w:after="0" w:line="215" w:lineRule="exact"/>
        <w:rPr>
          <w:sz w:val="20"/>
          <w:szCs w:val="20"/>
          <w:color w:val="auto"/>
        </w:rPr>
      </w:pPr>
    </w:p>
    <w:p>
      <w:pPr>
        <w:jc w:val="both"/>
        <w:ind w:left="360"/>
        <w:spacing w:after="0" w:line="254" w:lineRule="auto"/>
        <w:rPr>
          <w:sz w:val="20"/>
          <w:szCs w:val="20"/>
          <w:color w:val="auto"/>
        </w:rPr>
      </w:pPr>
      <w:r>
        <w:rPr>
          <w:rFonts w:ascii="Arial" w:cs="Arial" w:eastAsia="Arial" w:hAnsi="Arial"/>
          <w:sz w:val="16"/>
          <w:szCs w:val="16"/>
          <w:i w:val="1"/>
          <w:iCs w:val="1"/>
          <w:color w:val="auto"/>
        </w:rPr>
        <w:t>Due to rounding, the numbers presented in the tables included in this Part I, Item 2, “Management’s Discussion and Analysis of Financial Condition and Results of Operations” may not add up precisely to the totals provided.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0720"/>
          </w:cols>
          <w:pgMar w:left="320" w:top="337" w:right="859" w:bottom="1440" w:gutter="0" w:footer="0" w:header="0"/>
        </w:sectPr>
      </w:pPr>
    </w:p>
    <w:bookmarkStart w:id="43" w:name="page44"/>
    <w:bookmarkEnd w:id="4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March 31, 2022 Compared to Three Months Ended March 31, 2021</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Revenues.</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our revenues by reportable segments for the three months ended March 31, 2022 and 2021:</w:t>
      </w:r>
    </w:p>
    <w:p>
      <w:pPr>
        <w:spacing w:after="0" w:line="34"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2840" w:type="dxa"/>
            <w:vAlign w:val="bottom"/>
            <w:gridSpan w:val="4"/>
          </w:tcPr>
          <w:p>
            <w:pPr>
              <w:jc w:val="right"/>
              <w:ind w:right="106"/>
              <w:spacing w:after="0"/>
              <w:rPr>
                <w:sz w:val="20"/>
                <w:szCs w:val="20"/>
                <w:color w:val="auto"/>
              </w:rPr>
            </w:pPr>
            <w:r>
              <w:rPr>
                <w:rFonts w:ascii="Arial" w:cs="Arial" w:eastAsia="Arial" w:hAnsi="Arial"/>
                <w:sz w:val="13"/>
                <w:szCs w:val="13"/>
                <w:b w:val="1"/>
                <w:bCs w:val="1"/>
                <w:color w:val="auto"/>
              </w:rPr>
              <w:t>Three months ended March 31,</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ind w:left="820"/>
              <w:spacing w:after="0"/>
              <w:rPr>
                <w:sz w:val="20"/>
                <w:szCs w:val="20"/>
                <w:color w:val="auto"/>
              </w:rPr>
            </w:pPr>
            <w:r>
              <w:rPr>
                <w:rFonts w:ascii="Arial" w:cs="Arial" w:eastAsia="Arial" w:hAnsi="Arial"/>
                <w:sz w:val="13"/>
                <w:szCs w:val="13"/>
                <w:b w:val="1"/>
                <w:bCs w:val="1"/>
                <w:color w:val="auto"/>
              </w:rPr>
              <w:t>Percentage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Change</w:t>
            </w:r>
          </w:p>
        </w:tc>
        <w:tc>
          <w:tcPr>
            <w:tcW w:w="1580" w:type="dxa"/>
            <w:vAlign w:val="bottom"/>
            <w:vMerge w:val="restart"/>
          </w:tcPr>
          <w:p>
            <w:pPr>
              <w:ind w:left="760"/>
              <w:spacing w:after="0"/>
              <w:rPr>
                <w:sz w:val="20"/>
                <w:szCs w:val="20"/>
                <w:color w:val="auto"/>
              </w:rPr>
            </w:pPr>
            <w:r>
              <w:rPr>
                <w:rFonts w:ascii="Arial" w:cs="Arial" w:eastAsia="Arial" w:hAnsi="Arial"/>
                <w:sz w:val="13"/>
                <w:szCs w:val="13"/>
                <w:b w:val="1"/>
                <w:bCs w:val="1"/>
                <w:color w:val="auto"/>
              </w:rPr>
              <w:t>change</w:t>
            </w: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38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jc w:val="right"/>
              <w:ind w:right="446"/>
              <w:spacing w:after="0"/>
              <w:rPr>
                <w:sz w:val="20"/>
                <w:szCs w:val="20"/>
                <w:color w:val="auto"/>
              </w:rPr>
            </w:pPr>
            <w:r>
              <w:rPr>
                <w:rFonts w:ascii="Arial" w:cs="Arial" w:eastAsia="Arial" w:hAnsi="Arial"/>
                <w:sz w:val="13"/>
                <w:szCs w:val="13"/>
                <w:color w:val="auto"/>
              </w:rPr>
              <w:t>(dollars in millions)</w:t>
            </w:r>
          </w:p>
        </w:tc>
        <w:tc>
          <w:tcPr>
            <w:tcW w:w="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Insurance</w:t>
            </w:r>
          </w:p>
        </w:tc>
        <w:tc>
          <w:tcPr>
            <w:tcW w:w="1140" w:type="dxa"/>
            <w:vAlign w:val="bottom"/>
            <w:shd w:val="clear" w:color="auto" w:fill="CCEEFF"/>
          </w:tcPr>
          <w:p>
            <w:pPr>
              <w:jc w:val="right"/>
              <w:ind w:right="60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103.3</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06"/>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center"/>
              <w:ind w:left="745"/>
              <w:spacing w:after="0"/>
              <w:rPr>
                <w:sz w:val="20"/>
                <w:szCs w:val="20"/>
                <w:color w:val="auto"/>
              </w:rPr>
            </w:pPr>
            <w:r>
              <w:rPr>
                <w:rFonts w:ascii="Arial" w:cs="Arial" w:eastAsia="Arial" w:hAnsi="Arial"/>
                <w:sz w:val="16"/>
                <w:szCs w:val="16"/>
                <w:color w:val="auto"/>
                <w:w w:val="89"/>
              </w:rPr>
              <w:t>13.3</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840" w:type="dxa"/>
            <w:vAlign w:val="bottom"/>
          </w:tcPr>
          <w:p>
            <w:pPr>
              <w:ind w:left="360"/>
              <w:spacing w:after="0"/>
              <w:rPr>
                <w:sz w:val="20"/>
                <w:szCs w:val="20"/>
                <w:color w:val="auto"/>
              </w:rPr>
            </w:pPr>
            <w:r>
              <w:rPr>
                <w:rFonts w:ascii="Arial" w:cs="Arial" w:eastAsia="Arial" w:hAnsi="Arial"/>
                <w:sz w:val="16"/>
                <w:szCs w:val="16"/>
                <w:color w:val="auto"/>
              </w:rPr>
              <w:t>Healthcare</w:t>
            </w:r>
          </w:p>
        </w:tc>
        <w:tc>
          <w:tcPr>
            <w:tcW w:w="1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ind w:left="720"/>
              <w:spacing w:after="0"/>
              <w:rPr>
                <w:sz w:val="20"/>
                <w:szCs w:val="20"/>
                <w:color w:val="auto"/>
              </w:rPr>
            </w:pPr>
            <w:r>
              <w:rPr>
                <w:rFonts w:ascii="Arial" w:cs="Arial" w:eastAsia="Arial" w:hAnsi="Arial"/>
                <w:sz w:val="16"/>
                <w:szCs w:val="16"/>
                <w:color w:val="auto"/>
                <w:w w:val="91"/>
              </w:rPr>
              <w:t>(4.1)</w:t>
            </w:r>
          </w:p>
        </w:tc>
        <w:tc>
          <w:tcPr>
            <w:tcW w:w="100" w:type="dxa"/>
            <w:vAlign w:val="bottom"/>
          </w:tcPr>
          <w:p>
            <w:pPr>
              <w:spacing w:after="0"/>
              <w:rPr>
                <w:sz w:val="17"/>
                <w:szCs w:val="17"/>
                <w:color w:val="auto"/>
              </w:rPr>
            </w:pPr>
          </w:p>
        </w:tc>
        <w:tc>
          <w:tcPr>
            <w:tcW w:w="1580" w:type="dxa"/>
            <w:vAlign w:val="bottom"/>
          </w:tcPr>
          <w:p>
            <w:pPr>
              <w:jc w:val="center"/>
              <w:ind w:left="725"/>
              <w:spacing w:after="0"/>
              <w:rPr>
                <w:sz w:val="20"/>
                <w:szCs w:val="20"/>
                <w:color w:val="auto"/>
              </w:rPr>
            </w:pPr>
            <w:r>
              <w:rPr>
                <w:rFonts w:ascii="Arial" w:cs="Arial" w:eastAsia="Arial" w:hAnsi="Arial"/>
                <w:sz w:val="16"/>
                <w:szCs w:val="16"/>
                <w:color w:val="auto"/>
                <w:w w:val="90"/>
              </w:rPr>
              <w:t>(13.6)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Emerging Business</w:t>
            </w: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center"/>
              <w:ind w:left="745"/>
              <w:spacing w:after="0"/>
              <w:rPr>
                <w:sz w:val="20"/>
                <w:szCs w:val="20"/>
                <w:color w:val="auto"/>
              </w:rPr>
            </w:pPr>
            <w:r>
              <w:rPr>
                <w:rFonts w:ascii="Arial" w:cs="Arial" w:eastAsia="Arial" w:hAnsi="Arial"/>
                <w:sz w:val="16"/>
                <w:szCs w:val="16"/>
                <w:color w:val="auto"/>
                <w:w w:val="89"/>
              </w:rPr>
              <w:t>34.7</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8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Analytics</w:t>
            </w:r>
          </w:p>
        </w:tc>
        <w:tc>
          <w:tcPr>
            <w:tcW w:w="1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149.0</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102.3</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center"/>
              <w:ind w:left="745"/>
              <w:spacing w:after="0"/>
              <w:rPr>
                <w:sz w:val="20"/>
                <w:szCs w:val="20"/>
                <w:color w:val="auto"/>
              </w:rPr>
            </w:pPr>
            <w:r>
              <w:rPr>
                <w:rFonts w:ascii="Arial" w:cs="Arial" w:eastAsia="Arial" w:hAnsi="Arial"/>
                <w:sz w:val="16"/>
                <w:szCs w:val="16"/>
                <w:color w:val="auto"/>
                <w:w w:val="89"/>
              </w:rPr>
              <w:t>45.7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840" w:type="dxa"/>
            <w:vAlign w:val="bottom"/>
            <w:tcBorders>
              <w:bottom w:val="single" w:sz="8" w:color="CCEEFF"/>
            </w:tcBorders>
            <w:shd w:val="clear" w:color="auto" w:fill="CCEEFF"/>
          </w:tcPr>
          <w:p>
            <w:pPr>
              <w:ind w:left="360"/>
              <w:spacing w:after="0" w:line="181" w:lineRule="exact"/>
              <w:rPr>
                <w:sz w:val="20"/>
                <w:szCs w:val="20"/>
                <w:color w:val="auto"/>
              </w:rPr>
            </w:pPr>
            <w:r>
              <w:rPr>
                <w:rFonts w:ascii="Arial" w:cs="Arial" w:eastAsia="Arial" w:hAnsi="Arial"/>
                <w:sz w:val="16"/>
                <w:szCs w:val="16"/>
                <w:color w:val="auto"/>
              </w:rPr>
              <w:t>Total revenues, net</w:t>
            </w:r>
          </w:p>
        </w:tc>
        <w:tc>
          <w:tcPr>
            <w:tcW w:w="1140" w:type="dxa"/>
            <w:vAlign w:val="bottom"/>
            <w:tcBorders>
              <w:bottom w:val="single" w:sz="8" w:color="auto"/>
            </w:tcBorders>
            <w:shd w:val="clear" w:color="auto" w:fill="CCEEFF"/>
          </w:tcPr>
          <w:p>
            <w:pPr>
              <w:jc w:val="right"/>
              <w:ind w:right="60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329.2</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06"/>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261.4</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67.8</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center"/>
              <w:ind w:left="745"/>
              <w:spacing w:after="0"/>
              <w:rPr>
                <w:sz w:val="20"/>
                <w:szCs w:val="20"/>
                <w:color w:val="auto"/>
              </w:rPr>
            </w:pPr>
            <w:r>
              <w:rPr>
                <w:rFonts w:ascii="Arial" w:cs="Arial" w:eastAsia="Arial" w:hAnsi="Arial"/>
                <w:sz w:val="16"/>
                <w:szCs w:val="16"/>
                <w:color w:val="auto"/>
                <w:w w:val="89"/>
              </w:rPr>
              <w:t>25.9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both"/>
        <w:ind w:firstLine="356"/>
        <w:spacing w:after="0" w:line="239" w:lineRule="auto"/>
        <w:rPr>
          <w:sz w:val="20"/>
          <w:szCs w:val="20"/>
          <w:color w:val="auto"/>
        </w:rPr>
      </w:pPr>
      <w:r>
        <w:rPr>
          <w:rFonts w:ascii="Arial" w:cs="Arial" w:eastAsia="Arial" w:hAnsi="Arial"/>
          <w:sz w:val="16"/>
          <w:szCs w:val="16"/>
          <w:color w:val="auto"/>
        </w:rPr>
        <w:t>Revenues for the three months ended March 31, 2022 were $329.2 million, up $67.8 million, or 25.9%, compared to the three months ended March 31, 2021, driven primarily by revenue growth in Analytics.</w:t>
      </w:r>
    </w:p>
    <w:p>
      <w:pPr>
        <w:spacing w:after="0" w:line="192" w:lineRule="exact"/>
        <w:rPr>
          <w:sz w:val="20"/>
          <w:szCs w:val="20"/>
          <w:color w:val="auto"/>
        </w:rPr>
      </w:pPr>
    </w:p>
    <w:p>
      <w:pPr>
        <w:jc w:val="both"/>
        <w:ind w:right="20" w:firstLine="356"/>
        <w:spacing w:after="0" w:line="239" w:lineRule="auto"/>
        <w:rPr>
          <w:sz w:val="20"/>
          <w:szCs w:val="20"/>
          <w:color w:val="auto"/>
        </w:rPr>
      </w:pPr>
      <w:r>
        <w:rPr>
          <w:rFonts w:ascii="Arial" w:cs="Arial" w:eastAsia="Arial" w:hAnsi="Arial"/>
          <w:sz w:val="16"/>
          <w:szCs w:val="16"/>
          <w:color w:val="auto"/>
        </w:rPr>
        <w:t>Revenue growth in Insurance of $12.2 million was primarily driven by expansion of business from our new and existing clients aggregating to $12.7 million. This was partially offset by $0.5 million mainly attributable to the depreciation of the Australian dollar and the Indian rupee against the U.S. dollar during the three months ended March 31, 2022, compared to the three months ended March 31, 2021. Insurance revenues were 31.4% and 34.9% of our total revenues during the three months ended March 31, 2022 and March 31, 2021, respectively.</w:t>
      </w:r>
    </w:p>
    <w:p>
      <w:pPr>
        <w:spacing w:after="0" w:line="182" w:lineRule="exact"/>
        <w:rPr>
          <w:sz w:val="20"/>
          <w:szCs w:val="20"/>
          <w:color w:val="auto"/>
        </w:rPr>
      </w:pPr>
    </w:p>
    <w:p>
      <w:pPr>
        <w:jc w:val="both"/>
        <w:ind w:right="20" w:firstLine="356"/>
        <w:spacing w:after="0" w:line="232" w:lineRule="auto"/>
        <w:rPr>
          <w:sz w:val="20"/>
          <w:szCs w:val="20"/>
          <w:color w:val="auto"/>
        </w:rPr>
      </w:pPr>
      <w:r>
        <w:rPr>
          <w:rFonts w:ascii="Arial" w:cs="Arial" w:eastAsia="Arial" w:hAnsi="Arial"/>
          <w:sz w:val="16"/>
          <w:szCs w:val="16"/>
          <w:color w:val="auto"/>
        </w:rPr>
        <w:t>Revenue decline in Healthcare of $4.1 million was primarily driven by termination of certain client contracts aggregating to $7.2 million, partially offset by expansion of business from our existing clients aggregating to $3.1 million during the three months ended March 31, 2022. Healthcare revenues were 7.9% and 11.6% of our total revenues during the three months ended March 31, 2022 and March 31, 2021, respectively.</w:t>
      </w:r>
    </w:p>
    <w:p>
      <w:pPr>
        <w:spacing w:after="0" w:line="179" w:lineRule="exact"/>
        <w:rPr>
          <w:sz w:val="20"/>
          <w:szCs w:val="20"/>
          <w:color w:val="auto"/>
        </w:rPr>
      </w:pPr>
    </w:p>
    <w:p>
      <w:pPr>
        <w:jc w:val="both"/>
        <w:ind w:firstLine="356"/>
        <w:spacing w:after="0" w:line="216" w:lineRule="auto"/>
        <w:rPr>
          <w:sz w:val="20"/>
          <w:szCs w:val="20"/>
          <w:color w:val="auto"/>
        </w:rPr>
      </w:pPr>
      <w:r>
        <w:rPr>
          <w:rFonts w:ascii="Arial" w:cs="Arial" w:eastAsia="Arial" w:hAnsi="Arial"/>
          <w:sz w:val="16"/>
          <w:szCs w:val="16"/>
          <w:color w:val="auto"/>
        </w:rPr>
        <w:t>Revenue growth in Emerging Business of $13.0 million was primarily driven by expansion of business from our new and existing clients of $13.6 million. This was partially offset by $0.6 million mainly attributable to the depreciation of the U.K. pound sterling and the Indian rupee against the U.S. dollar during the three months ended March 31, 2022, compared to the three months ended March 31, 2021. Emerging Business revenues were 15.4% and 14.4% of our total revenues during the three months ended March 31, 2022 and March 31, 2021, respectively.</w:t>
      </w:r>
    </w:p>
    <w:p>
      <w:pPr>
        <w:spacing w:after="0" w:line="181" w:lineRule="exact"/>
        <w:rPr>
          <w:sz w:val="20"/>
          <w:szCs w:val="20"/>
          <w:color w:val="auto"/>
        </w:rPr>
      </w:pPr>
    </w:p>
    <w:p>
      <w:pPr>
        <w:jc w:val="both"/>
        <w:ind w:firstLine="356"/>
        <w:spacing w:after="0" w:line="261" w:lineRule="auto"/>
        <w:rPr>
          <w:sz w:val="20"/>
          <w:szCs w:val="20"/>
          <w:color w:val="auto"/>
        </w:rPr>
      </w:pPr>
      <w:r>
        <w:rPr>
          <w:rFonts w:ascii="Arial" w:cs="Arial" w:eastAsia="Arial" w:hAnsi="Arial"/>
          <w:sz w:val="15"/>
          <w:szCs w:val="15"/>
          <w:color w:val="auto"/>
        </w:rPr>
        <w:t>Revenue growth in Analytics of $46.7 million was attributable to the higher volumes in our annuity and project based engagements from our new and existing clients of $36.9 million, and contribution from our acquisition of Clairvoyant in December 2021 of $10.2 million. This was partially offset by $0.4 million mainly attributable to the depreciation of the U.K. pound sterling against the U.S. dollar during the three months ended March 31, 2022, compared to the three months ended March 31, 2021. Analytics revenues were 45.3% and 39.1% of our total revenues during the three months ended March 31, 2022 and March 31, 2021, respectively.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44" w:name="page45"/>
    <w:bookmarkEnd w:id="4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Cost of Revenues and Gross Margin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table sets forth cost of revenues and gross margin of our reportable segments.</w:t>
      </w:r>
    </w:p>
    <w:p>
      <w:pPr>
        <w:spacing w:after="0" w:line="228" w:lineRule="exact"/>
        <w:rPr>
          <w:sz w:val="20"/>
          <w:szCs w:val="20"/>
          <w:color w:val="auto"/>
        </w:rPr>
      </w:pPr>
    </w:p>
    <w:tbl>
      <w:tblPr>
        <w:tblLayout w:type="fixed"/>
        <w:tblInd w:w="38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Cost of Revenues</w:t>
            </w: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500"/>
              <w:spacing w:after="0"/>
              <w:rPr>
                <w:sz w:val="20"/>
                <w:szCs w:val="20"/>
                <w:color w:val="auto"/>
              </w:rPr>
            </w:pPr>
            <w:r>
              <w:rPr>
                <w:rFonts w:ascii="Arial" w:cs="Arial" w:eastAsia="Arial" w:hAnsi="Arial"/>
                <w:sz w:val="13"/>
                <w:szCs w:val="13"/>
                <w:b w:val="1"/>
                <w:bCs w:val="1"/>
                <w:color w:val="auto"/>
              </w:rPr>
              <w:t>Gross Margin</w:t>
            </w: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4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w w:val="94"/>
              </w:rPr>
              <w:t>Three months ended March 31,</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3"/>
            <w:vMerge w:val="restart"/>
          </w:tcPr>
          <w:p>
            <w:pPr>
              <w:ind w:left="540"/>
              <w:spacing w:after="0"/>
              <w:rPr>
                <w:sz w:val="20"/>
                <w:szCs w:val="20"/>
                <w:color w:val="auto"/>
              </w:rPr>
            </w:pPr>
            <w:r>
              <w:rPr>
                <w:rFonts w:ascii="Arial" w:cs="Arial" w:eastAsia="Arial" w:hAnsi="Arial"/>
                <w:sz w:val="13"/>
                <w:szCs w:val="13"/>
                <w:b w:val="1"/>
                <w:bCs w:val="1"/>
                <w:color w:val="auto"/>
              </w:rPr>
              <w:t>Percentage</w:t>
            </w:r>
          </w:p>
        </w:tc>
        <w:tc>
          <w:tcPr>
            <w:tcW w:w="2420" w:type="dxa"/>
            <w:vAlign w:val="bottom"/>
            <w:gridSpan w:val="4"/>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Change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3"/>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1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vMerge w:val="restart"/>
          </w:tcPr>
          <w:p>
            <w:pPr>
              <w:jc w:val="right"/>
              <w:ind w:right="65"/>
              <w:spacing w:after="0"/>
              <w:rPr>
                <w:sz w:val="20"/>
                <w:szCs w:val="20"/>
                <w:color w:val="auto"/>
              </w:rPr>
            </w:pPr>
            <w:r>
              <w:rPr>
                <w:rFonts w:ascii="Arial" w:cs="Arial" w:eastAsia="Arial" w:hAnsi="Arial"/>
                <w:sz w:val="13"/>
                <w:szCs w:val="13"/>
                <w:b w:val="1"/>
                <w:bCs w:val="1"/>
                <w:color w:val="auto"/>
              </w:rPr>
              <w:t>change</w:t>
            </w: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vMerge w:val="restart"/>
          </w:tcPr>
          <w:p>
            <w:pPr>
              <w:jc w:val="right"/>
              <w:ind w:right="287"/>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vMerge w:val="restart"/>
          </w:tcPr>
          <w:p>
            <w:pPr>
              <w:jc w:val="right"/>
              <w:ind w:right="285"/>
              <w:spacing w:after="0"/>
              <w:rPr>
                <w:sz w:val="20"/>
                <w:szCs w:val="20"/>
                <w:color w:val="auto"/>
              </w:rPr>
            </w:pPr>
            <w:r>
              <w:rPr>
                <w:rFonts w:ascii="Arial" w:cs="Arial" w:eastAsia="Arial" w:hAnsi="Arial"/>
                <w:sz w:val="13"/>
                <w:szCs w:val="13"/>
                <w:b w:val="1"/>
                <w:bCs w:val="1"/>
                <w:color w:val="auto"/>
                <w:w w:val="89"/>
              </w:rPr>
              <w:t>2021</w:t>
            </w: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Change</w:t>
            </w:r>
          </w:p>
        </w:tc>
        <w:tc>
          <w:tcPr>
            <w:tcW w:w="9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vMerge w:val="restart"/>
          </w:tcPr>
          <w:p>
            <w:pPr>
              <w:jc w:val="right"/>
              <w:ind w:right="243"/>
              <w:spacing w:after="0"/>
              <w:rPr>
                <w:sz w:val="20"/>
                <w:szCs w:val="20"/>
                <w:color w:val="auto"/>
              </w:rPr>
            </w:pPr>
            <w:r>
              <w:rPr>
                <w:rFonts w:ascii="Arial" w:cs="Arial" w:eastAsia="Arial" w:hAnsi="Arial"/>
                <w:sz w:val="13"/>
                <w:szCs w:val="13"/>
                <w:b w:val="1"/>
                <w:bCs w:val="1"/>
                <w:color w:val="auto"/>
                <w:w w:val="82"/>
              </w:rPr>
              <w:t>2022</w:t>
            </w:r>
          </w:p>
        </w:tc>
        <w:tc>
          <w:tcPr>
            <w:tcW w:w="80" w:type="dxa"/>
            <w:vAlign w:val="bottom"/>
          </w:tcPr>
          <w:p>
            <w:pPr>
              <w:spacing w:after="0"/>
              <w:rPr>
                <w:sz w:val="4"/>
                <w:szCs w:val="4"/>
                <w:color w:val="auto"/>
              </w:rPr>
            </w:pPr>
          </w:p>
        </w:tc>
        <w:tc>
          <w:tcPr>
            <w:tcW w:w="1060" w:type="dxa"/>
            <w:vAlign w:val="bottom"/>
            <w:vMerge w:val="restart"/>
          </w:tcPr>
          <w:p>
            <w:pPr>
              <w:jc w:val="right"/>
              <w:ind w:right="25"/>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114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Arial" w:cs="Arial" w:eastAsia="Arial" w:hAnsi="Arial"/>
                <w:sz w:val="13"/>
                <w:szCs w:val="13"/>
                <w:b w:val="1"/>
                <w:bCs w:val="1"/>
                <w:color w:val="auto"/>
              </w:rPr>
              <w:t>(dollars in millions)</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420"/>
              <w:spacing w:after="0"/>
              <w:rPr>
                <w:sz w:val="20"/>
                <w:szCs w:val="20"/>
                <w:color w:val="auto"/>
              </w:rPr>
            </w:pPr>
            <w:r>
              <w:rPr>
                <w:rFonts w:ascii="Arial" w:cs="Arial" w:eastAsia="Arial" w:hAnsi="Arial"/>
                <w:sz w:val="16"/>
                <w:szCs w:val="16"/>
                <w:color w:val="auto"/>
                <w:w w:val="99"/>
              </w:rPr>
              <w:t>Insurance</w:t>
            </w: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7"/>
              <w:spacing w:after="0"/>
              <w:rPr>
                <w:sz w:val="20"/>
                <w:szCs w:val="20"/>
                <w:color w:val="auto"/>
              </w:rPr>
            </w:pPr>
            <w:r>
              <w:rPr>
                <w:rFonts w:ascii="Arial" w:cs="Arial" w:eastAsia="Arial" w:hAnsi="Arial"/>
                <w:sz w:val="16"/>
                <w:szCs w:val="16"/>
                <w:color w:val="auto"/>
              </w:rPr>
              <w:t>65.1</w:t>
            </w:r>
          </w:p>
        </w:tc>
        <w:tc>
          <w:tcPr>
            <w:tcW w:w="80" w:type="dxa"/>
            <w:vAlign w:val="bottom"/>
          </w:tcPr>
          <w:p>
            <w:pPr>
              <w:spacing w:after="0"/>
              <w:rPr>
                <w:sz w:val="17"/>
                <w:szCs w:val="17"/>
                <w:color w:val="auto"/>
              </w:rPr>
            </w:pPr>
          </w:p>
        </w:tc>
        <w:tc>
          <w:tcPr>
            <w:tcW w:w="7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5"/>
              <w:spacing w:after="0"/>
              <w:rPr>
                <w:sz w:val="20"/>
                <w:szCs w:val="20"/>
                <w:color w:val="auto"/>
              </w:rPr>
            </w:pPr>
            <w:r>
              <w:rPr>
                <w:rFonts w:ascii="Arial" w:cs="Arial" w:eastAsia="Arial" w:hAnsi="Arial"/>
                <w:sz w:val="16"/>
                <w:szCs w:val="16"/>
                <w:color w:val="auto"/>
              </w:rPr>
              <w:t>56.1</w:t>
            </w:r>
          </w:p>
        </w:tc>
        <w:tc>
          <w:tcPr>
            <w:tcW w:w="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9.0</w:t>
            </w:r>
          </w:p>
        </w:tc>
        <w:tc>
          <w:tcPr>
            <w:tcW w:w="60" w:type="dxa"/>
            <w:vAlign w:val="bottom"/>
          </w:tcPr>
          <w:p>
            <w:pPr>
              <w:spacing w:after="0"/>
              <w:rPr>
                <w:sz w:val="17"/>
                <w:szCs w:val="17"/>
                <w:color w:val="auto"/>
              </w:rPr>
            </w:pPr>
          </w:p>
        </w:tc>
        <w:tc>
          <w:tcPr>
            <w:tcW w:w="960" w:type="dxa"/>
            <w:vAlign w:val="bottom"/>
          </w:tcPr>
          <w:p>
            <w:pPr>
              <w:jc w:val="right"/>
              <w:ind w:right="205"/>
              <w:spacing w:after="0"/>
              <w:rPr>
                <w:sz w:val="20"/>
                <w:szCs w:val="20"/>
                <w:color w:val="auto"/>
              </w:rPr>
            </w:pPr>
            <w:r>
              <w:rPr>
                <w:rFonts w:ascii="Arial" w:cs="Arial" w:eastAsia="Arial" w:hAnsi="Arial"/>
                <w:sz w:val="16"/>
                <w:szCs w:val="16"/>
                <w:color w:val="auto"/>
              </w:rPr>
              <w:t>16.0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37.0</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tcPr>
          <w:p>
            <w:pPr>
              <w:jc w:val="right"/>
              <w:ind w:right="285"/>
              <w:spacing w:after="0"/>
              <w:rPr>
                <w:sz w:val="20"/>
                <w:szCs w:val="20"/>
                <w:color w:val="auto"/>
              </w:rPr>
            </w:pPr>
            <w:r>
              <w:rPr>
                <w:rFonts w:ascii="Arial" w:cs="Arial" w:eastAsia="Arial" w:hAnsi="Arial"/>
                <w:sz w:val="16"/>
                <w:szCs w:val="16"/>
                <w:color w:val="auto"/>
              </w:rPr>
              <w:t>38.5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40" w:type="dxa"/>
            <w:vAlign w:val="bottom"/>
          </w:tcPr>
          <w:p>
            <w:pPr>
              <w:jc w:val="right"/>
              <w:ind w:right="243"/>
              <w:spacing w:after="0"/>
              <w:rPr>
                <w:sz w:val="20"/>
                <w:szCs w:val="20"/>
                <w:color w:val="auto"/>
              </w:rPr>
            </w:pPr>
            <w:r>
              <w:rPr>
                <w:rFonts w:ascii="Arial" w:cs="Arial" w:eastAsia="Arial" w:hAnsi="Arial"/>
                <w:sz w:val="16"/>
                <w:szCs w:val="16"/>
                <w:color w:val="auto"/>
              </w:rPr>
              <w:t>(1.5)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0"/>
              </w:rPr>
              <w:t>Healthcare</w:t>
            </w: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17.6</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17.4</w:t>
            </w: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0.2</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05"/>
              <w:spacing w:after="0"/>
              <w:rPr>
                <w:sz w:val="20"/>
                <w:szCs w:val="20"/>
                <w:color w:val="auto"/>
              </w:rPr>
            </w:pPr>
            <w:r>
              <w:rPr>
                <w:rFonts w:ascii="Arial" w:cs="Arial" w:eastAsia="Arial" w:hAnsi="Arial"/>
                <w:sz w:val="16"/>
                <w:szCs w:val="16"/>
                <w:color w:val="auto"/>
              </w:rPr>
              <w:t>1.5</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5"/>
              <w:spacing w:after="0"/>
              <w:rPr>
                <w:sz w:val="20"/>
                <w:szCs w:val="20"/>
                <w:color w:val="auto"/>
              </w:rPr>
            </w:pPr>
            <w:r>
              <w:rPr>
                <w:rFonts w:ascii="Arial" w:cs="Arial" w:eastAsia="Arial" w:hAnsi="Arial"/>
                <w:sz w:val="16"/>
                <w:szCs w:val="16"/>
                <w:color w:val="auto"/>
              </w:rPr>
              <w:t>42.5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43"/>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4"/>
        </w:trPr>
        <w:tc>
          <w:tcPr>
            <w:tcW w:w="1140" w:type="dxa"/>
            <w:vAlign w:val="bottom"/>
          </w:tcPr>
          <w:p>
            <w:pPr>
              <w:ind w:left="420"/>
              <w:spacing w:after="0" w:line="155" w:lineRule="exact"/>
              <w:rPr>
                <w:sz w:val="20"/>
                <w:szCs w:val="20"/>
                <w:color w:val="auto"/>
              </w:rPr>
            </w:pPr>
            <w:r>
              <w:rPr>
                <w:rFonts w:ascii="Arial" w:cs="Arial" w:eastAsia="Arial" w:hAnsi="Arial"/>
                <w:sz w:val="16"/>
                <w:szCs w:val="16"/>
                <w:color w:val="auto"/>
              </w:rPr>
              <w:t>Emerging</w:t>
            </w:r>
          </w:p>
        </w:tc>
        <w:tc>
          <w:tcPr>
            <w:tcW w:w="620" w:type="dxa"/>
            <w:vAlign w:val="bottom"/>
          </w:tcPr>
          <w:p>
            <w:pPr>
              <w:spacing w:after="0"/>
              <w:rPr>
                <w:sz w:val="13"/>
                <w:szCs w:val="13"/>
                <w:color w:val="auto"/>
              </w:rPr>
            </w:pPr>
          </w:p>
        </w:tc>
        <w:tc>
          <w:tcPr>
            <w:tcW w:w="740" w:type="dxa"/>
            <w:vAlign w:val="bottom"/>
            <w:vMerge w:val="restart"/>
          </w:tcPr>
          <w:p>
            <w:pPr>
              <w:jc w:val="right"/>
              <w:ind w:right="27"/>
              <w:spacing w:after="0"/>
              <w:rPr>
                <w:sz w:val="20"/>
                <w:szCs w:val="20"/>
                <w:color w:val="auto"/>
              </w:rPr>
            </w:pPr>
            <w:r>
              <w:rPr>
                <w:rFonts w:ascii="Arial" w:cs="Arial" w:eastAsia="Arial" w:hAnsi="Arial"/>
                <w:sz w:val="16"/>
                <w:szCs w:val="16"/>
                <w:color w:val="auto"/>
              </w:rPr>
              <w:t>29.2</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vMerge w:val="restart"/>
          </w:tcPr>
          <w:p>
            <w:pPr>
              <w:jc w:val="right"/>
              <w:ind w:right="45"/>
              <w:spacing w:after="0"/>
              <w:rPr>
                <w:sz w:val="20"/>
                <w:szCs w:val="20"/>
                <w:color w:val="auto"/>
              </w:rPr>
            </w:pPr>
            <w:r>
              <w:rPr>
                <w:rFonts w:ascii="Arial" w:cs="Arial" w:eastAsia="Arial" w:hAnsi="Arial"/>
                <w:sz w:val="16"/>
                <w:szCs w:val="16"/>
                <w:color w:val="auto"/>
              </w:rPr>
              <w:t>20.8</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vMerge w:val="restart"/>
          </w:tcPr>
          <w:p>
            <w:pPr>
              <w:jc w:val="right"/>
              <w:ind w:right="3"/>
              <w:spacing w:after="0"/>
              <w:rPr>
                <w:sz w:val="20"/>
                <w:szCs w:val="20"/>
                <w:color w:val="auto"/>
              </w:rPr>
            </w:pPr>
            <w:r>
              <w:rPr>
                <w:rFonts w:ascii="Arial" w:cs="Arial" w:eastAsia="Arial" w:hAnsi="Arial"/>
                <w:sz w:val="16"/>
                <w:szCs w:val="16"/>
                <w:color w:val="auto"/>
              </w:rPr>
              <w:t>8.4</w:t>
            </w:r>
          </w:p>
        </w:tc>
        <w:tc>
          <w:tcPr>
            <w:tcW w:w="60" w:type="dxa"/>
            <w:vAlign w:val="bottom"/>
          </w:tcPr>
          <w:p>
            <w:pPr>
              <w:spacing w:after="0"/>
              <w:rPr>
                <w:sz w:val="13"/>
                <w:szCs w:val="13"/>
                <w:color w:val="auto"/>
              </w:rPr>
            </w:pPr>
          </w:p>
        </w:tc>
        <w:tc>
          <w:tcPr>
            <w:tcW w:w="960" w:type="dxa"/>
            <w:vAlign w:val="bottom"/>
            <w:vMerge w:val="restart"/>
          </w:tcPr>
          <w:p>
            <w:pPr>
              <w:jc w:val="right"/>
              <w:ind w:right="205"/>
              <w:spacing w:after="0"/>
              <w:rPr>
                <w:sz w:val="20"/>
                <w:szCs w:val="20"/>
                <w:color w:val="auto"/>
              </w:rPr>
            </w:pPr>
            <w:r>
              <w:rPr>
                <w:rFonts w:ascii="Arial" w:cs="Arial" w:eastAsia="Arial" w:hAnsi="Arial"/>
                <w:sz w:val="16"/>
                <w:szCs w:val="16"/>
                <w:color w:val="auto"/>
              </w:rPr>
              <w:t>40.2</w:t>
            </w: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42.4</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060" w:type="dxa"/>
            <w:vAlign w:val="bottom"/>
            <w:vMerge w:val="restart"/>
          </w:tcPr>
          <w:p>
            <w:pPr>
              <w:jc w:val="right"/>
              <w:ind w:right="285"/>
              <w:spacing w:after="0"/>
              <w:rPr>
                <w:sz w:val="20"/>
                <w:szCs w:val="20"/>
                <w:color w:val="auto"/>
              </w:rPr>
            </w:pPr>
            <w:r>
              <w:rPr>
                <w:rFonts w:ascii="Arial" w:cs="Arial" w:eastAsia="Arial" w:hAnsi="Arial"/>
                <w:sz w:val="16"/>
                <w:szCs w:val="16"/>
                <w:color w:val="auto"/>
              </w:rPr>
              <w:t>44.7</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140" w:type="dxa"/>
            <w:vAlign w:val="bottom"/>
            <w:vMerge w:val="restart"/>
          </w:tcPr>
          <w:p>
            <w:pPr>
              <w:jc w:val="right"/>
              <w:ind w:right="243"/>
              <w:spacing w:after="0"/>
              <w:rPr>
                <w:sz w:val="20"/>
                <w:szCs w:val="20"/>
                <w:color w:val="auto"/>
              </w:rPr>
            </w:pPr>
            <w:r>
              <w:rPr>
                <w:rFonts w:ascii="Arial" w:cs="Arial" w:eastAsia="Arial" w:hAnsi="Arial"/>
                <w:sz w:val="16"/>
                <w:szCs w:val="16"/>
                <w:color w:val="auto"/>
              </w:rPr>
              <w:t>(2.3)</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1140" w:type="dxa"/>
            <w:vAlign w:val="bottom"/>
          </w:tcPr>
          <w:p>
            <w:pPr>
              <w:ind w:left="20"/>
              <w:spacing w:after="0"/>
              <w:rPr>
                <w:sz w:val="20"/>
                <w:szCs w:val="20"/>
                <w:color w:val="auto"/>
              </w:rPr>
            </w:pPr>
            <w:r>
              <w:rPr>
                <w:rFonts w:ascii="Arial" w:cs="Arial" w:eastAsia="Arial" w:hAnsi="Arial"/>
                <w:sz w:val="16"/>
                <w:szCs w:val="16"/>
                <w:color w:val="auto"/>
              </w:rPr>
              <w:t>Business</w:t>
            </w:r>
          </w:p>
        </w:tc>
        <w:tc>
          <w:tcPr>
            <w:tcW w:w="6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Analytics</w:t>
            </w:r>
          </w:p>
        </w:tc>
        <w:tc>
          <w:tcPr>
            <w:tcW w:w="6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95.6</w:t>
            </w: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64.5</w:t>
            </w:r>
          </w:p>
        </w:tc>
        <w:tc>
          <w:tcPr>
            <w:tcW w:w="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31.1</w:t>
            </w:r>
          </w:p>
        </w:tc>
        <w:tc>
          <w:tcPr>
            <w:tcW w:w="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6"/>
                <w:szCs w:val="16"/>
                <w:color w:val="auto"/>
              </w:rPr>
              <w:t>48.2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6"/>
                <w:szCs w:val="16"/>
                <w:color w:val="auto"/>
              </w:rPr>
              <w:t>37.0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140" w:type="dxa"/>
            <w:vAlign w:val="bottom"/>
          </w:tcPr>
          <w:p>
            <w:pPr>
              <w:ind w:left="420"/>
              <w:spacing w:after="0" w:line="181" w:lineRule="exact"/>
              <w:rPr>
                <w:sz w:val="20"/>
                <w:szCs w:val="20"/>
                <w:color w:val="auto"/>
              </w:rPr>
            </w:pPr>
            <w:r>
              <w:rPr>
                <w:rFonts w:ascii="Arial" w:cs="Arial" w:eastAsia="Arial" w:hAnsi="Arial"/>
                <w:sz w:val="16"/>
                <w:szCs w:val="16"/>
                <w:color w:val="auto"/>
              </w:rPr>
              <w:t>Total</w:t>
            </w:r>
          </w:p>
        </w:tc>
        <w:tc>
          <w:tcPr>
            <w:tcW w:w="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color w:val="auto"/>
              </w:rPr>
              <w:t>207.5</w:t>
            </w:r>
          </w:p>
        </w:tc>
        <w:tc>
          <w:tcPr>
            <w:tcW w:w="80" w:type="dxa"/>
            <w:vAlign w:val="bottom"/>
          </w:tcPr>
          <w:p>
            <w:pPr>
              <w:spacing w:after="0"/>
              <w:rPr>
                <w:sz w:val="16"/>
                <w:szCs w:val="16"/>
                <w:color w:val="auto"/>
              </w:rPr>
            </w:pPr>
          </w:p>
        </w:tc>
        <w:tc>
          <w:tcPr>
            <w:tcW w:w="7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158.8</w:t>
            </w:r>
          </w:p>
        </w:tc>
        <w:tc>
          <w:tcPr>
            <w:tcW w:w="6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48.7</w:t>
            </w:r>
          </w:p>
        </w:tc>
        <w:tc>
          <w:tcPr>
            <w:tcW w:w="60" w:type="dxa"/>
            <w:vAlign w:val="bottom"/>
          </w:tcPr>
          <w:p>
            <w:pPr>
              <w:spacing w:after="0"/>
              <w:rPr>
                <w:sz w:val="16"/>
                <w:szCs w:val="16"/>
                <w:color w:val="auto"/>
              </w:rPr>
            </w:pPr>
          </w:p>
        </w:tc>
        <w:tc>
          <w:tcPr>
            <w:tcW w:w="96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color w:val="auto"/>
              </w:rPr>
              <w:t>30.7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6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color w:val="auto"/>
              </w:rPr>
              <w:t>39.2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14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rPr>
              <w:t>(2.2)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ind w:firstLine="356"/>
        <w:spacing w:after="0" w:line="258" w:lineRule="auto"/>
        <w:rPr>
          <w:sz w:val="20"/>
          <w:szCs w:val="20"/>
          <w:color w:val="auto"/>
        </w:rPr>
      </w:pPr>
      <w:r>
        <w:rPr>
          <w:rFonts w:ascii="Arial" w:cs="Arial" w:eastAsia="Arial" w:hAnsi="Arial"/>
          <w:sz w:val="16"/>
          <w:szCs w:val="16"/>
          <w:color w:val="auto"/>
        </w:rPr>
        <w:t>For the three months ended March 31, 2022, cost of revenues was $207.5 million, compared to $158.8 million for the three months ended March 31, 2021, an increase of $48.7 million, or 30.7%. Our gross margin for the three months ended March 31, 2022 was 37.0%, compared to 39.2% for the three months ended March 31, 2021, a decrease of 220 basis points (“bps”).</w:t>
      </w:r>
    </w:p>
    <w:p>
      <w:pPr>
        <w:spacing w:after="0" w:line="179" w:lineRule="exact"/>
        <w:rPr>
          <w:sz w:val="20"/>
          <w:szCs w:val="20"/>
          <w:color w:val="auto"/>
        </w:rPr>
      </w:pPr>
    </w:p>
    <w:p>
      <w:pPr>
        <w:jc w:val="both"/>
        <w:ind w:firstLine="356"/>
        <w:spacing w:after="0" w:line="225" w:lineRule="auto"/>
        <w:rPr>
          <w:sz w:val="20"/>
          <w:szCs w:val="20"/>
          <w:color w:val="auto"/>
        </w:rPr>
      </w:pPr>
      <w:r>
        <w:rPr>
          <w:rFonts w:ascii="Arial" w:cs="Arial" w:eastAsia="Arial" w:hAnsi="Arial"/>
          <w:sz w:val="16"/>
          <w:szCs w:val="16"/>
          <w:color w:val="auto"/>
        </w:rPr>
        <w:t>The increase in cost of revenues in Insurance of $9.0 million during the three months ended March 31, 2022 was primarily due to increases in employee-related costs of $8.2 million on account of higher headcount, performance incentives and wage inflation, and higher technology costs of $1.3 million on account of increased leverage of remote work model, partially offset by foreign exchange gain, net of hedging of $0.5 million. Gross margin in Insurance decreased by 150 bps during the three months ended March 31, 2022, compared to the three months ended March 31, 2021, primarily due to higher employee-related costs during the three months ended March 31, 2022, compared to the three months ended March 31, 2021.</w:t>
      </w:r>
    </w:p>
    <w:p>
      <w:pPr>
        <w:spacing w:after="0" w:line="183" w:lineRule="exact"/>
        <w:rPr>
          <w:sz w:val="20"/>
          <w:szCs w:val="20"/>
          <w:color w:val="auto"/>
        </w:rPr>
      </w:pPr>
    </w:p>
    <w:p>
      <w:pPr>
        <w:jc w:val="both"/>
        <w:ind w:firstLine="356"/>
        <w:spacing w:after="0" w:line="267" w:lineRule="auto"/>
        <w:rPr>
          <w:sz w:val="20"/>
          <w:szCs w:val="20"/>
          <w:color w:val="auto"/>
        </w:rPr>
      </w:pPr>
      <w:r>
        <w:rPr>
          <w:rFonts w:ascii="Arial" w:cs="Arial" w:eastAsia="Arial" w:hAnsi="Arial"/>
          <w:sz w:val="14"/>
          <w:szCs w:val="14"/>
          <w:color w:val="auto"/>
        </w:rPr>
        <w:t>The increase in cost of revenues in Healthcare of $0.2 million during the three months ended March 31, 2022 was primarily due to increases in employee-related costs of $0.6 million on account of wage inflation and higher performance incentives, partially offset by lower travel costs of $0.4 million. Gross margin in Healthcare decreased by 1,000 bps during the three months ended March 31, 2022, compared to the three months ended March 31, 2021, primarily due to lower revenues and higher operating expenses associated with the termination of client contracts during the three months ended March 31, 2022, compared to the three months ended March 31, 2021.</w:t>
      </w:r>
    </w:p>
    <w:p>
      <w:pPr>
        <w:spacing w:after="0" w:line="174" w:lineRule="exact"/>
        <w:rPr>
          <w:sz w:val="20"/>
          <w:szCs w:val="20"/>
          <w:color w:val="auto"/>
        </w:rPr>
      </w:pPr>
    </w:p>
    <w:p>
      <w:pPr>
        <w:jc w:val="both"/>
        <w:ind w:firstLine="356"/>
        <w:spacing w:after="0" w:line="280" w:lineRule="auto"/>
        <w:rPr>
          <w:sz w:val="20"/>
          <w:szCs w:val="20"/>
          <w:color w:val="auto"/>
        </w:rPr>
      </w:pPr>
      <w:r>
        <w:rPr>
          <w:rFonts w:ascii="Arial" w:cs="Arial" w:eastAsia="Arial" w:hAnsi="Arial"/>
          <w:sz w:val="14"/>
          <w:szCs w:val="14"/>
          <w:color w:val="auto"/>
        </w:rPr>
        <w:t>The increase in cost of revenues in Emerging Business of $8.4 million during the three months ended March 31, 2022 was primarily due to increases in employee-related costs of $7.5 million on account of higher headcount, performance incentives and wage inflation, higher technology costs of $1.2 million on account of increased leverage of remote work model and higher travel costs $0.5 million, partially offset by foreign exchange gain, net of hedging $0.8 million. Gross margin in Emerging Business decreased by 230 bps during the three months ended March 31, 2022, compared to the three months ended March 31, 2021, primarily due to lower margins in certain new clients due to ramp-ups and higher employee-related costs during the three months ended March 31, 2022, compared to the three months ended March 31, 2021.</w:t>
      </w:r>
    </w:p>
    <w:p>
      <w:pPr>
        <w:spacing w:after="0" w:line="153" w:lineRule="exact"/>
        <w:rPr>
          <w:sz w:val="20"/>
          <w:szCs w:val="20"/>
          <w:color w:val="auto"/>
        </w:rPr>
      </w:pPr>
    </w:p>
    <w:p>
      <w:pPr>
        <w:jc w:val="both"/>
        <w:ind w:firstLine="356"/>
        <w:spacing w:after="0" w:line="239" w:lineRule="auto"/>
        <w:rPr>
          <w:sz w:val="20"/>
          <w:szCs w:val="20"/>
          <w:color w:val="auto"/>
        </w:rPr>
      </w:pPr>
      <w:r>
        <w:rPr>
          <w:rFonts w:ascii="Arial" w:cs="Arial" w:eastAsia="Arial" w:hAnsi="Arial"/>
          <w:sz w:val="15"/>
          <w:szCs w:val="15"/>
          <w:color w:val="auto"/>
        </w:rPr>
        <w:t>The increase in cost of revenues in Analytics of $31.1 million during the three months ended March 31, 2022 was primarily due to increases in employee-related costs of $28.1 million on account of higher headcount, performance incentives and wage inflation, including incremental cost related to our acquisition of Clairvoyant in December 2021 of $7.0 million. The remaining increase was attributable to higher travel costs $1.0 million, higher technology costs of $0.5 million on account of increased leverage of remote work model and higher other operating costs of $2.4 million. This was partially offset by foreign exchange gain, net of hedging of $0.9 million. Gross margin in Analytics decreased by 110 bps during the three months ended March 31, 2022, compared to the three months ended March 31, 2021, primarily due to higher employee-related costs during the three months ended March 31, 2022, compared to the three months ended March 31, 2021.</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45" w:name="page46"/>
    <w:bookmarkEnd w:id="4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Selling, General and Administrative (“SG&amp;A”) Expenses.</w:t>
      </w:r>
    </w:p>
    <w:p>
      <w:pPr>
        <w:spacing w:after="0" w:line="141" w:lineRule="exact"/>
        <w:rPr>
          <w:sz w:val="20"/>
          <w:szCs w:val="20"/>
          <w:color w:val="auto"/>
        </w:rPr>
      </w:pPr>
    </w:p>
    <w:tbl>
      <w:tblPr>
        <w:tblLayout w:type="fixed"/>
        <w:tblInd w:w="220" w:type="dxa"/>
        <w:tblCellMar>
          <w:top w:w="0" w:type="dxa"/>
          <w:left w:w="0" w:type="dxa"/>
          <w:bottom w:w="0" w:type="dxa"/>
          <w:right w:w="0" w:type="dxa"/>
        </w:tblCellMar>
      </w:tblPr>
      <w:tr>
        <w:trPr>
          <w:trHeight w:val="165"/>
        </w:trPr>
        <w:tc>
          <w:tcPr>
            <w:tcW w:w="5160" w:type="dxa"/>
            <w:vAlign w:val="bottom"/>
          </w:tcPr>
          <w:p>
            <w:pPr>
              <w:spacing w:after="0"/>
              <w:rPr>
                <w:sz w:val="14"/>
                <w:szCs w:val="14"/>
                <w:color w:val="auto"/>
              </w:rPr>
            </w:pPr>
          </w:p>
        </w:tc>
        <w:tc>
          <w:tcPr>
            <w:tcW w:w="2440" w:type="dxa"/>
            <w:vAlign w:val="bottom"/>
            <w:gridSpan w:val="4"/>
          </w:tcPr>
          <w:p>
            <w:pPr>
              <w:jc w:val="center"/>
              <w:ind w:left="469"/>
              <w:spacing w:after="0"/>
              <w:rPr>
                <w:sz w:val="20"/>
                <w:szCs w:val="20"/>
                <w:color w:val="auto"/>
              </w:rPr>
            </w:pPr>
            <w:r>
              <w:rPr>
                <w:rFonts w:ascii="Arial" w:cs="Arial" w:eastAsia="Arial" w:hAnsi="Arial"/>
                <w:sz w:val="13"/>
                <w:szCs w:val="13"/>
                <w:b w:val="1"/>
                <w:bCs w:val="1"/>
                <w:color w:val="auto"/>
                <w:w w:val="88"/>
              </w:rPr>
              <w:t>Three months ended March 31,</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Change</w:t>
            </w:r>
          </w:p>
        </w:tc>
        <w:tc>
          <w:tcPr>
            <w:tcW w:w="1400" w:type="dxa"/>
            <w:vAlign w:val="bottom"/>
            <w:vMerge w:val="restart"/>
          </w:tcPr>
          <w:p>
            <w:pPr>
              <w:jc w:val="right"/>
              <w:ind w:right="327"/>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5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0" w:type="dxa"/>
            <w:vAlign w:val="bottom"/>
            <w:vMerge w:val="restart"/>
          </w:tcPr>
          <w:p>
            <w:pPr>
              <w:jc w:val="right"/>
              <w:ind w:right="427"/>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2022</w:t>
            </w: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5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51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51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5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gridSpan w:val="3"/>
          </w:tcPr>
          <w:p>
            <w:pPr>
              <w:jc w:val="center"/>
              <w:ind w:right="286"/>
              <w:spacing w:after="0"/>
              <w:rPr>
                <w:sz w:val="20"/>
                <w:szCs w:val="20"/>
                <w:color w:val="auto"/>
              </w:rPr>
            </w:pPr>
            <w:r>
              <w:rPr>
                <w:rFonts w:ascii="Arial" w:cs="Arial" w:eastAsia="Arial" w:hAnsi="Arial"/>
                <w:sz w:val="13"/>
                <w:szCs w:val="13"/>
                <w:b w:val="1"/>
                <w:bCs w:val="1"/>
                <w:color w:val="auto"/>
                <w:w w:val="88"/>
              </w:rPr>
              <w:t>(dollars in millions)</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900" w:type="dxa"/>
            <w:vAlign w:val="bottom"/>
            <w:shd w:val="clear" w:color="auto" w:fill="CCEEFF"/>
          </w:tcPr>
          <w:p>
            <w:pPr>
              <w:jc w:val="right"/>
              <w:ind w:right="72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39.9</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46"/>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30.1 %</w:t>
            </w:r>
          </w:p>
        </w:tc>
        <w:tc>
          <w:tcPr>
            <w:tcW w:w="0" w:type="dxa"/>
            <w:vAlign w:val="bottom"/>
          </w:tcPr>
          <w:p>
            <w:pPr>
              <w:spacing w:after="0"/>
              <w:rPr>
                <w:sz w:val="1"/>
                <w:szCs w:val="1"/>
                <w:color w:val="auto"/>
              </w:rPr>
            </w:pPr>
          </w:p>
        </w:tc>
      </w:tr>
      <w:tr>
        <w:trPr>
          <w:trHeight w:val="201"/>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and marketing expenses</w:t>
            </w: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32.5 %</w:t>
            </w: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Selling, general and administrative expenses</w:t>
            </w:r>
          </w:p>
        </w:tc>
        <w:tc>
          <w:tcPr>
            <w:tcW w:w="90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64.1</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46"/>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As a percentage of revenues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ind w:left="40"/>
              <w:spacing w:after="0" w:line="169" w:lineRule="exact"/>
              <w:rPr>
                <w:sz w:val="20"/>
                <w:szCs w:val="20"/>
                <w:color w:val="auto"/>
              </w:rPr>
            </w:pPr>
            <w:r>
              <w:rPr>
                <w:rFonts w:ascii="Arial" w:cs="Arial" w:eastAsia="Arial" w:hAnsi="Arial"/>
                <w:sz w:val="16"/>
                <w:szCs w:val="16"/>
                <w:color w:val="auto"/>
                <w:w w:val="92"/>
              </w:rPr>
              <w:t>19.5 %</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ind w:left="60"/>
              <w:spacing w:after="0" w:line="169" w:lineRule="exact"/>
              <w:rPr>
                <w:sz w:val="20"/>
                <w:szCs w:val="20"/>
                <w:color w:val="auto"/>
              </w:rPr>
            </w:pPr>
            <w:r>
              <w:rPr>
                <w:rFonts w:ascii="Arial" w:cs="Arial" w:eastAsia="Arial" w:hAnsi="Arial"/>
                <w:sz w:val="16"/>
                <w:szCs w:val="16"/>
                <w:color w:val="auto"/>
                <w:w w:val="88"/>
              </w:rPr>
              <w:t>18.7 %</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jc w:val="both"/>
        <w:ind w:firstLine="356"/>
        <w:spacing w:after="0" w:line="239" w:lineRule="auto"/>
        <w:rPr>
          <w:sz w:val="20"/>
          <w:szCs w:val="20"/>
          <w:color w:val="auto"/>
        </w:rPr>
      </w:pPr>
      <w:r>
        <w:rPr>
          <w:rFonts w:ascii="Arial" w:cs="Arial" w:eastAsia="Arial" w:hAnsi="Arial"/>
          <w:sz w:val="16"/>
          <w:szCs w:val="16"/>
          <w:color w:val="auto"/>
        </w:rPr>
        <w:t>The increase in SG&amp;A expenses of $15.2 million was primarily due to higher employee-related costs of $13.0 million on account of higher headcount, performance incentives and wage inflation, including incremental cost related to our acquisition of Clairvoyant in December 2021, increase in technology cost of $0.7 million on account of continued investments in digital capabilities, higher travel costs $0.6 million and other operating costs of $1.5 million, partially offset by foreign exchange gain, net of hedging of $0.6 million.</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41"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2440" w:type="dxa"/>
            <w:vAlign w:val="bottom"/>
            <w:gridSpan w:val="4"/>
          </w:tcPr>
          <w:p>
            <w:pPr>
              <w:jc w:val="right"/>
              <w:ind w:right="26"/>
              <w:spacing w:after="0"/>
              <w:rPr>
                <w:sz w:val="20"/>
                <w:szCs w:val="20"/>
                <w:color w:val="auto"/>
              </w:rPr>
            </w:pPr>
            <w:r>
              <w:rPr>
                <w:rFonts w:ascii="Arial" w:cs="Arial" w:eastAsia="Arial" w:hAnsi="Arial"/>
                <w:sz w:val="13"/>
                <w:szCs w:val="13"/>
                <w:b w:val="1"/>
                <w:bCs w:val="1"/>
                <w:color w:val="auto"/>
              </w:rPr>
              <w:t>Three months ended March 31,</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Change</w:t>
            </w:r>
          </w:p>
        </w:tc>
        <w:tc>
          <w:tcPr>
            <w:tcW w:w="1420" w:type="dxa"/>
            <w:vAlign w:val="bottom"/>
          </w:tcPr>
          <w:p>
            <w:pPr>
              <w:jc w:val="right"/>
              <w:ind w:right="349"/>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48"/>
        </w:trPr>
        <w:tc>
          <w:tcPr>
            <w:tcW w:w="52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20" w:type="dxa"/>
            <w:vAlign w:val="bottom"/>
            <w:vMerge w:val="restart"/>
          </w:tcPr>
          <w:p>
            <w:pPr>
              <w:jc w:val="right"/>
              <w:ind w:right="44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97"/>
        </w:trPr>
        <w:tc>
          <w:tcPr>
            <w:tcW w:w="522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2022</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5220" w:type="dxa"/>
            <w:vAlign w:val="bottom"/>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5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gridSpan w:val="3"/>
          </w:tcPr>
          <w:p>
            <w:pPr>
              <w:jc w:val="right"/>
              <w:ind w:right="346"/>
              <w:spacing w:after="0"/>
              <w:rPr>
                <w:sz w:val="20"/>
                <w:szCs w:val="20"/>
                <w:color w:val="auto"/>
              </w:rPr>
            </w:pPr>
            <w:r>
              <w:rPr>
                <w:rFonts w:ascii="Arial" w:cs="Arial" w:eastAsia="Arial" w:hAnsi="Arial"/>
                <w:sz w:val="13"/>
                <w:szCs w:val="13"/>
                <w:b w:val="1"/>
                <w:bCs w:val="1"/>
                <w:color w:val="auto"/>
                <w:w w:val="92"/>
              </w:rPr>
              <w:t>(dollars in millions)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w:t>
            </w:r>
          </w:p>
        </w:tc>
        <w:tc>
          <w:tcPr>
            <w:tcW w:w="900" w:type="dxa"/>
            <w:vAlign w:val="bottom"/>
            <w:shd w:val="clear" w:color="auto" w:fill="CCEEFF"/>
          </w:tcPr>
          <w:p>
            <w:pPr>
              <w:jc w:val="right"/>
              <w:ind w:right="72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6"/>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01"/>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amortization expense</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33.5 %</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Depreciation and amortization expense</w:t>
            </w:r>
          </w:p>
        </w:tc>
        <w:tc>
          <w:tcPr>
            <w:tcW w:w="90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26"/>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As a percentage of revenues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6"/>
                <w:szCs w:val="16"/>
                <w:color w:val="auto"/>
              </w:rPr>
              <w:t>4.1 %</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6"/>
                <w:szCs w:val="16"/>
                <w:color w:val="auto"/>
              </w:rPr>
              <w:t>4.6 %</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jc w:val="both"/>
        <w:ind w:firstLine="356"/>
        <w:spacing w:after="0" w:line="236" w:lineRule="auto"/>
        <w:rPr>
          <w:sz w:val="20"/>
          <w:szCs w:val="20"/>
          <w:color w:val="auto"/>
        </w:rPr>
      </w:pPr>
      <w:r>
        <w:rPr>
          <w:rFonts w:ascii="Arial" w:cs="Arial" w:eastAsia="Arial" w:hAnsi="Arial"/>
          <w:sz w:val="16"/>
          <w:szCs w:val="16"/>
          <w:color w:val="auto"/>
        </w:rPr>
        <w:t>The increase in intangibles amortization expense of $1.1 million was primarily due to amortization of intangibles associated with our acquisition of Clairvoyant in December 2021, partially offset by decrease in intangibles amortization expense due to end of useful lives for certain intangible assets during the three months ended March 31, 2022, compared to the three months ended March 31, 2021. The increase in depreciation expense of $0.4 million was primarily due to depreciation related to our investments in new operating centers and internally developed software of $0.5 million, partially offset by foreign exchange gain, net of hedging $0.1 million, during the three months ended March 31, 2022, compared to the three months ended March 31, 2021.</w:t>
      </w:r>
    </w:p>
    <w:p>
      <w:pPr>
        <w:jc w:val="both"/>
        <w:ind w:right="20" w:firstLine="356"/>
        <w:spacing w:after="0" w:line="235" w:lineRule="auto"/>
        <w:rPr>
          <w:sz w:val="20"/>
          <w:szCs w:val="20"/>
          <w:color w:val="auto"/>
        </w:rPr>
      </w:pPr>
      <w:r>
        <w:rPr>
          <w:rFonts w:ascii="Arial" w:cs="Arial" w:eastAsia="Arial" w:hAnsi="Arial"/>
          <w:sz w:val="16"/>
          <w:szCs w:val="16"/>
          <w:b w:val="1"/>
          <w:bCs w:val="1"/>
          <w:i w:val="1"/>
          <w:iCs w:val="1"/>
          <w:color w:val="auto"/>
        </w:rPr>
        <w:t xml:space="preserve">Income from Operations. </w:t>
      </w:r>
      <w:r>
        <w:rPr>
          <w:rFonts w:ascii="Arial" w:cs="Arial" w:eastAsia="Arial" w:hAnsi="Arial"/>
          <w:sz w:val="16"/>
          <w:szCs w:val="16"/>
          <w:color w:val="auto"/>
        </w:rPr>
        <w:t>Income from operations increased by $2.4 million, or 5.8%, from $41.6 million for the three months ended March 31, 2021 to $44.0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March 31, 2022, primarily due to higher revenues, partially offset by higher cost of revenues and higher SG&amp;A expenses during the three months ended March 31, 2022. As a percentage of revenues, income from operations decreased from 15.9% for the three months ended March 31, 2021 to 13.4% for the three months ended March 31, 2022.</w:t>
      </w:r>
    </w:p>
    <w:p>
      <w:pPr>
        <w:spacing w:after="0" w:line="192" w:lineRule="exact"/>
        <w:rPr>
          <w:sz w:val="20"/>
          <w:szCs w:val="20"/>
          <w:color w:val="auto"/>
        </w:rPr>
      </w:pPr>
    </w:p>
    <w:p>
      <w:pPr>
        <w:jc w:val="both"/>
        <w:ind w:right="20" w:firstLine="356"/>
        <w:spacing w:after="0" w:line="236" w:lineRule="auto"/>
        <w:rPr>
          <w:sz w:val="20"/>
          <w:szCs w:val="20"/>
          <w:color w:val="auto"/>
        </w:rPr>
      </w:pPr>
      <w:r>
        <w:rPr>
          <w:rFonts w:ascii="Arial" w:cs="Arial" w:eastAsia="Arial" w:hAnsi="Arial"/>
          <w:sz w:val="16"/>
          <w:szCs w:val="16"/>
          <w:b w:val="1"/>
          <w:bCs w:val="1"/>
          <w:i w:val="1"/>
          <w:iCs w:val="1"/>
          <w:color w:val="auto"/>
        </w:rPr>
        <w:t xml:space="preserve">Foreign Exchange Gain/(Loss). </w:t>
      </w:r>
      <w:r>
        <w:rPr>
          <w:rFonts w:ascii="Arial" w:cs="Arial" w:eastAsia="Arial" w:hAnsi="Arial"/>
          <w:sz w:val="16"/>
          <w:szCs w:val="16"/>
          <w:color w:val="auto"/>
        </w:rPr>
        <w:t>Foreign exchange gains and losses are primarily attributable to the movement of the U.S. dollar against the Indian rupee, the U.K. pound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sterling, the Philippine peso and the South African ZAR during the three months ended March 31, 2022. The average exchange rate of the U.S. dollar against the Indian rupee increased from 73.17 during the three months ended March 31, 2021 to 75.25 during the three months ended March 31, 2022. The average exchange rate of the U.K. pound sterling against the U.S. dollar decreased from 1.38 during the three months ended March 31, 2021 to 1.33 during the three months ended March 31, 2022. The average exchange rate of the U.S. dollar against the Philippine peso increased from 48.39 during the three months ended March 31, 2021 to 51.32 during the three months ended March 31, 2022. The average exchange rate of the U.S. dollar against the South African ZAR increased from 15.02 during the three months ended March 31, 2021 to 15.15 during the three months ended March 31, 2022.</w:t>
      </w:r>
    </w:p>
    <w:p>
      <w:pPr>
        <w:spacing w:after="0" w:line="194" w:lineRule="exact"/>
        <w:rPr>
          <w:sz w:val="20"/>
          <w:szCs w:val="20"/>
          <w:color w:val="auto"/>
        </w:rPr>
      </w:pPr>
    </w:p>
    <w:p>
      <w:pPr>
        <w:jc w:val="both"/>
        <w:ind w:right="20" w:firstLine="356"/>
        <w:spacing w:after="0" w:line="254" w:lineRule="auto"/>
        <w:rPr>
          <w:sz w:val="20"/>
          <w:szCs w:val="20"/>
          <w:color w:val="auto"/>
        </w:rPr>
      </w:pPr>
      <w:r>
        <w:rPr>
          <w:rFonts w:ascii="Arial" w:cs="Arial" w:eastAsia="Arial" w:hAnsi="Arial"/>
          <w:sz w:val="16"/>
          <w:szCs w:val="16"/>
          <w:color w:val="auto"/>
        </w:rPr>
        <w:t>We recorded a net foreign exchange gain of $1.8 million for the three months ended March 31, 2022 compared to the net foreign exchange gain of $0.4 million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46" w:name="page47"/>
    <w:bookmarkEnd w:id="4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56"/>
        <w:spacing w:after="0" w:line="228"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decreased from $2.5 million for the three months ended March 31, 2021 to $0.9 million for the three months ended March 31, 2022,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due to settlement of outstanding obligations under the Notes (as defined under Note 17 – Borrowings-Convertible Senior Notes to our unaudited consolidated financial statements”) on August 27, 2021, and lower effective interest rates of 1.3% under our Credit Facility during the three months ended March 31, 2022, compared to 2.0% during the three months ended March 31, 2021.</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Other Income, net.</w:t>
      </w:r>
    </w:p>
    <w:p>
      <w:pPr>
        <w:spacing w:after="0" w:line="33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306"/>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4"/>
        </w:trPr>
        <w:tc>
          <w:tcPr>
            <w:tcW w:w="55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70"/>
              <w:spacing w:after="0"/>
              <w:rPr>
                <w:sz w:val="20"/>
                <w:szCs w:val="20"/>
                <w:color w:val="auto"/>
              </w:rPr>
            </w:pPr>
            <w:r>
              <w:rPr>
                <w:rFonts w:ascii="Arial" w:cs="Arial" w:eastAsia="Arial" w:hAnsi="Arial"/>
                <w:sz w:val="13"/>
                <w:szCs w:val="13"/>
                <w:b w:val="1"/>
                <w:bCs w:val="1"/>
                <w:color w:val="auto"/>
              </w:rPr>
              <w:t>2021</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Arial" w:cs="Arial" w:eastAsia="Arial" w:hAnsi="Arial"/>
                <w:sz w:val="13"/>
                <w:szCs w:val="13"/>
                <w:b w:val="1"/>
                <w:bCs w:val="1"/>
                <w:color w:val="auto"/>
              </w:rPr>
              <w:t>Change</w:t>
            </w:r>
          </w:p>
        </w:tc>
        <w:tc>
          <w:tcPr>
            <w:tcW w:w="1340" w:type="dxa"/>
            <w:vAlign w:val="bottom"/>
          </w:tcPr>
          <w:p>
            <w:pPr>
              <w:jc w:val="right"/>
              <w:ind w:right="406"/>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58"/>
        </w:trPr>
        <w:tc>
          <w:tcPr>
            <w:tcW w:w="558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gridSpan w:val="3"/>
          </w:tcPr>
          <w:p>
            <w:pPr>
              <w:jc w:val="right"/>
              <w:ind w:right="310"/>
              <w:spacing w:after="0"/>
              <w:rPr>
                <w:sz w:val="20"/>
                <w:szCs w:val="20"/>
                <w:color w:val="auto"/>
              </w:rPr>
            </w:pPr>
            <w:r>
              <w:rPr>
                <w:rFonts w:ascii="Arial" w:cs="Arial" w:eastAsia="Arial" w:hAnsi="Arial"/>
                <w:sz w:val="13"/>
                <w:szCs w:val="13"/>
                <w:b w:val="1"/>
                <w:bCs w:val="1"/>
                <w:color w:val="auto"/>
                <w:w w:val="87"/>
              </w:rPr>
              <w:t>(dollars in millions)</w:t>
            </w:r>
          </w:p>
        </w:tc>
        <w:tc>
          <w:tcPr>
            <w:tcW w:w="36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34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580" w:type="dxa"/>
            <w:vAlign w:val="bottom"/>
            <w:shd w:val="clear" w:color="auto" w:fill="CCEEFF"/>
          </w:tcPr>
          <w:p>
            <w:pPr>
              <w:ind w:left="20"/>
              <w:spacing w:after="0" w:line="136" w:lineRule="exact"/>
              <w:rPr>
                <w:sz w:val="20"/>
                <w:szCs w:val="20"/>
                <w:color w:val="auto"/>
              </w:rPr>
            </w:pPr>
            <w:r>
              <w:rPr>
                <w:rFonts w:ascii="Arial" w:cs="Arial" w:eastAsia="Arial" w:hAnsi="Arial"/>
                <w:sz w:val="15"/>
                <w:szCs w:val="15"/>
                <w:color w:val="auto"/>
              </w:rPr>
              <w:t>Gain on sale and mark-to-market of mutual funds and</w:t>
            </w:r>
          </w:p>
        </w:tc>
        <w:tc>
          <w:tcPr>
            <w:tcW w:w="720" w:type="dxa"/>
            <w:vAlign w:val="bottom"/>
            <w:vMerge w:val="restart"/>
            <w:shd w:val="clear" w:color="auto" w:fill="CCEEFF"/>
          </w:tcPr>
          <w:p>
            <w:pPr>
              <w:jc w:val="right"/>
              <w:ind w:right="549"/>
              <w:spacing w:after="0"/>
              <w:rPr>
                <w:sz w:val="20"/>
                <w:szCs w:val="20"/>
                <w:color w:val="auto"/>
              </w:rPr>
            </w:pPr>
            <w:r>
              <w:rPr>
                <w:rFonts w:ascii="Arial" w:cs="Arial" w:eastAsia="Arial" w:hAnsi="Arial"/>
                <w:sz w:val="16"/>
                <w:szCs w:val="16"/>
                <w:color w:val="auto"/>
                <w:w w:val="89"/>
              </w:rPr>
              <w:t>$</w:t>
            </w:r>
          </w:p>
        </w:tc>
        <w:tc>
          <w:tcPr>
            <w:tcW w:w="440" w:type="dxa"/>
            <w:vAlign w:val="bottom"/>
            <w:vMerge w:val="restart"/>
            <w:shd w:val="clear" w:color="auto" w:fill="CCEEFF"/>
          </w:tcPr>
          <w:p>
            <w:pPr>
              <w:jc w:val="center"/>
              <w:ind w:left="44"/>
              <w:spacing w:after="0"/>
              <w:rPr>
                <w:sz w:val="20"/>
                <w:szCs w:val="20"/>
                <w:color w:val="auto"/>
              </w:rPr>
            </w:pPr>
            <w:r>
              <w:rPr>
                <w:rFonts w:ascii="Arial" w:cs="Arial" w:eastAsia="Arial" w:hAnsi="Arial"/>
                <w:sz w:val="16"/>
                <w:szCs w:val="16"/>
                <w:color w:val="auto"/>
                <w:w w:val="89"/>
              </w:rPr>
              <w:t>1.2</w:t>
            </w:r>
          </w:p>
        </w:tc>
        <w:tc>
          <w:tcPr>
            <w:tcW w:w="1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730"/>
              <w:spacing w:after="0"/>
              <w:rPr>
                <w:sz w:val="20"/>
                <w:szCs w:val="20"/>
                <w:color w:val="auto"/>
              </w:rPr>
            </w:pPr>
            <w:r>
              <w:rPr>
                <w:rFonts w:ascii="Arial" w:cs="Arial" w:eastAsia="Arial" w:hAnsi="Arial"/>
                <w:sz w:val="15"/>
                <w:szCs w:val="15"/>
                <w:color w:val="auto"/>
                <w:w w:val="71"/>
              </w:rPr>
              <w:t>$</w:t>
            </w:r>
          </w:p>
        </w:tc>
        <w:tc>
          <w:tcPr>
            <w:tcW w:w="3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1.1</w:t>
            </w:r>
          </w:p>
        </w:tc>
        <w:tc>
          <w:tcPr>
            <w:tcW w:w="1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720" w:type="dxa"/>
            <w:vAlign w:val="bottom"/>
            <w:vMerge w:val="continue"/>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580" w:type="dxa"/>
            <w:vAlign w:val="bottom"/>
          </w:tcPr>
          <w:p>
            <w:pPr>
              <w:ind w:left="20"/>
              <w:spacing w:after="0"/>
              <w:rPr>
                <w:sz w:val="20"/>
                <w:szCs w:val="20"/>
                <w:color w:val="auto"/>
              </w:rPr>
            </w:pPr>
            <w:r>
              <w:rPr>
                <w:rFonts w:ascii="Arial" w:cs="Arial" w:eastAsia="Arial" w:hAnsi="Arial"/>
                <w:sz w:val="16"/>
                <w:szCs w:val="16"/>
                <w:color w:val="auto"/>
              </w:rPr>
              <w:t>Interest and dividend income</w:t>
            </w:r>
          </w:p>
        </w:tc>
        <w:tc>
          <w:tcPr>
            <w:tcW w:w="720" w:type="dxa"/>
            <w:vAlign w:val="bottom"/>
          </w:tcPr>
          <w:p>
            <w:pPr>
              <w:spacing w:after="0"/>
              <w:rPr>
                <w:sz w:val="17"/>
                <w:szCs w:val="17"/>
                <w:color w:val="auto"/>
              </w:rPr>
            </w:pPr>
          </w:p>
        </w:tc>
        <w:tc>
          <w:tcPr>
            <w:tcW w:w="440" w:type="dxa"/>
            <w:vAlign w:val="bottom"/>
          </w:tcPr>
          <w:p>
            <w:pPr>
              <w:jc w:val="center"/>
              <w:ind w:left="44"/>
              <w:spacing w:after="0"/>
              <w:rPr>
                <w:sz w:val="20"/>
                <w:szCs w:val="20"/>
                <w:color w:val="auto"/>
              </w:rPr>
            </w:pPr>
            <w:r>
              <w:rPr>
                <w:rFonts w:ascii="Arial" w:cs="Arial" w:eastAsia="Arial" w:hAnsi="Arial"/>
                <w:sz w:val="16"/>
                <w:szCs w:val="16"/>
                <w:color w:val="auto"/>
                <w:w w:val="89"/>
              </w:rPr>
              <w:t>1.4</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127.6 %</w:t>
            </w: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7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center"/>
              <w:ind w:left="24"/>
              <w:spacing w:after="0"/>
              <w:rPr>
                <w:sz w:val="20"/>
                <w:szCs w:val="20"/>
                <w:color w:val="auto"/>
              </w:rPr>
            </w:pPr>
            <w:r>
              <w:rPr>
                <w:rFonts w:ascii="Arial" w:cs="Arial" w:eastAsia="Arial" w:hAnsi="Arial"/>
                <w:sz w:val="16"/>
                <w:szCs w:val="16"/>
                <w:color w:val="auto"/>
                <w:w w:val="91"/>
              </w:rPr>
              <w:t>(0.2)</w:t>
            </w:r>
          </w:p>
        </w:tc>
        <w:tc>
          <w:tcPr>
            <w:tcW w:w="1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(0.3)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193"/>
        </w:trPr>
        <w:tc>
          <w:tcPr>
            <w:tcW w:w="5580" w:type="dxa"/>
            <w:vAlign w:val="bottom"/>
          </w:tcPr>
          <w:p>
            <w:pPr>
              <w:ind w:left="20"/>
              <w:spacing w:after="0" w:line="181" w:lineRule="exact"/>
              <w:rPr>
                <w:sz w:val="20"/>
                <w:szCs w:val="20"/>
                <w:color w:val="auto"/>
              </w:rPr>
            </w:pPr>
            <w:r>
              <w:rPr>
                <w:rFonts w:ascii="Arial" w:cs="Arial" w:eastAsia="Arial" w:hAnsi="Arial"/>
                <w:sz w:val="16"/>
                <w:szCs w:val="16"/>
                <w:color w:val="auto"/>
              </w:rPr>
              <w:t>Other income, net</w:t>
            </w:r>
          </w:p>
        </w:tc>
        <w:tc>
          <w:tcPr>
            <w:tcW w:w="720" w:type="dxa"/>
            <w:vAlign w:val="bottom"/>
            <w:tcBorders>
              <w:bottom w:val="single" w:sz="8" w:color="auto"/>
            </w:tcBorders>
          </w:tcPr>
          <w:p>
            <w:pPr>
              <w:jc w:val="right"/>
              <w:ind w:right="54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center"/>
              <w:ind w:left="44"/>
              <w:spacing w:after="0"/>
              <w:rPr>
                <w:sz w:val="20"/>
                <w:szCs w:val="20"/>
                <w:color w:val="auto"/>
              </w:rPr>
            </w:pPr>
            <w:r>
              <w:rPr>
                <w:rFonts w:ascii="Arial" w:cs="Arial" w:eastAsia="Arial" w:hAnsi="Arial"/>
                <w:sz w:val="16"/>
                <w:szCs w:val="16"/>
                <w:color w:val="auto"/>
                <w:w w:val="89"/>
              </w:rPr>
              <w:t>2.4</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ind w:right="730"/>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1.4</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71.0 %</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both"/>
        <w:ind w:firstLine="356"/>
        <w:spacing w:after="0" w:line="325" w:lineRule="auto"/>
        <w:rPr>
          <w:sz w:val="20"/>
          <w:szCs w:val="20"/>
          <w:color w:val="auto"/>
        </w:rPr>
      </w:pPr>
      <w:r>
        <w:rPr>
          <w:rFonts w:ascii="Arial" w:cs="Arial" w:eastAsia="Arial" w:hAnsi="Arial"/>
          <w:sz w:val="14"/>
          <w:szCs w:val="14"/>
          <w:color w:val="auto"/>
        </w:rPr>
        <w:t>Other income, net increased by $1.0 million, from $1.4 million for the three months ended March 31, 2021 to $2.4 million for the three months ended March 31, 2022, primarily due to interest on income tax refunds of $0.7 million during the three months ended March 31, 2022, compared to the three months ended March 31, 2021.</w:t>
      </w:r>
    </w:p>
    <w:p>
      <w:pPr>
        <w:spacing w:after="0" w:line="122" w:lineRule="exact"/>
        <w:rPr>
          <w:sz w:val="20"/>
          <w:szCs w:val="20"/>
          <w:color w:val="auto"/>
        </w:rPr>
      </w:pPr>
    </w:p>
    <w:p>
      <w:pPr>
        <w:jc w:val="both"/>
        <w:ind w:right="20" w:firstLine="356"/>
        <w:spacing w:after="0" w:line="244" w:lineRule="auto"/>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The effective tax rate increased from 21.9% during the three months ended March 31, 2021 to 23.7% during the three months ended March 31, 2022.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recorded income tax expense of $11.2 million and $9.0 million for the three months ended March 31, 2022 and 2021, respectively. The increase in income tax expense was primarily as a result of higher profit during the three months ended March 31, 2022, compared to the three months ended March 31, 2021, and an increase in non-deductible expenses, partially offset by higher excess tax benefits during the three months ended March 31, 2022.</w:t>
      </w:r>
    </w:p>
    <w:p>
      <w:pPr>
        <w:spacing w:after="0" w:line="177" w:lineRule="exact"/>
        <w:rPr>
          <w:sz w:val="20"/>
          <w:szCs w:val="20"/>
          <w:color w:val="auto"/>
        </w:rPr>
      </w:pPr>
    </w:p>
    <w:p>
      <w:pPr>
        <w:jc w:val="both"/>
        <w:ind w:right="20" w:firstLine="356"/>
        <w:spacing w:after="0" w:line="228"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Net income increased from $31.9 million for the three months ended March 31, 2021 to $36.2 million for the three months ended March 31, 2022, primarily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due to increase in income from operations of $2.4 million, lower interest expense of $1.6 million, higher foreign exchange gain, net of $1.5 million, higher other income, net of $1.0 million, partially offset by higher income tax expense of $2.2 million. As a percentage of revenues, net income decreased from 12.2% for the three months ended March 31, 2021 to 11.0% for the three months ended March 31, 2022.</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224"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6900" w:type="dxa"/>
            <w:vAlign w:val="bottom"/>
          </w:tcPr>
          <w:p>
            <w:pPr>
              <w:spacing w:after="0"/>
              <w:rPr>
                <w:sz w:val="14"/>
                <w:szCs w:val="14"/>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r>
      <w:tr>
        <w:trPr>
          <w:trHeight w:val="162"/>
        </w:trPr>
        <w:tc>
          <w:tcPr>
            <w:tcW w:w="69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460" w:type="dxa"/>
            <w:vAlign w:val="bottom"/>
            <w:tcBorders>
              <w:bottom w:val="single" w:sz="8" w:color="auto"/>
            </w:tcBorders>
          </w:tcPr>
          <w:p>
            <w:pPr>
              <w:spacing w:after="0"/>
              <w:rPr>
                <w:sz w:val="14"/>
                <w:szCs w:val="14"/>
                <w:color w:val="auto"/>
              </w:rPr>
            </w:pPr>
          </w:p>
        </w:tc>
      </w:tr>
      <w:tr>
        <w:trPr>
          <w:trHeight w:val="158"/>
        </w:trPr>
        <w:tc>
          <w:tcPr>
            <w:tcW w:w="6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60" w:type="dxa"/>
            <w:vAlign w:val="bottom"/>
            <w:gridSpan w:val="3"/>
          </w:tcPr>
          <w:p>
            <w:pPr>
              <w:jc w:val="right"/>
              <w:ind w:right="306"/>
              <w:spacing w:after="0"/>
              <w:rPr>
                <w:sz w:val="20"/>
                <w:szCs w:val="20"/>
                <w:color w:val="auto"/>
              </w:rPr>
            </w:pPr>
            <w:r>
              <w:rPr>
                <w:rFonts w:ascii="Arial" w:cs="Arial" w:eastAsia="Arial" w:hAnsi="Arial"/>
                <w:sz w:val="13"/>
                <w:szCs w:val="13"/>
                <w:b w:val="1"/>
                <w:bCs w:val="1"/>
                <w:color w:val="auto"/>
                <w:w w:val="88"/>
              </w:rPr>
              <w:t>(dollars in millions)</w:t>
            </w:r>
          </w:p>
        </w:tc>
        <w:tc>
          <w:tcPr>
            <w:tcW w:w="460" w:type="dxa"/>
            <w:vAlign w:val="bottom"/>
          </w:tcPr>
          <w:p>
            <w:pPr>
              <w:spacing w:after="0"/>
              <w:rPr>
                <w:sz w:val="13"/>
                <w:szCs w:val="13"/>
                <w:color w:val="auto"/>
              </w:rPr>
            </w:pPr>
          </w:p>
        </w:tc>
      </w:tr>
      <w:tr>
        <w:trPr>
          <w:trHeight w:val="20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cash, cash equivalents and restricted cash</w:t>
            </w:r>
          </w:p>
        </w:tc>
        <w:tc>
          <w:tcPr>
            <w:tcW w:w="820" w:type="dxa"/>
            <w:vAlign w:val="bottom"/>
            <w:shd w:val="clear" w:color="auto" w:fill="CCEEFF"/>
          </w:tcPr>
          <w:p>
            <w:pPr>
              <w:jc w:val="right"/>
              <w:ind w:right="64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6"/>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225.5</w:t>
            </w:r>
          </w:p>
        </w:tc>
      </w:tr>
      <w:tr>
        <w:trPr>
          <w:trHeight w:val="201"/>
        </w:trPr>
        <w:tc>
          <w:tcPr>
            <w:tcW w:w="6900" w:type="dxa"/>
            <w:vAlign w:val="bottom"/>
          </w:tcPr>
          <w:p>
            <w:pPr>
              <w:ind w:left="20"/>
              <w:spacing w:after="0"/>
              <w:rPr>
                <w:sz w:val="20"/>
                <w:szCs w:val="20"/>
                <w:color w:val="auto"/>
              </w:rPr>
            </w:pPr>
            <w:r>
              <w:rPr>
                <w:rFonts w:ascii="Arial" w:cs="Arial" w:eastAsia="Arial" w:hAnsi="Arial"/>
                <w:sz w:val="16"/>
                <w:szCs w:val="16"/>
                <w:color w:val="auto"/>
              </w:rPr>
              <w:t>Net cash (used for)/provided by operating activities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0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for investing activities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r>
      <w:tr>
        <w:trPr>
          <w:trHeight w:val="201"/>
        </w:trPr>
        <w:tc>
          <w:tcPr>
            <w:tcW w:w="6900" w:type="dxa"/>
            <w:vAlign w:val="bottom"/>
          </w:tcPr>
          <w:p>
            <w:pPr>
              <w:ind w:left="20"/>
              <w:spacing w:after="0"/>
              <w:rPr>
                <w:sz w:val="20"/>
                <w:szCs w:val="20"/>
                <w:color w:val="auto"/>
              </w:rPr>
            </w:pPr>
            <w:r>
              <w:rPr>
                <w:rFonts w:ascii="Arial" w:cs="Arial" w:eastAsia="Arial" w:hAnsi="Arial"/>
                <w:sz w:val="16"/>
                <w:szCs w:val="16"/>
                <w:color w:val="auto"/>
              </w:rPr>
              <w:t>Net cash provided by/(used for) financing activities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20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w:t>
            </w: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193"/>
        </w:trPr>
        <w:tc>
          <w:tcPr>
            <w:tcW w:w="6900" w:type="dxa"/>
            <w:vAlign w:val="bottom"/>
          </w:tcPr>
          <w:p>
            <w:pPr>
              <w:ind w:left="20"/>
              <w:spacing w:after="0"/>
              <w:rPr>
                <w:sz w:val="20"/>
                <w:szCs w:val="20"/>
                <w:color w:val="auto"/>
              </w:rPr>
            </w:pPr>
            <w:r>
              <w:rPr>
                <w:rFonts w:ascii="Arial" w:cs="Arial" w:eastAsia="Arial" w:hAnsi="Arial"/>
                <w:sz w:val="16"/>
                <w:szCs w:val="16"/>
                <w:color w:val="auto"/>
              </w:rPr>
              <w:t>Closing cash, cash equivalents and restricted cash</w:t>
            </w:r>
          </w:p>
        </w:tc>
        <w:tc>
          <w:tcPr>
            <w:tcW w:w="820" w:type="dxa"/>
            <w:vAlign w:val="bottom"/>
            <w:tcBorders>
              <w:bottom w:val="single" w:sz="8" w:color="auto"/>
            </w:tcBorders>
          </w:tcPr>
          <w:p>
            <w:pPr>
              <w:jc w:val="right"/>
              <w:ind w:right="64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686"/>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184.7</w:t>
            </w:r>
          </w:p>
        </w:tc>
      </w:tr>
      <w:tr>
        <w:trPr>
          <w:trHeight w:val="20"/>
        </w:trPr>
        <w:tc>
          <w:tcPr>
            <w:tcW w:w="6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356"/>
        <w:spacing w:after="0" w:line="272" w:lineRule="auto"/>
        <w:rPr>
          <w:sz w:val="20"/>
          <w:szCs w:val="20"/>
          <w:color w:val="auto"/>
        </w:rPr>
      </w:pPr>
      <w:r>
        <w:rPr>
          <w:rFonts w:ascii="Arial" w:cs="Arial" w:eastAsia="Arial" w:hAnsi="Arial"/>
          <w:sz w:val="15"/>
          <w:szCs w:val="15"/>
          <w:color w:val="auto"/>
        </w:rPr>
        <w:t>As of March 31, 2022 and 2021, we had $269.2 million and $375.8 million, respectively, in cash, cash equivalents and short-term investments, of which $232.6 million, and $337.5 million, respectively, is located in foreign jurisdictions that upon distribution may be subject to withholding and other taxes. We periodically evaluate opportunities regarding distribution to fund our operations in the United States and other geographies, and as and when we decide to distribute, we may have to accrue additional taxes in accordance with local tax laws, rules and regulations in the relevant foreign jurisdictions. The distributions do not constitute a change in our permanent reinvestment assertion. We base our decision to continue to indefinitely reinvest earnings in relevant foreign jurisdictions on our estimate of the working capital required to support our operations in foreign geographies and periodically review our capital initiatives to support and expand our global operations, as well as whether there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47" w:name="page48"/>
    <w:bookmarkEnd w:id="4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exists an economically viable rate of return on our investments made in relevant foreign jurisdictions as compared to those made in the United States.</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Operating Activities:</w:t>
      </w:r>
    </w:p>
    <w:p>
      <w:pPr>
        <w:spacing w:after="0" w:line="208" w:lineRule="exact"/>
        <w:rPr>
          <w:sz w:val="20"/>
          <w:szCs w:val="20"/>
          <w:color w:val="auto"/>
        </w:rPr>
      </w:pPr>
    </w:p>
    <w:p>
      <w:pPr>
        <w:jc w:val="both"/>
        <w:ind w:firstLine="356"/>
        <w:spacing w:after="0" w:line="243" w:lineRule="auto"/>
        <w:rPr>
          <w:sz w:val="20"/>
          <w:szCs w:val="20"/>
          <w:color w:val="auto"/>
        </w:rPr>
      </w:pPr>
      <w:r>
        <w:rPr>
          <w:rFonts w:ascii="Arial" w:cs="Arial" w:eastAsia="Arial" w:hAnsi="Arial"/>
          <w:sz w:val="16"/>
          <w:szCs w:val="16"/>
          <w:color w:val="auto"/>
        </w:rPr>
        <w:t>Net cash used for operating activities was $26.9 million for the three months ended March 31, 2022 compared to net cash provided by operating activities of $15.2 million for the three months ended March 31, 2021, reflecting higher working capital needs, offset by higher cash earnings. The major drivers contributing to the decrease of $42.1 million included the following:</w:t>
      </w:r>
    </w:p>
    <w:p>
      <w:pPr>
        <w:spacing w:after="0" w:line="189" w:lineRule="exact"/>
        <w:rPr>
          <w:sz w:val="20"/>
          <w:szCs w:val="20"/>
          <w:color w:val="auto"/>
        </w:rPr>
      </w:pPr>
    </w:p>
    <w:p>
      <w:pPr>
        <w:jc w:val="both"/>
        <w:ind w:left="560" w:right="20" w:hanging="280"/>
        <w:spacing w:after="0" w:line="295" w:lineRule="auto"/>
        <w:tabs>
          <w:tab w:leader="none" w:pos="556" w:val="left"/>
        </w:tabs>
        <w:numPr>
          <w:ilvl w:val="0"/>
          <w:numId w:val="13"/>
        </w:numPr>
        <w:rPr>
          <w:rFonts w:ascii="Arial" w:cs="Arial" w:eastAsia="Arial" w:hAnsi="Arial"/>
          <w:sz w:val="14"/>
          <w:szCs w:val="14"/>
          <w:color w:val="auto"/>
        </w:rPr>
      </w:pPr>
      <w:r>
        <w:rPr>
          <w:rFonts w:ascii="Arial" w:cs="Arial" w:eastAsia="Arial" w:hAnsi="Arial"/>
          <w:sz w:val="14"/>
          <w:szCs w:val="14"/>
          <w:color w:val="auto"/>
        </w:rPr>
        <w:t>Changes in accounts receivable, including unbilled receivable and advance billings, contributed to a lower cash flow of $12.0 million in the three months ended March 31, 2022 compared to the three months ended March 31, 2021. The decrease was a result of the higher accounts receivable resulting from revenue growth. Lower cash flows were also affected by our accounts receivable days sales outstanding, which increased to 64 days as of March 31, 2022 from 54 days as of March 31, 2021.</w:t>
      </w:r>
    </w:p>
    <w:p>
      <w:pPr>
        <w:spacing w:after="0" w:line="154" w:lineRule="exact"/>
        <w:rPr>
          <w:rFonts w:ascii="Arial" w:cs="Arial" w:eastAsia="Arial" w:hAnsi="Arial"/>
          <w:sz w:val="14"/>
          <w:szCs w:val="14"/>
          <w:color w:val="auto"/>
        </w:rPr>
      </w:pPr>
    </w:p>
    <w:p>
      <w:pPr>
        <w:jc w:val="both"/>
        <w:ind w:left="560" w:hanging="280"/>
        <w:spacing w:after="0" w:line="239" w:lineRule="auto"/>
        <w:tabs>
          <w:tab w:leader="none" w:pos="5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Decrease in accrued employee costs, offset by an increase in accrued expenses and other liabilities contributed to a lower cash flow of $31.3 million in the three months ended March 31, 2022 compared to the three months ended March 31, 2021. The decrease was primarily due to higher payment (net of accruals) of annual performance incentives of $36.7 million, offset by higher employee costs accruals of $2.6 million and higher accrued expenses due to an increase in our cost base to support revenue growth of $2.8 million.</w:t>
      </w:r>
    </w:p>
    <w:p>
      <w:pPr>
        <w:spacing w:after="0" w:line="193" w:lineRule="exact"/>
        <w:rPr>
          <w:rFonts w:ascii="Arial" w:cs="Arial" w:eastAsia="Arial" w:hAnsi="Arial"/>
          <w:sz w:val="16"/>
          <w:szCs w:val="16"/>
          <w:color w:val="auto"/>
        </w:rPr>
      </w:pPr>
    </w:p>
    <w:p>
      <w:pPr>
        <w:jc w:val="both"/>
        <w:ind w:left="560" w:right="20" w:hanging="280"/>
        <w:spacing w:after="0" w:line="243" w:lineRule="auto"/>
        <w:tabs>
          <w:tab w:leader="none" w:pos="5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 in net income of $4.3 million in the three months ended March 31, 2022 compared to the three months ended March 31, 2021, was primarily due to an increase in income from operations of $2.4 million driven by higher revenues, higher other income, net of $2.4 million and lower interest expense of $1.6 million, partially offset by higher income tax expense of $2.2 million.</w:t>
      </w:r>
    </w:p>
    <w:p>
      <w:pPr>
        <w:spacing w:after="0" w:line="213" w:lineRule="exact"/>
        <w:rPr>
          <w:rFonts w:ascii="Arial" w:cs="Arial" w:eastAsia="Arial" w:hAnsi="Arial"/>
          <w:sz w:val="16"/>
          <w:szCs w:val="16"/>
          <w:color w:val="auto"/>
        </w:rPr>
      </w:pPr>
    </w:p>
    <w:p>
      <w:pPr>
        <w:ind w:left="560" w:right="20" w:hanging="280"/>
        <w:spacing w:after="0" w:line="233" w:lineRule="auto"/>
        <w:tabs>
          <w:tab w:leader="none" w:pos="555" w:val="left"/>
        </w:tabs>
        <w:numPr>
          <w:ilvl w:val="0"/>
          <w:numId w:val="13"/>
        </w:numPr>
        <w:rPr>
          <w:rFonts w:ascii="Arial" w:cs="Arial" w:eastAsia="Arial" w:hAnsi="Arial"/>
          <w:sz w:val="19"/>
          <w:szCs w:val="19"/>
          <w:color w:val="auto"/>
        </w:rPr>
      </w:pPr>
      <w:r>
        <w:rPr>
          <w:rFonts w:ascii="Arial" w:cs="Arial" w:eastAsia="Arial" w:hAnsi="Arial"/>
          <w:sz w:val="16"/>
          <w:szCs w:val="16"/>
          <w:color w:val="auto"/>
        </w:rPr>
        <w:t>Other drivers decreasing cash flows in the three months ended March 31, 2022 compared to the three months ended March 31, 2021 included: income tax payments, net of refunds, of $3.0 million, primarily due to higher advance income tax payments on higher net income.</w:t>
      </w:r>
    </w:p>
    <w:p>
      <w:pPr>
        <w:spacing w:after="0" w:line="179" w:lineRule="exact"/>
        <w:rPr>
          <w:sz w:val="20"/>
          <w:szCs w:val="20"/>
          <w:color w:val="auto"/>
        </w:rPr>
      </w:pPr>
    </w:p>
    <w:p>
      <w:pPr>
        <w:jc w:val="both"/>
        <w:ind w:right="20" w:firstLine="356"/>
        <w:spacing w:after="0" w:line="239" w:lineRule="auto"/>
        <w:rPr>
          <w:sz w:val="20"/>
          <w:szCs w:val="20"/>
          <w:color w:val="auto"/>
        </w:rPr>
      </w:pPr>
      <w:r>
        <w:rPr>
          <w:rFonts w:ascii="Arial" w:cs="Arial" w:eastAsia="Arial" w:hAnsi="Arial"/>
          <w:sz w:val="15"/>
          <w:szCs w:val="15"/>
          <w:i w:val="1"/>
          <w:iCs w:val="1"/>
          <w:color w:val="auto"/>
        </w:rPr>
        <w:t xml:space="preserve">Investing Activities: </w:t>
      </w:r>
      <w:r>
        <w:rPr>
          <w:rFonts w:ascii="Arial" w:cs="Arial" w:eastAsia="Arial" w:hAnsi="Arial"/>
          <w:sz w:val="15"/>
          <w:szCs w:val="15"/>
          <w:color w:val="auto"/>
        </w:rPr>
        <w:t>Cash flows used for investing activities were $4.7 million for the three months ended March 31, 2022 as compared to cash flows used for investing</w:t>
      </w:r>
      <w:r>
        <w:rPr>
          <w:rFonts w:ascii="Arial" w:cs="Arial" w:eastAsia="Arial" w:hAnsi="Arial"/>
          <w:sz w:val="15"/>
          <w:szCs w:val="15"/>
          <w:i w:val="1"/>
          <w:iCs w:val="1"/>
          <w:color w:val="auto"/>
        </w:rPr>
        <w:t xml:space="preserve"> </w:t>
      </w:r>
      <w:r>
        <w:rPr>
          <w:rFonts w:ascii="Arial" w:cs="Arial" w:eastAsia="Arial" w:hAnsi="Arial"/>
          <w:sz w:val="15"/>
          <w:szCs w:val="15"/>
          <w:color w:val="auto"/>
        </w:rPr>
        <w:t>activities of $26.0 million for the three months ended March 31, 2021. The decrease of $21.3 million was primarily due to higher net redemption of investments of $12.7 million during the three months ended March 31, 2022 as compared to net purchase of investments of $13.5 million during the three months ended March 31, 2021. This was partially offset by higher capital expenditures for purchase of long-lived assets, including investments in infrastructure, technology assets, software and product developments of $3.5 million during the three months ended March 31, 2022 compared to the three months ended March 31, 2021, and payment of a portion of purchase consideration for our acquisition of Clairvoyant in December 2021 of $1.4 million, during the three months ended March 31, 2022.</w:t>
      </w:r>
    </w:p>
    <w:p>
      <w:pPr>
        <w:spacing w:after="0" w:line="193" w:lineRule="exact"/>
        <w:rPr>
          <w:sz w:val="20"/>
          <w:szCs w:val="20"/>
          <w:color w:val="auto"/>
        </w:rPr>
      </w:pPr>
    </w:p>
    <w:p>
      <w:pPr>
        <w:jc w:val="both"/>
        <w:ind w:firstLine="356"/>
        <w:spacing w:after="0" w:line="261" w:lineRule="auto"/>
        <w:rPr>
          <w:sz w:val="20"/>
          <w:szCs w:val="20"/>
          <w:color w:val="auto"/>
        </w:rPr>
      </w:pPr>
      <w:r>
        <w:rPr>
          <w:rFonts w:ascii="Arial" w:cs="Arial" w:eastAsia="Arial" w:hAnsi="Arial"/>
          <w:sz w:val="15"/>
          <w:szCs w:val="15"/>
          <w:i w:val="1"/>
          <w:iCs w:val="1"/>
          <w:color w:val="auto"/>
        </w:rPr>
        <w:t xml:space="preserve">Financing Activities: </w:t>
      </w:r>
      <w:r>
        <w:rPr>
          <w:rFonts w:ascii="Arial" w:cs="Arial" w:eastAsia="Arial" w:hAnsi="Arial"/>
          <w:sz w:val="15"/>
          <w:szCs w:val="15"/>
          <w:color w:val="auto"/>
        </w:rPr>
        <w:t>Cash flows provided by financing activities were $3.6 million during the three months ended March 31, 2022 as compared to cash flows used for</w:t>
      </w:r>
      <w:r>
        <w:rPr>
          <w:rFonts w:ascii="Arial" w:cs="Arial" w:eastAsia="Arial" w:hAnsi="Arial"/>
          <w:sz w:val="15"/>
          <w:szCs w:val="15"/>
          <w:i w:val="1"/>
          <w:iCs w:val="1"/>
          <w:color w:val="auto"/>
        </w:rPr>
        <w:t xml:space="preserve"> </w:t>
      </w:r>
      <w:r>
        <w:rPr>
          <w:rFonts w:ascii="Arial" w:cs="Arial" w:eastAsia="Arial" w:hAnsi="Arial"/>
          <w:sz w:val="15"/>
          <w:szCs w:val="15"/>
          <w:color w:val="auto"/>
        </w:rPr>
        <w:t>financing activities of $29.0 million during the three months ended March 31, 2021. The increase of $32.6 million was primarily due to net proceeds of $35.0 million under our revolving Credit Facility during the three months ended March 31, 2022. This was partially offset by higher purchases of treasury stock by $2.4 million under our share repurchase program during the three months ended March 31, 2022 as compared to the three months ended March 31, 2021.</w:t>
      </w:r>
    </w:p>
    <w:p>
      <w:pPr>
        <w:spacing w:after="0" w:line="176" w:lineRule="exact"/>
        <w:rPr>
          <w:sz w:val="20"/>
          <w:szCs w:val="20"/>
          <w:color w:val="auto"/>
        </w:rPr>
      </w:pPr>
    </w:p>
    <w:p>
      <w:pPr>
        <w:jc w:val="both"/>
        <w:ind w:right="20" w:firstLine="356"/>
        <w:spacing w:after="0" w:line="243" w:lineRule="auto"/>
        <w:rPr>
          <w:sz w:val="20"/>
          <w:szCs w:val="20"/>
          <w:color w:val="auto"/>
        </w:rPr>
      </w:pPr>
      <w:r>
        <w:rPr>
          <w:rFonts w:ascii="Arial" w:cs="Arial" w:eastAsia="Arial" w:hAnsi="Arial"/>
          <w:sz w:val="16"/>
          <w:szCs w:val="16"/>
          <w:color w:val="auto"/>
        </w:rPr>
        <w:t>We expect to use cash from operating activities to maintain and expand our business by making investments, primarily related to new facilities and capital expenditures associated with leasehold improvements to build our facilities, digital capabilities and purchase telecommunications equipment and computer hardware and software in connection with managing client operations.</w:t>
      </w:r>
    </w:p>
    <w:p>
      <w:pPr>
        <w:spacing w:after="0" w:line="189" w:lineRule="exact"/>
        <w:rPr>
          <w:sz w:val="20"/>
          <w:szCs w:val="20"/>
          <w:color w:val="auto"/>
        </w:rPr>
      </w:pPr>
    </w:p>
    <w:p>
      <w:pPr>
        <w:jc w:val="both"/>
        <w:ind w:right="20" w:firstLine="356"/>
        <w:spacing w:after="0" w:line="243" w:lineRule="auto"/>
        <w:rPr>
          <w:sz w:val="20"/>
          <w:szCs w:val="20"/>
          <w:color w:val="auto"/>
        </w:rPr>
      </w:pPr>
      <w:r>
        <w:rPr>
          <w:rFonts w:ascii="Arial" w:cs="Arial" w:eastAsia="Arial" w:hAnsi="Arial"/>
          <w:sz w:val="16"/>
          <w:szCs w:val="16"/>
          <w:color w:val="auto"/>
        </w:rPr>
        <w:t>We incurred $16.1 million of capital expenditures in the three months ended March 31, 2022. We expect to incur total capital expenditures of between $40.0 million to $45.0 million in 2022, primarily to meet our growth requirements, including additions to our facilities as well as investments in technology applications, product development, digital technology, advanced automation, robotics and infrastructure.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48" w:name="page49"/>
    <w:bookmarkEnd w:id="48"/>
    <w:p>
      <w:pPr>
        <w:ind w:left="5"/>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5" w:right="20" w:firstLine="356"/>
        <w:spacing w:after="0" w:line="239" w:lineRule="auto"/>
        <w:rPr>
          <w:sz w:val="20"/>
          <w:szCs w:val="20"/>
          <w:color w:val="auto"/>
        </w:rPr>
      </w:pPr>
      <w:r>
        <w:rPr>
          <w:rFonts w:ascii="Arial" w:cs="Arial" w:eastAsia="Arial" w:hAnsi="Arial"/>
          <w:sz w:val="16"/>
          <w:szCs w:val="16"/>
          <w:color w:val="auto"/>
        </w:rPr>
        <w:t>In connection with any tax assessment orders that have been issued or may be issued against us or our subsidiaries, we may be required to deposit additional amounts with respect to such assessment orders (see Note 23 - Commitments and Contingencies to our unaudited consolidated financial statements herein for further details). We anticipate that we will continue to rely upon cash from operating activities to finance our working capital needs, capital expenditures and smaller acquisitions. If we have significant growth through acquisitions, we may need to obtain additional financing.</w:t>
      </w:r>
    </w:p>
    <w:p>
      <w:pPr>
        <w:spacing w:after="0" w:line="193" w:lineRule="exact"/>
        <w:rPr>
          <w:sz w:val="20"/>
          <w:szCs w:val="20"/>
          <w:color w:val="auto"/>
        </w:rPr>
      </w:pPr>
    </w:p>
    <w:p>
      <w:pPr>
        <w:jc w:val="both"/>
        <w:ind w:left="5" w:right="20" w:firstLine="356"/>
        <w:spacing w:after="0" w:line="257" w:lineRule="auto"/>
        <w:rPr>
          <w:sz w:val="20"/>
          <w:szCs w:val="20"/>
          <w:color w:val="auto"/>
        </w:rPr>
      </w:pPr>
      <w:r>
        <w:rPr>
          <w:rFonts w:ascii="Arial" w:cs="Arial" w:eastAsia="Arial" w:hAnsi="Arial"/>
          <w:sz w:val="15"/>
          <w:szCs w:val="15"/>
          <w:color w:val="auto"/>
        </w:rPr>
        <w:t>We believe that our existing cash, cash equivalents and short-term investments and sources of liquidity will be sufficient to satisfy our cash requirements over the next 12 months. Our future cash requirements will depend on many factors, including our rate of revenue growth, our investments in strategic initiatives, applications or technologies, operation centers and acquisition of complementary businesses, continued purchases under our board-authorized stock repurchase program, which may require the use of significant cash resources and/or additional financing. Although we anticipate that we will continue to rely upon cash from operating activities to finance most of our above mentioned requirements, if we have significant growth through acquisitions, we may need to obtain additional financing.</w:t>
      </w:r>
    </w:p>
    <w:p>
      <w:pPr>
        <w:spacing w:after="0" w:line="181" w:lineRule="exact"/>
        <w:rPr>
          <w:sz w:val="20"/>
          <w:szCs w:val="20"/>
          <w:color w:val="auto"/>
        </w:rPr>
      </w:pPr>
    </w:p>
    <w:p>
      <w:pPr>
        <w:jc w:val="both"/>
        <w:ind w:left="5" w:right="20" w:firstLine="356"/>
        <w:spacing w:after="0" w:line="275" w:lineRule="auto"/>
        <w:rPr>
          <w:sz w:val="20"/>
          <w:szCs w:val="20"/>
          <w:color w:val="auto"/>
        </w:rPr>
      </w:pPr>
      <w:r>
        <w:rPr>
          <w:rFonts w:ascii="Arial" w:cs="Arial" w:eastAsia="Arial" w:hAnsi="Arial"/>
          <w:sz w:val="14"/>
          <w:szCs w:val="14"/>
          <w:color w:val="auto"/>
        </w:rPr>
        <w:t>In the normal course of business, we enter into contracts and commitments that obligate us to make payments in the future. These obligations include borrowings, including interest obligations, purchase commitments, operating and finance lease commitments, employee benefit payments under Gratuity plans and uncertain tax positions. See Note 17</w:t>
      </w:r>
    </w:p>
    <w:p>
      <w:pPr>
        <w:spacing w:after="0" w:line="1" w:lineRule="exact"/>
        <w:rPr>
          <w:sz w:val="20"/>
          <w:szCs w:val="20"/>
          <w:color w:val="auto"/>
        </w:rPr>
      </w:pPr>
    </w:p>
    <w:p>
      <w:pPr>
        <w:ind w:left="5" w:hanging="5"/>
        <w:spacing w:after="0" w:line="238" w:lineRule="auto"/>
        <w:tabs>
          <w:tab w:leader="none" w:pos="109" w:val="left"/>
        </w:tabs>
        <w:numPr>
          <w:ilvl w:val="0"/>
          <w:numId w:val="14"/>
        </w:numPr>
        <w:rPr>
          <w:rFonts w:ascii="Arial" w:cs="Arial" w:eastAsia="Arial" w:hAnsi="Arial"/>
          <w:sz w:val="16"/>
          <w:szCs w:val="16"/>
          <w:color w:val="auto"/>
        </w:rPr>
      </w:pPr>
      <w:r>
        <w:rPr>
          <w:rFonts w:ascii="Arial" w:cs="Arial" w:eastAsia="Arial" w:hAnsi="Arial"/>
          <w:sz w:val="16"/>
          <w:szCs w:val="16"/>
          <w:color w:val="auto"/>
        </w:rPr>
        <w:t>Borrowings, Note 20 - Leases, and Note 23 - Commitments and Contingencies to our unaudited consolidated financial statements herein for further information on material cash requirements from known contractual and other obligations.</w:t>
      </w:r>
    </w:p>
    <w:p>
      <w:pPr>
        <w:spacing w:after="0" w:line="191" w:lineRule="exact"/>
        <w:rPr>
          <w:sz w:val="20"/>
          <w:szCs w:val="20"/>
          <w:color w:val="auto"/>
        </w:rPr>
      </w:pPr>
    </w:p>
    <w:p>
      <w:pPr>
        <w:jc w:val="both"/>
        <w:ind w:left="5" w:firstLine="356"/>
        <w:spacing w:after="0" w:line="239" w:lineRule="auto"/>
        <w:rPr>
          <w:sz w:val="20"/>
          <w:szCs w:val="20"/>
          <w:color w:val="auto"/>
        </w:rPr>
      </w:pPr>
      <w:r>
        <w:rPr>
          <w:rFonts w:ascii="Arial" w:cs="Arial" w:eastAsia="Arial" w:hAnsi="Arial"/>
          <w:sz w:val="16"/>
          <w:szCs w:val="16"/>
          <w:color w:val="auto"/>
        </w:rPr>
        <w:t>In the ordinary course of business, we provide standby letters of credit to third parties primarily for facility leases. As of March 31, 2022 and December 31, 2021, we had outstanding letters of credit of $0.5 million, each, that were not recognized in our consolidated balance sheets. These are not reasonably likely to have a current or future material effect on our financial condition, revenues or expenses, results of operations, liquidity, capital expenditures or capital resources. We had no other off-balance sheet arrangements or obligations.</w:t>
      </w:r>
    </w:p>
    <w:p>
      <w:pPr>
        <w:spacing w:after="0" w:line="182" w:lineRule="exact"/>
        <w:rPr>
          <w:sz w:val="20"/>
          <w:szCs w:val="20"/>
          <w:color w:val="auto"/>
        </w:rPr>
      </w:pPr>
    </w:p>
    <w:p>
      <w:pPr>
        <w:jc w:val="both"/>
        <w:ind w:left="5" w:firstLine="356"/>
        <w:spacing w:after="0" w:line="244" w:lineRule="auto"/>
        <w:rPr>
          <w:sz w:val="20"/>
          <w:szCs w:val="20"/>
          <w:color w:val="auto"/>
        </w:rPr>
      </w:pPr>
      <w:r>
        <w:rPr>
          <w:rFonts w:ascii="Arial" w:cs="Arial" w:eastAsia="Arial" w:hAnsi="Arial"/>
          <w:sz w:val="15"/>
          <w:szCs w:val="15"/>
          <w:color w:val="auto"/>
        </w:rPr>
        <w:t>The Coronavirus Aid, Relief, and Economic Security Act (the “CARES Act”) allows employers to defer the payment of the employer share of Federal Insurance Contributions Act (“FICA”) taxes for the period from April 1, 2020 and ending December 31, 2020. The deferred amount is payable as follows: (1) 50% of the deferred amount was paid on or before December 31, 2021 and (2) the remaining 50% of the deferred amount will be paid on or before December 31, 2022. Our deferred contributions, net of payments to FICA was $3.1 million as of March 31, 2022 and December 31, 2021, each, which will be paid on or before December 31, 2022.</w:t>
      </w:r>
    </w:p>
    <w:p>
      <w:pPr>
        <w:spacing w:after="0" w:line="189"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Financing Arrangements (Debt Facility)</w:t>
      </w:r>
    </w:p>
    <w:p>
      <w:pPr>
        <w:spacing w:after="0" w:line="208"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following tables summarizes our debt facility balances as of March 31, 2022 and December 31, 2021.</w:t>
      </w:r>
    </w:p>
    <w:p>
      <w:pPr>
        <w:spacing w:after="0" w:line="165" w:lineRule="exact"/>
        <w:rPr>
          <w:sz w:val="20"/>
          <w:szCs w:val="20"/>
          <w:color w:val="auto"/>
        </w:rPr>
      </w:pPr>
    </w:p>
    <w:tbl>
      <w:tblPr>
        <w:tblLayout w:type="fixed"/>
        <w:tblInd w:w="565" w:type="dxa"/>
        <w:tblCellMar>
          <w:top w:w="0" w:type="dxa"/>
          <w:left w:w="0" w:type="dxa"/>
          <w:bottom w:w="0" w:type="dxa"/>
          <w:right w:w="0" w:type="dxa"/>
        </w:tblCellMar>
      </w:tblPr>
      <w:tr>
        <w:trPr>
          <w:trHeight w:val="165"/>
        </w:trPr>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40" w:type="dxa"/>
            <w:vAlign w:val="bottom"/>
            <w:gridSpan w:val="3"/>
          </w:tcPr>
          <w:p>
            <w:pPr>
              <w:jc w:val="right"/>
              <w:ind w:right="61"/>
              <w:spacing w:after="0"/>
              <w:rPr>
                <w:sz w:val="20"/>
                <w:szCs w:val="20"/>
                <w:color w:val="auto"/>
              </w:rPr>
            </w:pPr>
            <w:r>
              <w:rPr>
                <w:rFonts w:ascii="Arial" w:cs="Arial" w:eastAsia="Arial" w:hAnsi="Arial"/>
                <w:sz w:val="13"/>
                <w:szCs w:val="13"/>
                <w:b w:val="1"/>
                <w:bCs w:val="1"/>
                <w:color w:val="auto"/>
              </w:rPr>
              <w:t>As of March 31, 2022</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80" w:type="dxa"/>
            <w:vAlign w:val="bottom"/>
            <w:gridSpan w:val="3"/>
          </w:tcPr>
          <w:p>
            <w:pPr>
              <w:jc w:val="right"/>
              <w:ind w:right="21"/>
              <w:spacing w:after="0"/>
              <w:rPr>
                <w:sz w:val="20"/>
                <w:szCs w:val="20"/>
                <w:color w:val="auto"/>
              </w:rPr>
            </w:pPr>
            <w:r>
              <w:rPr>
                <w:rFonts w:ascii="Arial" w:cs="Arial" w:eastAsia="Arial" w:hAnsi="Arial"/>
                <w:sz w:val="13"/>
                <w:szCs w:val="13"/>
                <w:b w:val="1"/>
                <w:bCs w:val="1"/>
                <w:color w:val="auto"/>
              </w:rPr>
              <w:t>As of December 31, 2021</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3"/>
                <w:szCs w:val="13"/>
                <w:b w:val="1"/>
                <w:bCs w:val="1"/>
                <w:color w:val="auto"/>
              </w:rPr>
              <w:t>(dollars in millions)</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3"/>
                <w:szCs w:val="13"/>
                <w:b w:val="1"/>
                <w:bCs w:val="1"/>
                <w:color w:val="auto"/>
              </w:rPr>
              <w:t>(dollars in millions)</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2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Revolving Credit</w:t>
            </w:r>
          </w:p>
        </w:tc>
        <w:tc>
          <w:tcPr>
            <w:tcW w:w="920" w:type="dxa"/>
            <w:vAlign w:val="bottom"/>
          </w:tcPr>
          <w:p>
            <w:pPr>
              <w:spacing w:after="0"/>
              <w:rPr>
                <w:sz w:val="12"/>
                <w:szCs w:val="12"/>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2"/>
                <w:szCs w:val="12"/>
                <w:color w:val="auto"/>
              </w:rPr>
            </w:pPr>
          </w:p>
        </w:tc>
        <w:tc>
          <w:tcPr>
            <w:tcW w:w="13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Revolving Credit</w:t>
            </w:r>
          </w:p>
        </w:tc>
        <w:tc>
          <w:tcPr>
            <w:tcW w:w="960" w:type="dxa"/>
            <w:vAlign w:val="bottom"/>
          </w:tcPr>
          <w:p>
            <w:pPr>
              <w:spacing w:after="0"/>
              <w:rPr>
                <w:sz w:val="12"/>
                <w:szCs w:val="12"/>
                <w:color w:val="auto"/>
              </w:rPr>
            </w:pPr>
          </w:p>
        </w:tc>
        <w:tc>
          <w:tcPr>
            <w:tcW w:w="86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3"/>
        </w:trPr>
        <w:tc>
          <w:tcPr>
            <w:tcW w:w="2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facility</w:t>
            </w:r>
          </w:p>
        </w:tc>
        <w:tc>
          <w:tcPr>
            <w:tcW w:w="9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facility</w:t>
            </w:r>
          </w:p>
        </w:tc>
        <w:tc>
          <w:tcPr>
            <w:tcW w:w="9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520" w:type="dxa"/>
            <w:vAlign w:val="bottom"/>
            <w:tcBorders>
              <w:top w:val="single" w:sz="8" w:color="CCEEFF"/>
            </w:tcBorders>
            <w:shd w:val="clear" w:color="auto" w:fill="CCEEFF"/>
          </w:tcPr>
          <w:p>
            <w:pPr>
              <w:ind w:left="600"/>
              <w:spacing w:after="0" w:line="137" w:lineRule="exact"/>
              <w:rPr>
                <w:sz w:val="20"/>
                <w:szCs w:val="20"/>
                <w:color w:val="auto"/>
              </w:rPr>
            </w:pPr>
            <w:r>
              <w:rPr>
                <w:rFonts w:ascii="Arial" w:cs="Arial" w:eastAsia="Arial" w:hAnsi="Arial"/>
                <w:sz w:val="15"/>
                <w:szCs w:val="15"/>
                <w:b w:val="1"/>
                <w:bCs w:val="1"/>
                <w:color w:val="auto"/>
              </w:rPr>
              <w:t>Current portion of long-</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6"/>
                <w:szCs w:val="16"/>
                <w:color w:val="auto"/>
              </w:rPr>
              <w:t>35.0</w:t>
            </w:r>
          </w:p>
        </w:tc>
        <w:tc>
          <w:tcPr>
            <w:tcW w:w="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vMerge w:val="restart"/>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6"/>
                <w:szCs w:val="16"/>
                <w:color w:val="auto"/>
              </w:rPr>
              <w:t>260.0</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vMerge w:val="restart"/>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07"/>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term borrowings</w:t>
            </w: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520" w:type="dxa"/>
            <w:vAlign w:val="bottom"/>
          </w:tcPr>
          <w:p>
            <w:pPr>
              <w:ind w:left="600"/>
              <w:spacing w:after="0"/>
              <w:rPr>
                <w:sz w:val="20"/>
                <w:szCs w:val="20"/>
                <w:color w:val="auto"/>
              </w:rPr>
            </w:pPr>
            <w:r>
              <w:rPr>
                <w:rFonts w:ascii="Arial" w:cs="Arial" w:eastAsia="Arial" w:hAnsi="Arial"/>
                <w:sz w:val="16"/>
                <w:szCs w:val="16"/>
                <w:b w:val="1"/>
                <w:bCs w:val="1"/>
                <w:color w:val="auto"/>
              </w:rPr>
              <w:t>Long-term borrowings</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8"/>
              <w:spacing w:after="0"/>
              <w:rPr>
                <w:sz w:val="20"/>
                <w:szCs w:val="20"/>
                <w:color w:val="auto"/>
              </w:rPr>
            </w:pPr>
            <w:r>
              <w:rPr>
                <w:rFonts w:ascii="Arial" w:cs="Arial" w:eastAsia="Arial" w:hAnsi="Arial"/>
                <w:sz w:val="16"/>
                <w:szCs w:val="16"/>
                <w:color w:val="auto"/>
              </w:rPr>
              <w:t>260.0</w:t>
            </w:r>
          </w:p>
        </w:tc>
        <w:tc>
          <w:tcPr>
            <w:tcW w:w="80" w:type="dxa"/>
            <w:vAlign w:val="bottom"/>
          </w:tcPr>
          <w:p>
            <w:pPr>
              <w:spacing w:after="0"/>
              <w:rPr>
                <w:sz w:val="24"/>
                <w:szCs w:val="24"/>
                <w:color w:val="auto"/>
              </w:rPr>
            </w:pPr>
          </w:p>
        </w:tc>
        <w:tc>
          <w:tcPr>
            <w:tcW w:w="9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260.0</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520" w:type="dxa"/>
            <w:vAlign w:val="bottom"/>
            <w:tcBorders>
              <w:top w:val="single" w:sz="8" w:color="CCEEFF"/>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Total borrowings</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295.0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260.0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5" w:right="20" w:firstLine="356"/>
        <w:spacing w:after="0" w:line="254" w:lineRule="auto"/>
        <w:rPr>
          <w:sz w:val="20"/>
          <w:szCs w:val="20"/>
          <w:color w:val="auto"/>
        </w:rPr>
      </w:pPr>
      <w:r>
        <w:rPr>
          <w:rFonts w:ascii="Arial" w:cs="Arial" w:eastAsia="Arial" w:hAnsi="Arial"/>
          <w:sz w:val="16"/>
          <w:szCs w:val="16"/>
          <w:i w:val="1"/>
          <w:iCs w:val="1"/>
          <w:color w:val="auto"/>
        </w:rPr>
        <w:t>Unamortized debt issuance costs for our revolving Credit Facility of $0.2 million as of March 31, 2022 and December 31, 2021, each, are presented under “Other current assets” and “Other assets,” as applicable in our consolidated balance sheets.</w:t>
      </w:r>
    </w:p>
    <w:p>
      <w:pPr>
        <w:spacing w:after="0" w:line="216" w:lineRule="exact"/>
        <w:rPr>
          <w:sz w:val="20"/>
          <w:szCs w:val="20"/>
          <w:color w:val="auto"/>
        </w:rPr>
      </w:pPr>
    </w:p>
    <w:p>
      <w:pPr>
        <w:ind w:left="5" w:right="20" w:firstLine="356"/>
        <w:spacing w:after="0" w:line="239" w:lineRule="auto"/>
        <w:rPr>
          <w:sz w:val="20"/>
          <w:szCs w:val="20"/>
          <w:color w:val="auto"/>
        </w:rPr>
      </w:pPr>
      <w:r>
        <w:rPr>
          <w:rFonts w:ascii="Arial" w:cs="Arial" w:eastAsia="Arial" w:hAnsi="Arial"/>
          <w:sz w:val="16"/>
          <w:szCs w:val="16"/>
          <w:color w:val="auto"/>
        </w:rPr>
        <w:t>See Note 17 - Borrowings to our unaudited consolidated financial statements herein for further details on our debt facilities, including our amended and restated credit facility entered into subsequent to March 31, 2022.</w:t>
      </w:r>
    </w:p>
    <w:p>
      <w:pPr>
        <w:spacing w:after="0" w:line="16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Recent Accounting Pronouncements</w:t>
      </w:r>
    </w:p>
    <w:p>
      <w:pPr>
        <w:spacing w:after="0" w:line="224" w:lineRule="exact"/>
        <w:rPr>
          <w:sz w:val="20"/>
          <w:szCs w:val="20"/>
          <w:color w:val="auto"/>
        </w:rPr>
      </w:pPr>
    </w:p>
    <w:p>
      <w:pPr>
        <w:ind w:left="5" w:right="20" w:firstLine="392"/>
        <w:spacing w:after="0" w:line="254" w:lineRule="auto"/>
        <w:rPr>
          <w:sz w:val="20"/>
          <w:szCs w:val="20"/>
          <w:color w:val="auto"/>
        </w:rPr>
      </w:pPr>
      <w:r>
        <w:rPr>
          <w:rFonts w:ascii="Arial" w:cs="Arial" w:eastAsia="Arial" w:hAnsi="Arial"/>
          <w:sz w:val="16"/>
          <w:szCs w:val="16"/>
          <w:color w:val="auto"/>
        </w:rPr>
        <w:t>For a description of recent accounting pronouncements, see Note 2—“Recent Accounting Pronouncements” to our unaudited consolidated financial statements contained herein.</w:t>
      </w:r>
    </w:p>
    <w:p>
      <w:pPr>
        <w:spacing w:after="0" w:line="200" w:lineRule="exact"/>
        <w:rPr>
          <w:sz w:val="20"/>
          <w:szCs w:val="20"/>
          <w:color w:val="auto"/>
        </w:rPr>
      </w:pPr>
    </w:p>
    <w:p>
      <w:pPr>
        <w:spacing w:after="0" w:line="289"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59690</wp:posOffset>
            </wp:positionV>
            <wp:extent cx="7174230"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5"/>
          </w:cols>
          <w:pgMar w:left="315" w:top="337" w:right="319" w:bottom="1440" w:gutter="0" w:footer="0" w:header="0"/>
        </w:sectPr>
      </w:pPr>
    </w:p>
    <w:bookmarkStart w:id="49" w:name="page50"/>
    <w:bookmarkEnd w:id="4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105" w:lineRule="exact"/>
        <w:rPr>
          <w:sz w:val="20"/>
          <w:szCs w:val="20"/>
          <w:color w:val="auto"/>
        </w:rPr>
      </w:pPr>
    </w:p>
    <w:p>
      <w:pPr>
        <w:jc w:val="both"/>
        <w:ind w:firstLine="392"/>
        <w:spacing w:after="0" w:line="258" w:lineRule="auto"/>
        <w:rPr>
          <w:sz w:val="20"/>
          <w:szCs w:val="20"/>
          <w:color w:val="auto"/>
        </w:rPr>
      </w:pPr>
      <w:r>
        <w:rPr>
          <w:rFonts w:ascii="Arial" w:cs="Arial" w:eastAsia="Arial" w:hAnsi="Arial"/>
          <w:sz w:val="16"/>
          <w:szCs w:val="16"/>
          <w:color w:val="auto"/>
        </w:rPr>
        <w:t>During the three months ended March 31, 2022, there were no material changes in our market risk exposure. For a discussion of our market risk associated with exchange rate risk and interest rate risk, see Part II, Item 7A, “Quantitative and Qualitative Disclosures About Market Risk” in our Annual Report on Form 10-K for the fiscal year ended December 31, 2021.</w:t>
      </w:r>
    </w:p>
    <w:p>
      <w:pPr>
        <w:spacing w:after="0" w:line="200" w:lineRule="exact"/>
        <w:rPr>
          <w:sz w:val="20"/>
          <w:szCs w:val="20"/>
          <w:color w:val="auto"/>
        </w:rPr>
      </w:pPr>
    </w:p>
    <w:p>
      <w:pPr>
        <w:spacing w:after="0" w:line="295"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315" w:lineRule="exact"/>
        <w:rPr>
          <w:sz w:val="20"/>
          <w:szCs w:val="20"/>
          <w:color w:val="auto"/>
        </w:rPr>
      </w:pPr>
    </w:p>
    <w:p>
      <w:pPr>
        <w:jc w:val="both"/>
        <w:ind w:firstLine="428"/>
        <w:spacing w:after="0" w:line="295" w:lineRule="auto"/>
        <w:rPr>
          <w:sz w:val="20"/>
          <w:szCs w:val="20"/>
          <w:color w:val="auto"/>
        </w:rPr>
      </w:pPr>
      <w:r>
        <w:rPr>
          <w:rFonts w:ascii="Arial" w:cs="Arial" w:eastAsia="Arial" w:hAnsi="Arial"/>
          <w:sz w:val="14"/>
          <w:szCs w:val="14"/>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its Chief Executive Officer (“CEO”) and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March 31, 2022. Based upon that evaluation, the CEO and CFO have concluded that our disclosure controls and procedures, as of March 31, 2022, were effective.</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220" w:lineRule="exact"/>
        <w:rPr>
          <w:sz w:val="20"/>
          <w:szCs w:val="20"/>
          <w:color w:val="auto"/>
        </w:rPr>
      </w:pPr>
    </w:p>
    <w:p>
      <w:pPr>
        <w:jc w:val="both"/>
        <w:ind w:right="20" w:firstLine="356"/>
        <w:spacing w:after="0" w:line="270" w:lineRule="auto"/>
        <w:rPr>
          <w:sz w:val="20"/>
          <w:szCs w:val="20"/>
          <w:color w:val="auto"/>
        </w:rPr>
      </w:pPr>
      <w:r>
        <w:rPr>
          <w:rFonts w:ascii="Arial" w:cs="Arial" w:eastAsia="Arial" w:hAnsi="Arial"/>
          <w:sz w:val="16"/>
          <w:szCs w:val="16"/>
          <w:color w:val="auto"/>
        </w:rPr>
        <w:t>During the three months ended March 31, 2022,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180" w:lineRule="exact"/>
        <w:rPr>
          <w:sz w:val="20"/>
          <w:szCs w:val="20"/>
          <w:color w:val="auto"/>
        </w:rPr>
      </w:pPr>
    </w:p>
    <w:p>
      <w:pPr>
        <w:jc w:val="both"/>
        <w:ind w:firstLine="356"/>
        <w:spacing w:after="0" w:line="258" w:lineRule="auto"/>
        <w:rPr>
          <w:sz w:val="20"/>
          <w:szCs w:val="20"/>
          <w:color w:val="auto"/>
        </w:rPr>
      </w:pPr>
      <w:r>
        <w:rPr>
          <w:rFonts w:ascii="Arial" w:cs="Arial" w:eastAsia="Arial" w:hAnsi="Arial"/>
          <w:sz w:val="16"/>
          <w:szCs w:val="16"/>
          <w:color w:val="auto"/>
        </w:rPr>
        <w:t>In making its assessment of the changes in internal control over financial reporting during the three months ended March 31, 2022, our management excluded an evaluation of the disclosure controls and procedures of Clairvoyant which we acquired on December 16, 2021. See Note 9 - Business Combination, Goodwill and Intangible Assets to our unaudited consolidated financial statements contained herein for details of our acquisition.</w:t>
      </w:r>
    </w:p>
    <w:p>
      <w:pPr>
        <w:spacing w:after="0" w:line="400"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PART II.</w:t>
      </w:r>
      <w:r>
        <w:rPr>
          <w:sz w:val="20"/>
          <w:szCs w:val="20"/>
          <w:color w:val="auto"/>
        </w:rPr>
        <w:tab/>
      </w:r>
      <w:r>
        <w:rPr>
          <w:rFonts w:ascii="Arial" w:cs="Arial" w:eastAsia="Arial" w:hAnsi="Arial"/>
          <w:sz w:val="15"/>
          <w:szCs w:val="15"/>
          <w:b w:val="1"/>
          <w:bCs w:val="1"/>
          <w:color w:val="auto"/>
        </w:rPr>
        <w:t>Other Information</w:t>
      </w:r>
    </w:p>
    <w:p>
      <w:pPr>
        <w:spacing w:after="0" w:line="327"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224" w:lineRule="exact"/>
        <w:rPr>
          <w:sz w:val="20"/>
          <w:szCs w:val="20"/>
          <w:color w:val="auto"/>
        </w:rPr>
      </w:pPr>
    </w:p>
    <w:p>
      <w:pPr>
        <w:jc w:val="both"/>
        <w:ind w:right="20" w:firstLine="570"/>
        <w:spacing w:after="0" w:line="284" w:lineRule="auto"/>
        <w:rPr>
          <w:sz w:val="20"/>
          <w:szCs w:val="20"/>
          <w:color w:val="auto"/>
        </w:rPr>
      </w:pPr>
      <w:r>
        <w:rPr>
          <w:rFonts w:ascii="Arial" w:cs="Arial" w:eastAsia="Arial" w:hAnsi="Arial"/>
          <w:sz w:val="15"/>
          <w:szCs w:val="15"/>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 position, results of operations or cash flows. See Note 23 - Commitments and Contingencies to our unaudited consolidated financial statements contained herein for details.</w:t>
      </w:r>
    </w:p>
    <w:p>
      <w:pPr>
        <w:spacing w:after="0" w:line="381"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0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6"/>
          <w:szCs w:val="16"/>
          <w:color w:val="auto"/>
        </w:rPr>
        <w:t>We have disclosed below, as well as under the heading “Risk Factors” in our Annual Report on Form 10-K for the fiscal year ended December 31, 2021 (the “2021 Form 10-K”), supplemented by the disclosure below, a number of risks which may materially affect our business, financial condition or results of operations. You should carefully consider these Risk Factors and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277"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b w:val="1"/>
          <w:bCs w:val="1"/>
          <w:i w:val="1"/>
          <w:iCs w:val="1"/>
          <w:color w:val="auto"/>
        </w:rPr>
        <w:t>Our results of operations could be adversely affected by economic and political conditions globally and the effects of these conditions on our clients’ businesses and levels of business activity.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50" w:name="page51"/>
    <w:bookmarkEnd w:id="5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4"/>
          <w:szCs w:val="14"/>
          <w:color w:val="auto"/>
        </w:rPr>
        <w:t>The Russian invasion of Ukraine has resulted in increased volatility in various financial markets and across various sectors. The United States and other countries, along with certain international organizations, have imposed economic sanctions on Russia and on certain Russian financial institutions and state-owned entities as a response to the invasion. The extent and duration of the military action, resulting sanctions and future market disruptions in the region are impossible to predict. Moreover, the ongoing effects of the hostilities and sanctions may not be limited to Russia and Russian companies and may spill over to and negatively impact other regional and global economic markets.</w:t>
      </w:r>
    </w:p>
    <w:p>
      <w:pPr>
        <w:spacing w:after="0" w:line="200" w:lineRule="exact"/>
        <w:rPr>
          <w:sz w:val="20"/>
          <w:szCs w:val="20"/>
          <w:color w:val="auto"/>
        </w:rPr>
      </w:pPr>
    </w:p>
    <w:p>
      <w:pPr>
        <w:spacing w:after="0" w:line="279"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Unregistered Sales of Equity Securities</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Proceeds</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None.</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Purchases of Equity Securities by the Issuer</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the three months ended March 31, 2022, purchases of common stock were as follows:</w:t>
      </w:r>
    </w:p>
    <w:p>
      <w:pPr>
        <w:spacing w:after="0" w:line="107"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jc w:val="center"/>
              <w:ind w:left="209"/>
              <w:spacing w:after="0"/>
              <w:rPr>
                <w:sz w:val="20"/>
                <w:szCs w:val="20"/>
                <w:color w:val="auto"/>
              </w:rPr>
            </w:pPr>
            <w:r>
              <w:rPr>
                <w:rFonts w:ascii="Arial" w:cs="Arial" w:eastAsia="Arial" w:hAnsi="Arial"/>
                <w:sz w:val="13"/>
                <w:szCs w:val="13"/>
                <w:b w:val="1"/>
                <w:bCs w:val="1"/>
                <w:color w:val="auto"/>
                <w:w w:val="90"/>
              </w:rPr>
              <w:t>Total Number of</w:t>
            </w: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2"/>
          </w:tcPr>
          <w:p>
            <w:pPr>
              <w:ind w:left="580"/>
              <w:spacing w:after="0"/>
              <w:rPr>
                <w:sz w:val="20"/>
                <w:szCs w:val="20"/>
                <w:color w:val="auto"/>
              </w:rPr>
            </w:pPr>
            <w:r>
              <w:rPr>
                <w:rFonts w:ascii="Arial" w:cs="Arial" w:eastAsia="Arial" w:hAnsi="Arial"/>
                <w:sz w:val="13"/>
                <w:szCs w:val="13"/>
                <w:b w:val="1"/>
                <w:bCs w:val="1"/>
                <w:color w:val="auto"/>
              </w:rPr>
              <w:t>Total Number of</w:t>
            </w:r>
          </w:p>
        </w:tc>
        <w:tc>
          <w:tcPr>
            <w:tcW w:w="21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Approximate Dollar Value of</w:t>
            </w:r>
          </w:p>
        </w:tc>
        <w:tc>
          <w:tcPr>
            <w:tcW w:w="0" w:type="dxa"/>
            <w:vAlign w:val="bottom"/>
          </w:tcPr>
          <w:p>
            <w:pPr>
              <w:spacing w:after="0"/>
              <w:rPr>
                <w:sz w:val="1"/>
                <w:szCs w:val="1"/>
                <w:color w:val="auto"/>
              </w:rPr>
            </w:pPr>
          </w:p>
        </w:tc>
      </w:tr>
      <w:tr>
        <w:trPr>
          <w:trHeight w:val="119"/>
        </w:trPr>
        <w:tc>
          <w:tcPr>
            <w:tcW w:w="3540" w:type="dxa"/>
            <w:vAlign w:val="bottom"/>
            <w:gridSpan w:val="2"/>
            <w:vMerge w:val="restart"/>
          </w:tcPr>
          <w:p>
            <w:pPr>
              <w:ind w:left="400"/>
              <w:spacing w:after="0"/>
              <w:rPr>
                <w:sz w:val="20"/>
                <w:szCs w:val="20"/>
                <w:color w:val="auto"/>
              </w:rPr>
            </w:pPr>
            <w:r>
              <w:rPr>
                <w:rFonts w:ascii="Arial" w:cs="Arial" w:eastAsia="Arial" w:hAnsi="Arial"/>
                <w:sz w:val="13"/>
                <w:szCs w:val="13"/>
                <w:b w:val="1"/>
                <w:bCs w:val="1"/>
                <w:color w:val="auto"/>
              </w:rPr>
              <w:t>Period</w:t>
            </w:r>
          </w:p>
        </w:tc>
        <w:tc>
          <w:tcPr>
            <w:tcW w:w="154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Average Price</w:t>
            </w:r>
            <w:r>
              <w:rPr>
                <w:rFonts w:ascii="Arial" w:cs="Arial" w:eastAsia="Arial" w:hAnsi="Arial"/>
                <w:sz w:val="16"/>
                <w:szCs w:val="16"/>
                <w:b w:val="1"/>
                <w:bCs w:val="1"/>
                <w:color w:val="auto"/>
                <w:vertAlign w:val="subscript"/>
              </w:rPr>
              <w:t>(1)</w:t>
            </w:r>
          </w:p>
        </w:tc>
        <w:tc>
          <w:tcPr>
            <w:tcW w:w="17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85"/>
              </w:rPr>
              <w:t>Shares Purchased as Part of</w:t>
            </w:r>
          </w:p>
        </w:tc>
        <w:tc>
          <w:tcPr>
            <w:tcW w:w="2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540" w:type="dxa"/>
            <w:vAlign w:val="bottom"/>
            <w:gridSpan w:val="2"/>
            <w:vMerge w:val="continue"/>
          </w:tcPr>
          <w:p>
            <w:pPr>
              <w:spacing w:after="0"/>
              <w:rPr>
                <w:sz w:val="10"/>
                <w:szCs w:val="10"/>
                <w:color w:val="auto"/>
              </w:rPr>
            </w:pPr>
          </w:p>
        </w:tc>
        <w:tc>
          <w:tcPr>
            <w:tcW w:w="1540" w:type="dxa"/>
            <w:vAlign w:val="bottom"/>
            <w:gridSpan w:val="2"/>
          </w:tcPr>
          <w:p>
            <w:pPr>
              <w:jc w:val="center"/>
              <w:ind w:left="209"/>
              <w:spacing w:after="0" w:line="119" w:lineRule="exact"/>
              <w:rPr>
                <w:sz w:val="20"/>
                <w:szCs w:val="20"/>
                <w:color w:val="auto"/>
              </w:rPr>
            </w:pPr>
            <w:r>
              <w:rPr>
                <w:rFonts w:ascii="Arial" w:cs="Arial" w:eastAsia="Arial" w:hAnsi="Arial"/>
                <w:sz w:val="13"/>
                <w:szCs w:val="13"/>
                <w:b w:val="1"/>
                <w:bCs w:val="1"/>
                <w:color w:val="auto"/>
                <w:w w:val="87"/>
              </w:rPr>
              <w:t>Shares</w:t>
            </w:r>
          </w:p>
        </w:tc>
        <w:tc>
          <w:tcPr>
            <w:tcW w:w="5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7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88"/>
              </w:rPr>
              <w:t>Publicly</w:t>
            </w:r>
          </w:p>
        </w:tc>
        <w:tc>
          <w:tcPr>
            <w:tcW w:w="2100" w:type="dxa"/>
            <w:vAlign w:val="bottom"/>
            <w:gridSpan w:val="2"/>
          </w:tcPr>
          <w:p>
            <w:pPr>
              <w:jc w:val="right"/>
              <w:ind w:right="21"/>
              <w:spacing w:after="0" w:line="119" w:lineRule="exact"/>
              <w:rPr>
                <w:sz w:val="20"/>
                <w:szCs w:val="20"/>
                <w:color w:val="auto"/>
              </w:rPr>
            </w:pPr>
            <w:r>
              <w:rPr>
                <w:rFonts w:ascii="Arial" w:cs="Arial" w:eastAsia="Arial" w:hAnsi="Arial"/>
                <w:sz w:val="13"/>
                <w:szCs w:val="13"/>
                <w:b w:val="1"/>
                <w:bCs w:val="1"/>
                <w:color w:val="auto"/>
                <w:w w:val="91"/>
              </w:rPr>
              <w:t>Shares That May Yet Be Purchased</w:t>
            </w: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tcPr>
          <w:p>
            <w:pPr>
              <w:ind w:left="380"/>
              <w:spacing w:after="0" w:line="119" w:lineRule="exact"/>
              <w:rPr>
                <w:sz w:val="20"/>
                <w:szCs w:val="20"/>
                <w:color w:val="auto"/>
              </w:rPr>
            </w:pPr>
            <w:r>
              <w:rPr>
                <w:rFonts w:ascii="Arial" w:cs="Arial" w:eastAsia="Arial" w:hAnsi="Arial"/>
                <w:sz w:val="10"/>
                <w:szCs w:val="10"/>
                <w:b w:val="1"/>
                <w:bCs w:val="1"/>
                <w:color w:val="auto"/>
              </w:rPr>
              <w:t>Purchased</w:t>
            </w:r>
            <w:r>
              <w:rPr>
                <w:rFonts w:ascii="Arial" w:cs="Arial" w:eastAsia="Arial" w:hAnsi="Arial"/>
                <w:sz w:val="13"/>
                <w:szCs w:val="13"/>
                <w:b w:val="1"/>
                <w:bCs w:val="1"/>
                <w:color w:val="auto"/>
                <w:vertAlign w:val="superscript"/>
              </w:rPr>
              <w:t>(1)</w:t>
            </w:r>
          </w:p>
        </w:tc>
        <w:tc>
          <w:tcPr>
            <w:tcW w:w="520" w:type="dxa"/>
            <w:vAlign w:val="bottom"/>
          </w:tcPr>
          <w:p>
            <w:pPr>
              <w:spacing w:after="0"/>
              <w:rPr>
                <w:sz w:val="10"/>
                <w:szCs w:val="10"/>
                <w:color w:val="auto"/>
              </w:rPr>
            </w:pPr>
          </w:p>
        </w:tc>
        <w:tc>
          <w:tcPr>
            <w:tcW w:w="12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Paid per share</w:t>
            </w:r>
          </w:p>
        </w:tc>
        <w:tc>
          <w:tcPr>
            <w:tcW w:w="17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86"/>
              </w:rPr>
              <w:t>Announced Plans or</w:t>
            </w:r>
          </w:p>
        </w:tc>
        <w:tc>
          <w:tcPr>
            <w:tcW w:w="2100" w:type="dxa"/>
            <w:vAlign w:val="bottom"/>
            <w:gridSpan w:val="2"/>
          </w:tcPr>
          <w:p>
            <w:pPr>
              <w:jc w:val="right"/>
              <w:ind w:right="181"/>
              <w:spacing w:after="0" w:line="119" w:lineRule="exact"/>
              <w:rPr>
                <w:sz w:val="20"/>
                <w:szCs w:val="20"/>
                <w:color w:val="auto"/>
              </w:rPr>
            </w:pPr>
            <w:r>
              <w:rPr>
                <w:rFonts w:ascii="Arial" w:cs="Arial" w:eastAsia="Arial" w:hAnsi="Arial"/>
                <w:sz w:val="13"/>
                <w:szCs w:val="13"/>
                <w:b w:val="1"/>
                <w:bCs w:val="1"/>
                <w:color w:val="auto"/>
              </w:rPr>
              <w:t>Under the Plans or Programs</w:t>
            </w:r>
          </w:p>
        </w:tc>
        <w:tc>
          <w:tcPr>
            <w:tcW w:w="0" w:type="dxa"/>
            <w:vAlign w:val="bottom"/>
          </w:tcPr>
          <w:p>
            <w:pPr>
              <w:spacing w:after="0"/>
              <w:rPr>
                <w:sz w:val="1"/>
                <w:szCs w:val="1"/>
                <w:color w:val="auto"/>
              </w:rPr>
            </w:pPr>
          </w:p>
        </w:tc>
      </w:tr>
      <w:tr>
        <w:trPr>
          <w:trHeight w:val="166"/>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Programs</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Jan 1, 2022 through Jan 31, 2022</w:t>
            </w:r>
          </w:p>
        </w:tc>
        <w:tc>
          <w:tcPr>
            <w:tcW w:w="1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6"/>
                <w:szCs w:val="16"/>
                <w:color w:val="auto"/>
              </w:rPr>
              <w:t>100,946</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127.91</w:t>
            </w:r>
          </w:p>
        </w:tc>
        <w:tc>
          <w:tcPr>
            <w:tcW w:w="1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87,200</w:t>
            </w: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288,710,853</w:t>
            </w:r>
          </w:p>
        </w:tc>
        <w:tc>
          <w:tcPr>
            <w:tcW w:w="0" w:type="dxa"/>
            <w:vAlign w:val="bottom"/>
          </w:tcPr>
          <w:p>
            <w:pPr>
              <w:spacing w:after="0"/>
              <w:rPr>
                <w:sz w:val="1"/>
                <w:szCs w:val="1"/>
                <w:color w:val="auto"/>
              </w:rPr>
            </w:pPr>
          </w:p>
        </w:tc>
      </w:tr>
      <w:tr>
        <w:trPr>
          <w:trHeight w:val="201"/>
        </w:trPr>
        <w:tc>
          <w:tcPr>
            <w:tcW w:w="3540" w:type="dxa"/>
            <w:vAlign w:val="bottom"/>
            <w:gridSpan w:val="2"/>
          </w:tcPr>
          <w:p>
            <w:pPr>
              <w:ind w:left="400"/>
              <w:spacing w:after="0"/>
              <w:rPr>
                <w:sz w:val="20"/>
                <w:szCs w:val="20"/>
                <w:color w:val="auto"/>
              </w:rPr>
            </w:pPr>
            <w:r>
              <w:rPr>
                <w:rFonts w:ascii="Arial" w:cs="Arial" w:eastAsia="Arial" w:hAnsi="Arial"/>
                <w:sz w:val="16"/>
                <w:szCs w:val="16"/>
                <w:color w:val="auto"/>
              </w:rPr>
              <w:t>Feb 1, 2022 through Feb 28, 2022</w:t>
            </w:r>
          </w:p>
        </w:tc>
        <w:tc>
          <w:tcPr>
            <w:tcW w:w="1440" w:type="dxa"/>
            <w:vAlign w:val="bottom"/>
          </w:tcPr>
          <w:p>
            <w:pPr>
              <w:jc w:val="right"/>
              <w:ind w:right="9"/>
              <w:spacing w:after="0"/>
              <w:rPr>
                <w:sz w:val="20"/>
                <w:szCs w:val="20"/>
                <w:color w:val="auto"/>
              </w:rPr>
            </w:pPr>
            <w:r>
              <w:rPr>
                <w:rFonts w:ascii="Arial" w:cs="Arial" w:eastAsia="Arial" w:hAnsi="Arial"/>
                <w:sz w:val="16"/>
                <w:szCs w:val="16"/>
                <w:color w:val="auto"/>
              </w:rPr>
              <w:t>85,707</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119.21</w:t>
            </w: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72,733</w:t>
            </w:r>
          </w:p>
        </w:tc>
        <w:tc>
          <w:tcPr>
            <w:tcW w:w="10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280,000,040</w:t>
            </w:r>
          </w:p>
        </w:tc>
        <w:tc>
          <w:tcPr>
            <w:tcW w:w="0" w:type="dxa"/>
            <w:vAlign w:val="bottom"/>
          </w:tcPr>
          <w:p>
            <w:pPr>
              <w:spacing w:after="0"/>
              <w:rPr>
                <w:sz w:val="1"/>
                <w:szCs w:val="1"/>
                <w:color w:val="auto"/>
              </w:rPr>
            </w:pPr>
          </w:p>
        </w:tc>
      </w:tr>
      <w:tr>
        <w:trPr>
          <w:trHeight w:val="202"/>
        </w:trPr>
        <w:tc>
          <w:tcPr>
            <w:tcW w:w="35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Mar 1, 2022 through Mar 31, 2022</w:t>
            </w:r>
          </w:p>
        </w:tc>
        <w:tc>
          <w:tcPr>
            <w:tcW w:w="14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6"/>
                <w:szCs w:val="16"/>
                <w:color w:val="auto"/>
              </w:rPr>
              <w:t>61,899</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133.37</w:t>
            </w:r>
          </w:p>
        </w:tc>
        <w:tc>
          <w:tcPr>
            <w:tcW w:w="120" w:type="dxa"/>
            <w:vAlign w:val="bottom"/>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61,400</w:t>
            </w:r>
          </w:p>
        </w:tc>
        <w:tc>
          <w:tcPr>
            <w:tcW w:w="1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271,806,060</w:t>
            </w:r>
          </w:p>
        </w:tc>
        <w:tc>
          <w:tcPr>
            <w:tcW w:w="0" w:type="dxa"/>
            <w:vAlign w:val="bottom"/>
          </w:tcPr>
          <w:p>
            <w:pPr>
              <w:spacing w:after="0"/>
              <w:rPr>
                <w:sz w:val="1"/>
                <w:szCs w:val="1"/>
                <w:color w:val="auto"/>
              </w:rPr>
            </w:pPr>
          </w:p>
        </w:tc>
      </w:tr>
      <w:tr>
        <w:trPr>
          <w:trHeight w:val="194"/>
        </w:trPr>
        <w:tc>
          <w:tcPr>
            <w:tcW w:w="3540" w:type="dxa"/>
            <w:vAlign w:val="bottom"/>
            <w:gridSpan w:val="2"/>
          </w:tcPr>
          <w:p>
            <w:pPr>
              <w:ind w:left="40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jc w:val="right"/>
              <w:ind w:right="9"/>
              <w:spacing w:after="0"/>
              <w:rPr>
                <w:sz w:val="20"/>
                <w:szCs w:val="20"/>
                <w:color w:val="auto"/>
              </w:rPr>
            </w:pPr>
            <w:r>
              <w:rPr>
                <w:rFonts w:ascii="Arial" w:cs="Arial" w:eastAsia="Arial" w:hAnsi="Arial"/>
                <w:sz w:val="16"/>
                <w:szCs w:val="16"/>
                <w:color w:val="auto"/>
              </w:rPr>
              <w:t>248,552</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126.27</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221,333</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jc w:val="both"/>
        <w:ind w:left="360" w:hanging="9"/>
        <w:spacing w:after="0" w:line="258" w:lineRule="auto"/>
        <w:tabs>
          <w:tab w:leader="none" w:pos="588"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Includes 27,219 shares of the Company’s common stock acquired by the Company at the price of $117.23 in connection with satisfaction of tax withholding obligations on vested restricted stock. The price paid per share for the restricted stock was the closing price of common stock on the trading day prior to the vesting date of the restricted stock units.</w:t>
      </w:r>
    </w:p>
    <w:p>
      <w:pPr>
        <w:spacing w:after="0" w:line="285" w:lineRule="exact"/>
        <w:rPr>
          <w:sz w:val="20"/>
          <w:szCs w:val="20"/>
          <w:color w:val="auto"/>
        </w:rPr>
      </w:pPr>
    </w:p>
    <w:p>
      <w:pPr>
        <w:jc w:val="both"/>
        <w:ind w:firstLine="356"/>
        <w:spacing w:after="0" w:line="254" w:lineRule="auto"/>
        <w:rPr>
          <w:sz w:val="20"/>
          <w:szCs w:val="20"/>
          <w:color w:val="auto"/>
        </w:rPr>
      </w:pPr>
      <w:r>
        <w:rPr>
          <w:rFonts w:ascii="Arial" w:cs="Arial" w:eastAsia="Arial" w:hAnsi="Arial"/>
          <w:sz w:val="16"/>
          <w:szCs w:val="16"/>
          <w:color w:val="auto"/>
        </w:rPr>
        <w:t>On October 5, 2021, the Company’s Board of Directors authorized a $300 million common stock repurchase program beginning January 1, 2022 (the “2022 Repurchase Program”).</w:t>
      </w:r>
    </w:p>
    <w:p>
      <w:pPr>
        <w:spacing w:after="0" w:line="181" w:lineRule="exact"/>
        <w:rPr>
          <w:sz w:val="20"/>
          <w:szCs w:val="20"/>
          <w:color w:val="auto"/>
        </w:rPr>
      </w:pPr>
    </w:p>
    <w:p>
      <w:pPr>
        <w:jc w:val="both"/>
        <w:ind w:right="20" w:firstLine="356"/>
        <w:spacing w:after="0" w:line="243" w:lineRule="auto"/>
        <w:rPr>
          <w:sz w:val="20"/>
          <w:szCs w:val="20"/>
          <w:color w:val="auto"/>
        </w:rPr>
      </w:pPr>
      <w:r>
        <w:rPr>
          <w:rFonts w:ascii="Arial" w:cs="Arial" w:eastAsia="Arial" w:hAnsi="Arial"/>
          <w:sz w:val="16"/>
          <w:szCs w:val="16"/>
          <w:color w:val="auto"/>
        </w:rPr>
        <w:t>Under the 2022 Repurchase Program, shares may be purchased by the Company from time to time from the open market and through private transactions, or otherwise, as determined by the Company’s management as market conditions warrant. The Company has structured open market purchases under the Repurchase Program to comply with Rule 10b-18 under the Exchange Act. Repurchases may be discontinued at any time by management.</w:t>
      </w:r>
    </w:p>
    <w:p>
      <w:pPr>
        <w:spacing w:after="0" w:line="162"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None.</w:t>
      </w:r>
    </w:p>
    <w:p>
      <w:pPr>
        <w:spacing w:after="0" w:line="216"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 applicable.</w:t>
      </w:r>
    </w:p>
    <w:p>
      <w:pPr>
        <w:spacing w:after="0" w:line="216"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4"/>
          <w:szCs w:val="14"/>
          <w:b w:val="1"/>
          <w:bCs w:val="1"/>
          <w:color w:val="auto"/>
        </w:rPr>
        <w:t>Other Information</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51" w:name="page52"/>
    <w:bookmarkEnd w:id="5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9140" w:type="dxa"/>
            <w:vAlign w:val="bottom"/>
            <w:gridSpan w:val="15"/>
          </w:tcPr>
          <w:p>
            <w:pPr>
              <w:ind w:left="80"/>
              <w:spacing w:after="0"/>
              <w:rPr>
                <w:sz w:val="20"/>
                <w:szCs w:val="20"/>
                <w:color w:val="auto"/>
              </w:rPr>
            </w:pPr>
            <w:r>
              <w:rPr>
                <w:rFonts w:ascii="Arial" w:cs="Arial" w:eastAsia="Arial" w:hAnsi="Arial"/>
                <w:sz w:val="16"/>
                <w:szCs w:val="16"/>
                <w:b w:val="1"/>
                <w:bCs w:val="1"/>
                <w:color w:val="auto"/>
              </w:rPr>
              <w:t>Exhibits</w:t>
            </w:r>
          </w:p>
        </w:tc>
      </w:tr>
      <w:tr>
        <w:trPr>
          <w:trHeight w:val="404"/>
        </w:trPr>
        <w:tc>
          <w:tcPr>
            <w:tcW w:w="9800" w:type="dxa"/>
            <w:vAlign w:val="bottom"/>
            <w:gridSpan w:val="16"/>
          </w:tcPr>
          <w:p>
            <w:pPr>
              <w:spacing w:after="0"/>
              <w:rPr>
                <w:sz w:val="20"/>
                <w:szCs w:val="20"/>
                <w:color w:val="auto"/>
              </w:rPr>
            </w:pPr>
            <w:r>
              <w:rPr>
                <w:rFonts w:ascii="Arial" w:cs="Arial" w:eastAsia="Arial" w:hAnsi="Arial"/>
                <w:sz w:val="16"/>
                <w:szCs w:val="16"/>
                <w:color w:val="auto"/>
              </w:rPr>
              <w:t>The following exhibits are being filed as part of this Quarterly Report on Form 10-Q:</w:t>
            </w:r>
          </w:p>
        </w:tc>
      </w:tr>
      <w:tr>
        <w:trPr>
          <w:trHeight w:val="322"/>
        </w:trPr>
        <w:tc>
          <w:tcPr>
            <w:tcW w:w="660" w:type="dxa"/>
            <w:vAlign w:val="bottom"/>
          </w:tcPr>
          <w:p>
            <w:pPr>
              <w:ind w:left="20"/>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24"/>
                <w:szCs w:val="24"/>
                <w:color w:val="auto"/>
              </w:rPr>
            </w:pPr>
          </w:p>
        </w:tc>
        <w:tc>
          <w:tcPr>
            <w:tcW w:w="8860" w:type="dxa"/>
            <w:vAlign w:val="bottom"/>
            <w:gridSpan w:val="14"/>
          </w:tcPr>
          <w:p>
            <w:pPr>
              <w:spacing w:after="0"/>
              <w:rPr>
                <w:rFonts w:ascii="Arial" w:cs="Arial" w:eastAsia="Arial" w:hAnsi="Arial"/>
                <w:sz w:val="16"/>
                <w:szCs w:val="16"/>
                <w:color w:val="0000FF"/>
                <w:w w:val="92"/>
              </w:rPr>
            </w:pPr>
            <w:hyperlink r:id="rId87">
              <w:r>
                <w:rPr>
                  <w:rFonts w:ascii="Arial" w:cs="Arial" w:eastAsia="Arial" w:hAnsi="Arial"/>
                  <w:sz w:val="16"/>
                  <w:szCs w:val="16"/>
                  <w:color w:val="0000FF"/>
                  <w:w w:val="92"/>
                </w:rPr>
                <w:t>Amended and Restated Certificate of Incorporation of the Company, as in effect on the date hereof (incorporated by reference to Exhibit</w:t>
              </w:r>
            </w:hyperlink>
          </w:p>
        </w:tc>
      </w:tr>
      <w:tr>
        <w:trPr>
          <w:trHeight w:val="134"/>
        </w:trPr>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40" w:type="dxa"/>
            <w:vAlign w:val="bottom"/>
            <w:tcBorders>
              <w:top w:val="single" w:sz="8" w:color="0000FF"/>
            </w:tcBorders>
            <w:gridSpan w:val="10"/>
          </w:tcPr>
          <w:p>
            <w:pPr>
              <w:spacing w:after="0" w:line="134" w:lineRule="exact"/>
              <w:rPr>
                <w:rFonts w:ascii="Arial" w:cs="Arial" w:eastAsia="Arial" w:hAnsi="Arial"/>
                <w:sz w:val="15"/>
                <w:szCs w:val="15"/>
                <w:color w:val="0000FF"/>
              </w:rPr>
            </w:pPr>
            <w:hyperlink r:id="rId87">
              <w:r>
                <w:rPr>
                  <w:rFonts w:ascii="Arial" w:cs="Arial" w:eastAsia="Arial" w:hAnsi="Arial"/>
                  <w:sz w:val="15"/>
                  <w:szCs w:val="15"/>
                  <w:color w:val="0000FF"/>
                </w:rPr>
                <w:t>3.</w:t>
              </w:r>
              <w:r>
                <w:rPr>
                  <w:rFonts w:ascii="Arial" w:cs="Arial" w:eastAsia="Arial" w:hAnsi="Arial"/>
                  <w:sz w:val="15"/>
                  <w:szCs w:val="15"/>
                  <w:u w:val="single" w:color="auto"/>
                  <w:color w:val="0000FF"/>
                </w:rPr>
                <w:t>1</w:t>
              </w:r>
              <w:r>
                <w:rPr>
                  <w:rFonts w:ascii="Arial" w:cs="Arial" w:eastAsia="Arial" w:hAnsi="Arial"/>
                  <w:sz w:val="15"/>
                  <w:szCs w:val="15"/>
                  <w:color w:val="0000FF"/>
                </w:rPr>
                <w:t xml:space="preserve"> of the Company’s Current Report on Form 8-K (File No. 1-33089) filed on October 25, 2006).</w:t>
              </w:r>
            </w:hyperlink>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660" w:type="dxa"/>
            <w:vAlign w:val="bottom"/>
          </w:tcPr>
          <w:p>
            <w:pPr>
              <w:ind w:left="20"/>
              <w:spacing w:after="0"/>
              <w:rPr>
                <w:sz w:val="20"/>
                <w:szCs w:val="20"/>
                <w:color w:val="auto"/>
              </w:rPr>
            </w:pPr>
            <w:r>
              <w:rPr>
                <w:rFonts w:ascii="Arial" w:cs="Arial" w:eastAsia="Arial" w:hAnsi="Arial"/>
                <w:sz w:val="16"/>
                <w:szCs w:val="16"/>
                <w:color w:val="auto"/>
              </w:rPr>
              <w:t>3.2</w:t>
            </w:r>
          </w:p>
        </w:tc>
        <w:tc>
          <w:tcPr>
            <w:tcW w:w="280" w:type="dxa"/>
            <w:vAlign w:val="bottom"/>
          </w:tcPr>
          <w:p>
            <w:pPr>
              <w:spacing w:after="0"/>
              <w:rPr>
                <w:sz w:val="23"/>
                <w:szCs w:val="23"/>
                <w:color w:val="auto"/>
              </w:rPr>
            </w:pPr>
          </w:p>
        </w:tc>
        <w:tc>
          <w:tcPr>
            <w:tcW w:w="8860" w:type="dxa"/>
            <w:vAlign w:val="bottom"/>
            <w:gridSpan w:val="14"/>
          </w:tcPr>
          <w:p>
            <w:pPr>
              <w:spacing w:after="0"/>
              <w:rPr>
                <w:rFonts w:ascii="Arial" w:cs="Arial" w:eastAsia="Arial" w:hAnsi="Arial"/>
                <w:sz w:val="16"/>
                <w:szCs w:val="16"/>
                <w:color w:val="0000FF"/>
                <w:w w:val="90"/>
              </w:rPr>
            </w:pPr>
            <w:hyperlink r:id="rId88">
              <w:r>
                <w:rPr>
                  <w:rFonts w:ascii="Arial" w:cs="Arial" w:eastAsia="Arial" w:hAnsi="Arial"/>
                  <w:sz w:val="16"/>
                  <w:szCs w:val="16"/>
                  <w:color w:val="0000FF"/>
                  <w:w w:val="90"/>
                </w:rPr>
                <w:t>Certificate of Amendment to Amended and Restated Certificate of Incorporation of the Company (incorporated by reference to Annex A to</w:t>
              </w:r>
            </w:hyperlink>
          </w:p>
        </w:tc>
      </w:tr>
      <w:tr>
        <w:trPr>
          <w:trHeight w:val="134"/>
        </w:trPr>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40" w:type="dxa"/>
            <w:vAlign w:val="bottom"/>
            <w:tcBorders>
              <w:top w:val="single" w:sz="8" w:color="0000FF"/>
            </w:tcBorders>
            <w:gridSpan w:val="13"/>
          </w:tcPr>
          <w:p>
            <w:pPr>
              <w:spacing w:after="0" w:line="134" w:lineRule="exact"/>
              <w:rPr>
                <w:rFonts w:ascii="Arial" w:cs="Arial" w:eastAsia="Arial" w:hAnsi="Arial"/>
                <w:sz w:val="15"/>
                <w:szCs w:val="15"/>
                <w:color w:val="0000FF"/>
              </w:rPr>
            </w:pPr>
            <w:hyperlink r:id="rId88">
              <w:r>
                <w:rPr>
                  <w:rFonts w:ascii="Arial" w:cs="Arial" w:eastAsia="Arial" w:hAnsi="Arial"/>
                  <w:sz w:val="15"/>
                  <w:szCs w:val="15"/>
                  <w:color w:val="0000FF"/>
                </w:rPr>
                <w:t>the Company’s Definitive Proxy Statement on Schedule 14A (File No. 1-33089) filed on April 26, 2019).</w:t>
              </w:r>
            </w:hyperlink>
          </w:p>
        </w:tc>
        <w:tc>
          <w:tcPr>
            <w:tcW w:w="20" w:type="dxa"/>
            <w:vAlign w:val="bottom"/>
          </w:tcPr>
          <w:p>
            <w:pPr>
              <w:spacing w:after="0"/>
              <w:rPr>
                <w:sz w:val="11"/>
                <w:szCs w:val="11"/>
                <w:color w:val="auto"/>
              </w:rPr>
            </w:pPr>
          </w:p>
        </w:tc>
      </w:tr>
      <w:tr>
        <w:trPr>
          <w:trHeight w:val="20"/>
        </w:trPr>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29"/>
        </w:trPr>
        <w:tc>
          <w:tcPr>
            <w:tcW w:w="660" w:type="dxa"/>
            <w:vAlign w:val="bottom"/>
          </w:tcPr>
          <w:p>
            <w:pPr>
              <w:ind w:left="20"/>
              <w:spacing w:after="0"/>
              <w:rPr>
                <w:sz w:val="20"/>
                <w:szCs w:val="20"/>
                <w:color w:val="auto"/>
              </w:rPr>
            </w:pPr>
            <w:r>
              <w:rPr>
                <w:rFonts w:ascii="Arial" w:cs="Arial" w:eastAsia="Arial" w:hAnsi="Arial"/>
                <w:sz w:val="16"/>
                <w:szCs w:val="16"/>
                <w:color w:val="auto"/>
              </w:rPr>
              <w:t>3.3</w:t>
            </w:r>
          </w:p>
        </w:tc>
        <w:tc>
          <w:tcPr>
            <w:tcW w:w="280" w:type="dxa"/>
            <w:vAlign w:val="bottom"/>
          </w:tcPr>
          <w:p>
            <w:pPr>
              <w:spacing w:after="0"/>
              <w:rPr>
                <w:sz w:val="19"/>
                <w:szCs w:val="19"/>
                <w:color w:val="auto"/>
              </w:rPr>
            </w:pPr>
          </w:p>
        </w:tc>
        <w:tc>
          <w:tcPr>
            <w:tcW w:w="8860" w:type="dxa"/>
            <w:vAlign w:val="bottom"/>
            <w:gridSpan w:val="14"/>
          </w:tcPr>
          <w:p>
            <w:pPr>
              <w:spacing w:after="0"/>
              <w:rPr>
                <w:rFonts w:ascii="Arial" w:cs="Arial" w:eastAsia="Arial" w:hAnsi="Arial"/>
                <w:sz w:val="16"/>
                <w:szCs w:val="16"/>
                <w:color w:val="0000FF"/>
                <w:w w:val="94"/>
              </w:rPr>
            </w:pPr>
            <w:hyperlink r:id="rId89">
              <w:r>
                <w:rPr>
                  <w:rFonts w:ascii="Arial" w:cs="Arial" w:eastAsia="Arial" w:hAnsi="Arial"/>
                  <w:sz w:val="16"/>
                  <w:szCs w:val="16"/>
                  <w:color w:val="0000FF"/>
                  <w:w w:val="94"/>
                </w:rPr>
                <w:t>Fifth Amended and Restated By-laws of ExlService Holdings, Inc. (incorporated by reference to Exhibit 3.2 of the Company’s Current</w:t>
              </w:r>
            </w:hyperlink>
          </w:p>
        </w:tc>
      </w:tr>
      <w:tr>
        <w:trPr>
          <w:trHeight w:val="134"/>
        </w:trPr>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540" w:type="dxa"/>
            <w:vAlign w:val="bottom"/>
            <w:tcBorders>
              <w:top w:val="single" w:sz="8" w:color="0000FF"/>
            </w:tcBorders>
            <w:gridSpan w:val="9"/>
          </w:tcPr>
          <w:p>
            <w:pPr>
              <w:spacing w:after="0" w:line="134" w:lineRule="exact"/>
              <w:rPr>
                <w:rFonts w:ascii="Arial" w:cs="Arial" w:eastAsia="Arial" w:hAnsi="Arial"/>
                <w:sz w:val="15"/>
                <w:szCs w:val="15"/>
                <w:color w:val="0000FF"/>
              </w:rPr>
            </w:pPr>
            <w:hyperlink r:id="rId89">
              <w:r>
                <w:rPr>
                  <w:rFonts w:ascii="Arial" w:cs="Arial" w:eastAsia="Arial" w:hAnsi="Arial"/>
                  <w:sz w:val="15"/>
                  <w:szCs w:val="15"/>
                  <w:color w:val="0000FF"/>
                </w:rPr>
                <w:t>Report on Form 8-K (File No. 1-33089) filed on June 19, 2019)</w:t>
              </w:r>
            </w:hyperlink>
          </w:p>
        </w:tc>
        <w:tc>
          <w:tcPr>
            <w:tcW w:w="1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r>
      <w:tr>
        <w:trPr>
          <w:trHeight w:val="20"/>
        </w:trPr>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65"/>
        </w:trPr>
        <w:tc>
          <w:tcPr>
            <w:tcW w:w="660" w:type="dxa"/>
            <w:vAlign w:val="bottom"/>
          </w:tcPr>
          <w:p>
            <w:pPr>
              <w:ind w:left="20"/>
              <w:spacing w:after="0"/>
              <w:rPr>
                <w:sz w:val="20"/>
                <w:szCs w:val="20"/>
                <w:color w:val="auto"/>
              </w:rPr>
            </w:pPr>
            <w:r>
              <w:rPr>
                <w:rFonts w:ascii="Arial" w:cs="Arial" w:eastAsia="Arial" w:hAnsi="Arial"/>
                <w:sz w:val="16"/>
                <w:szCs w:val="16"/>
                <w:color w:val="auto"/>
              </w:rPr>
              <w:t>31.1</w:t>
            </w:r>
          </w:p>
        </w:tc>
        <w:tc>
          <w:tcPr>
            <w:tcW w:w="280" w:type="dxa"/>
            <w:vAlign w:val="bottom"/>
          </w:tcPr>
          <w:p>
            <w:pPr>
              <w:spacing w:after="0"/>
              <w:rPr>
                <w:sz w:val="23"/>
                <w:szCs w:val="23"/>
                <w:color w:val="auto"/>
              </w:rPr>
            </w:pPr>
          </w:p>
        </w:tc>
        <w:tc>
          <w:tcPr>
            <w:tcW w:w="8860" w:type="dxa"/>
            <w:vAlign w:val="bottom"/>
            <w:gridSpan w:val="14"/>
          </w:tcPr>
          <w:p>
            <w:pPr>
              <w:spacing w:after="0"/>
              <w:rPr>
                <w:rFonts w:ascii="Arial" w:cs="Arial" w:eastAsia="Arial" w:hAnsi="Arial"/>
                <w:sz w:val="16"/>
                <w:szCs w:val="16"/>
                <w:color w:val="0000FF"/>
                <w:w w:val="91"/>
              </w:rPr>
            </w:pPr>
            <w:hyperlink w:anchor="page54">
              <w:r>
                <w:rPr>
                  <w:rFonts w:ascii="Arial" w:cs="Arial" w:eastAsia="Arial" w:hAnsi="Arial"/>
                  <w:sz w:val="16"/>
                  <w:szCs w:val="16"/>
                  <w:color w:val="0000FF"/>
                  <w:w w:val="91"/>
                </w:rPr>
                <w:t>Certification of the Chief Executive Officer of ExlService Holdings, pursuant to Rule 13a-14(a) of the Exchange Act, as adopted pursuant</w:t>
              </w:r>
            </w:hyperlink>
          </w:p>
        </w:tc>
      </w:tr>
      <w:tr>
        <w:trPr>
          <w:trHeight w:val="134"/>
        </w:trPr>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tcBorders>
              <w:top w:val="single" w:sz="8" w:color="0000FF"/>
              <w:bottom w:val="single" w:sz="8" w:color="0000FF"/>
            </w:tcBorders>
          </w:tcPr>
          <w:p>
            <w:pPr>
              <w:spacing w:after="0" w:line="134" w:lineRule="exact"/>
              <w:rPr>
                <w:rFonts w:ascii="Arial" w:cs="Arial" w:eastAsia="Arial" w:hAnsi="Arial"/>
                <w:sz w:val="15"/>
                <w:szCs w:val="15"/>
                <w:color w:val="0000FF"/>
                <w:w w:val="95"/>
              </w:rPr>
            </w:pPr>
            <w:hyperlink w:anchor="page54">
              <w:r>
                <w:rPr>
                  <w:rFonts w:ascii="Arial" w:cs="Arial" w:eastAsia="Arial" w:hAnsi="Arial"/>
                  <w:sz w:val="15"/>
                  <w:szCs w:val="15"/>
                  <w:color w:val="0000FF"/>
                  <w:w w:val="95"/>
                </w:rPr>
                <w:t>to Section 302 of the Sarbanes-Oxley Act of 2002.</w:t>
              </w:r>
            </w:hyperlink>
          </w:p>
        </w:tc>
        <w:tc>
          <w:tcPr>
            <w:tcW w:w="5520" w:type="dxa"/>
            <w:vAlign w:val="bottom"/>
            <w:tcBorders>
              <w:top w:val="single" w:sz="8" w:color="0000FF"/>
            </w:tcBorders>
            <w:gridSpan w:val="11"/>
          </w:tcPr>
          <w:p>
            <w:pPr>
              <w:spacing w:after="0"/>
              <w:rPr>
                <w:sz w:val="11"/>
                <w:szCs w:val="11"/>
                <w:color w:val="auto"/>
              </w:rPr>
            </w:pPr>
          </w:p>
        </w:tc>
        <w:tc>
          <w:tcPr>
            <w:tcW w:w="120" w:type="dxa"/>
            <w:vAlign w:val="bottom"/>
            <w:gridSpan w:val="2"/>
          </w:tcPr>
          <w:p>
            <w:pPr>
              <w:spacing w:after="0"/>
              <w:rPr>
                <w:sz w:val="11"/>
                <w:szCs w:val="11"/>
                <w:color w:val="auto"/>
              </w:rPr>
            </w:pPr>
          </w:p>
        </w:tc>
      </w:tr>
      <w:tr>
        <w:trPr>
          <w:trHeight w:val="229"/>
        </w:trPr>
        <w:tc>
          <w:tcPr>
            <w:tcW w:w="660" w:type="dxa"/>
            <w:vAlign w:val="bottom"/>
          </w:tcPr>
          <w:p>
            <w:pPr>
              <w:ind w:left="20"/>
              <w:spacing w:after="0"/>
              <w:rPr>
                <w:sz w:val="20"/>
                <w:szCs w:val="20"/>
                <w:color w:val="auto"/>
              </w:rPr>
            </w:pPr>
            <w:r>
              <w:rPr>
                <w:rFonts w:ascii="Arial" w:cs="Arial" w:eastAsia="Arial" w:hAnsi="Arial"/>
                <w:sz w:val="16"/>
                <w:szCs w:val="16"/>
                <w:color w:val="auto"/>
              </w:rPr>
              <w:t>31.2</w:t>
            </w:r>
          </w:p>
        </w:tc>
        <w:tc>
          <w:tcPr>
            <w:tcW w:w="280" w:type="dxa"/>
            <w:vAlign w:val="bottom"/>
          </w:tcPr>
          <w:p>
            <w:pPr>
              <w:spacing w:after="0"/>
              <w:rPr>
                <w:sz w:val="19"/>
                <w:szCs w:val="19"/>
                <w:color w:val="auto"/>
              </w:rPr>
            </w:pPr>
          </w:p>
        </w:tc>
        <w:tc>
          <w:tcPr>
            <w:tcW w:w="8860" w:type="dxa"/>
            <w:vAlign w:val="bottom"/>
            <w:gridSpan w:val="14"/>
          </w:tcPr>
          <w:p>
            <w:pPr>
              <w:spacing w:after="0"/>
              <w:rPr>
                <w:rFonts w:ascii="Arial" w:cs="Arial" w:eastAsia="Arial" w:hAnsi="Arial"/>
                <w:sz w:val="16"/>
                <w:szCs w:val="16"/>
                <w:color w:val="0000FF"/>
                <w:w w:val="92"/>
              </w:rPr>
            </w:pPr>
            <w:hyperlink w:anchor="page55">
              <w:r>
                <w:rPr>
                  <w:rFonts w:ascii="Arial" w:cs="Arial" w:eastAsia="Arial" w:hAnsi="Arial"/>
                  <w:sz w:val="16"/>
                  <w:szCs w:val="16"/>
                  <w:color w:val="0000FF"/>
                  <w:w w:val="92"/>
                </w:rPr>
                <w:t>Certification of the Chief Financial Officer of ExlService Holdings, pursuant to Rule 13a-14(a) of the Exchange Act, as adopted pursuant</w:t>
              </w:r>
            </w:hyperlink>
          </w:p>
        </w:tc>
      </w:tr>
      <w:tr>
        <w:trPr>
          <w:trHeight w:val="134"/>
        </w:trPr>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tcBorders>
              <w:top w:val="single" w:sz="8" w:color="0000FF"/>
              <w:bottom w:val="single" w:sz="8" w:color="0000FF"/>
            </w:tcBorders>
          </w:tcPr>
          <w:p>
            <w:pPr>
              <w:spacing w:after="0" w:line="134" w:lineRule="exact"/>
              <w:rPr>
                <w:rFonts w:ascii="Arial" w:cs="Arial" w:eastAsia="Arial" w:hAnsi="Arial"/>
                <w:sz w:val="15"/>
                <w:szCs w:val="15"/>
                <w:color w:val="0000FF"/>
                <w:w w:val="95"/>
              </w:rPr>
            </w:pPr>
            <w:hyperlink w:anchor="page55">
              <w:r>
                <w:rPr>
                  <w:rFonts w:ascii="Arial" w:cs="Arial" w:eastAsia="Arial" w:hAnsi="Arial"/>
                  <w:sz w:val="15"/>
                  <w:szCs w:val="15"/>
                  <w:color w:val="0000FF"/>
                  <w:w w:val="95"/>
                </w:rPr>
                <w:t>to Section 302 of the Sarbanes-Oxley Act of 2002.</w:t>
              </w:r>
            </w:hyperlink>
          </w:p>
        </w:tc>
        <w:tc>
          <w:tcPr>
            <w:tcW w:w="5480" w:type="dxa"/>
            <w:vAlign w:val="bottom"/>
            <w:tcBorders>
              <w:top w:val="single" w:sz="8" w:color="0000FF"/>
            </w:tcBorders>
            <w:gridSpan w:val="10"/>
          </w:tcPr>
          <w:p>
            <w:pPr>
              <w:spacing w:after="0"/>
              <w:rPr>
                <w:sz w:val="11"/>
                <w:szCs w:val="11"/>
                <w:color w:val="auto"/>
              </w:rPr>
            </w:pPr>
          </w:p>
        </w:tc>
        <w:tc>
          <w:tcPr>
            <w:tcW w:w="160" w:type="dxa"/>
            <w:vAlign w:val="bottom"/>
            <w:gridSpan w:val="3"/>
          </w:tcPr>
          <w:p>
            <w:pPr>
              <w:spacing w:after="0"/>
              <w:rPr>
                <w:sz w:val="11"/>
                <w:szCs w:val="11"/>
                <w:color w:val="auto"/>
              </w:rPr>
            </w:pPr>
          </w:p>
        </w:tc>
      </w:tr>
      <w:tr>
        <w:trPr>
          <w:trHeight w:val="229"/>
        </w:trPr>
        <w:tc>
          <w:tcPr>
            <w:tcW w:w="660" w:type="dxa"/>
            <w:vAlign w:val="bottom"/>
          </w:tcPr>
          <w:p>
            <w:pPr>
              <w:ind w:left="20"/>
              <w:spacing w:after="0"/>
              <w:rPr>
                <w:sz w:val="20"/>
                <w:szCs w:val="20"/>
                <w:color w:val="auto"/>
              </w:rPr>
            </w:pPr>
            <w:r>
              <w:rPr>
                <w:rFonts w:ascii="Arial" w:cs="Arial" w:eastAsia="Arial" w:hAnsi="Arial"/>
                <w:sz w:val="16"/>
                <w:szCs w:val="16"/>
                <w:color w:val="auto"/>
              </w:rPr>
              <w:t>32.1</w:t>
            </w:r>
          </w:p>
        </w:tc>
        <w:tc>
          <w:tcPr>
            <w:tcW w:w="280" w:type="dxa"/>
            <w:vAlign w:val="bottom"/>
          </w:tcPr>
          <w:p>
            <w:pPr>
              <w:spacing w:after="0"/>
              <w:rPr>
                <w:sz w:val="19"/>
                <w:szCs w:val="19"/>
                <w:color w:val="auto"/>
              </w:rPr>
            </w:pPr>
          </w:p>
        </w:tc>
        <w:tc>
          <w:tcPr>
            <w:tcW w:w="8860" w:type="dxa"/>
            <w:vAlign w:val="bottom"/>
            <w:gridSpan w:val="14"/>
          </w:tcPr>
          <w:p>
            <w:pPr>
              <w:spacing w:after="0"/>
              <w:rPr>
                <w:rFonts w:ascii="Arial" w:cs="Arial" w:eastAsia="Arial" w:hAnsi="Arial"/>
                <w:sz w:val="16"/>
                <w:szCs w:val="16"/>
                <w:color w:val="0000FF"/>
                <w:w w:val="95"/>
              </w:rPr>
            </w:pPr>
            <w:hyperlink w:anchor="page56">
              <w:r>
                <w:rPr>
                  <w:rFonts w:ascii="Arial" w:cs="Arial" w:eastAsia="Arial" w:hAnsi="Arial"/>
                  <w:sz w:val="16"/>
                  <w:szCs w:val="16"/>
                  <w:color w:val="0000FF"/>
                  <w:w w:val="95"/>
                </w:rPr>
                <w:t>Certification of the Chief Executive Officer pursuant to Rule 13a-14(b) of the Exchange Act and 18 U.S.C. Section 1350, as adopted</w:t>
              </w:r>
            </w:hyperlink>
          </w:p>
        </w:tc>
      </w:tr>
      <w:tr>
        <w:trPr>
          <w:trHeight w:val="134"/>
        </w:trPr>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20" w:type="dxa"/>
            <w:vAlign w:val="bottom"/>
            <w:tcBorders>
              <w:top w:val="single" w:sz="8" w:color="0000FF"/>
              <w:bottom w:val="single" w:sz="8" w:color="0000FF"/>
            </w:tcBorders>
            <w:gridSpan w:val="3"/>
          </w:tcPr>
          <w:p>
            <w:pPr>
              <w:spacing w:after="0" w:line="134" w:lineRule="exact"/>
              <w:rPr>
                <w:rFonts w:ascii="Arial" w:cs="Arial" w:eastAsia="Arial" w:hAnsi="Arial"/>
                <w:sz w:val="15"/>
                <w:szCs w:val="15"/>
                <w:color w:val="0000FF"/>
                <w:w w:val="95"/>
              </w:rPr>
            </w:pPr>
            <w:hyperlink w:anchor="page56">
              <w:r>
                <w:rPr>
                  <w:rFonts w:ascii="Arial" w:cs="Arial" w:eastAsia="Arial" w:hAnsi="Arial"/>
                  <w:sz w:val="15"/>
                  <w:szCs w:val="15"/>
                  <w:color w:val="0000FF"/>
                  <w:w w:val="95"/>
                </w:rPr>
                <w:t>pursuant to Section 906 of the Sarbanes-Oxley Act of 2002.</w:t>
              </w:r>
            </w:hyperlink>
          </w:p>
        </w:tc>
        <w:tc>
          <w:tcPr>
            <w:tcW w:w="4580" w:type="dxa"/>
            <w:vAlign w:val="bottom"/>
            <w:tcBorders>
              <w:top w:val="single" w:sz="8" w:color="0000FF"/>
            </w:tcBorders>
            <w:gridSpan w:val="5"/>
          </w:tcPr>
          <w:p>
            <w:pPr>
              <w:spacing w:after="0"/>
              <w:rPr>
                <w:sz w:val="11"/>
                <w:szCs w:val="11"/>
                <w:color w:val="auto"/>
              </w:rPr>
            </w:pPr>
          </w:p>
        </w:tc>
        <w:tc>
          <w:tcPr>
            <w:tcW w:w="460" w:type="dxa"/>
            <w:vAlign w:val="bottom"/>
            <w:gridSpan w:val="6"/>
          </w:tcPr>
          <w:p>
            <w:pPr>
              <w:spacing w:after="0"/>
              <w:rPr>
                <w:sz w:val="11"/>
                <w:szCs w:val="11"/>
                <w:color w:val="auto"/>
              </w:rPr>
            </w:pPr>
          </w:p>
        </w:tc>
      </w:tr>
      <w:tr>
        <w:trPr>
          <w:trHeight w:val="229"/>
        </w:trPr>
        <w:tc>
          <w:tcPr>
            <w:tcW w:w="660" w:type="dxa"/>
            <w:vAlign w:val="bottom"/>
          </w:tcPr>
          <w:p>
            <w:pPr>
              <w:ind w:left="20"/>
              <w:spacing w:after="0"/>
              <w:rPr>
                <w:sz w:val="20"/>
                <w:szCs w:val="20"/>
                <w:color w:val="auto"/>
              </w:rPr>
            </w:pPr>
            <w:r>
              <w:rPr>
                <w:rFonts w:ascii="Arial" w:cs="Arial" w:eastAsia="Arial" w:hAnsi="Arial"/>
                <w:sz w:val="16"/>
                <w:szCs w:val="16"/>
                <w:color w:val="auto"/>
              </w:rPr>
              <w:t>32.2</w:t>
            </w:r>
          </w:p>
        </w:tc>
        <w:tc>
          <w:tcPr>
            <w:tcW w:w="280" w:type="dxa"/>
            <w:vAlign w:val="bottom"/>
          </w:tcPr>
          <w:p>
            <w:pPr>
              <w:spacing w:after="0"/>
              <w:rPr>
                <w:sz w:val="19"/>
                <w:szCs w:val="19"/>
                <w:color w:val="auto"/>
              </w:rPr>
            </w:pPr>
          </w:p>
        </w:tc>
        <w:tc>
          <w:tcPr>
            <w:tcW w:w="8860" w:type="dxa"/>
            <w:vAlign w:val="bottom"/>
            <w:gridSpan w:val="14"/>
          </w:tcPr>
          <w:p>
            <w:pPr>
              <w:spacing w:after="0"/>
              <w:rPr>
                <w:rFonts w:ascii="Arial" w:cs="Arial" w:eastAsia="Arial" w:hAnsi="Arial"/>
                <w:sz w:val="16"/>
                <w:szCs w:val="16"/>
                <w:color w:val="0000FF"/>
                <w:w w:val="95"/>
              </w:rPr>
            </w:pPr>
            <w:hyperlink w:anchor="page57">
              <w:r>
                <w:rPr>
                  <w:rFonts w:ascii="Arial" w:cs="Arial" w:eastAsia="Arial" w:hAnsi="Arial"/>
                  <w:sz w:val="16"/>
                  <w:szCs w:val="16"/>
                  <w:color w:val="0000FF"/>
                  <w:w w:val="95"/>
                </w:rPr>
                <w:t>Certification of the Chief Financial Officer pursuant to Rule 13a-14(b) of the Exchange Act and 18 U.S.C. Section 1350, as adopted</w:t>
              </w:r>
            </w:hyperlink>
          </w:p>
        </w:tc>
      </w:tr>
      <w:tr>
        <w:trPr>
          <w:trHeight w:val="134"/>
        </w:trPr>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0" w:type="dxa"/>
            <w:vAlign w:val="bottom"/>
            <w:tcBorders>
              <w:top w:val="single" w:sz="8" w:color="0000FF"/>
              <w:bottom w:val="single" w:sz="8" w:color="0000FF"/>
            </w:tcBorders>
            <w:gridSpan w:val="2"/>
          </w:tcPr>
          <w:p>
            <w:pPr>
              <w:spacing w:after="0" w:line="134" w:lineRule="exact"/>
              <w:rPr>
                <w:rFonts w:ascii="Arial" w:cs="Arial" w:eastAsia="Arial" w:hAnsi="Arial"/>
                <w:sz w:val="15"/>
                <w:szCs w:val="15"/>
                <w:color w:val="0000FF"/>
                <w:w w:val="95"/>
              </w:rPr>
            </w:pPr>
            <w:hyperlink w:anchor="page57">
              <w:r>
                <w:rPr>
                  <w:rFonts w:ascii="Arial" w:cs="Arial" w:eastAsia="Arial" w:hAnsi="Arial"/>
                  <w:sz w:val="15"/>
                  <w:szCs w:val="15"/>
                  <w:color w:val="0000FF"/>
                  <w:w w:val="95"/>
                </w:rPr>
                <w:t>pursuant to Section 906 of the Sarbanes-Oxley Act of 2002.</w:t>
              </w:r>
            </w:hyperlink>
          </w:p>
        </w:tc>
        <w:tc>
          <w:tcPr>
            <w:tcW w:w="4560" w:type="dxa"/>
            <w:vAlign w:val="bottom"/>
            <w:tcBorders>
              <w:top w:val="single" w:sz="8" w:color="0000FF"/>
            </w:tcBorders>
            <w:gridSpan w:val="5"/>
          </w:tcPr>
          <w:p>
            <w:pPr>
              <w:spacing w:after="0"/>
              <w:rPr>
                <w:sz w:val="11"/>
                <w:szCs w:val="11"/>
                <w:color w:val="auto"/>
              </w:rPr>
            </w:pPr>
          </w:p>
        </w:tc>
        <w:tc>
          <w:tcPr>
            <w:tcW w:w="500" w:type="dxa"/>
            <w:vAlign w:val="bottom"/>
            <w:gridSpan w:val="7"/>
          </w:tcPr>
          <w:p>
            <w:pPr>
              <w:spacing w:after="0"/>
              <w:rPr>
                <w:sz w:val="11"/>
                <w:szCs w:val="11"/>
                <w:color w:val="auto"/>
              </w:rPr>
            </w:pPr>
          </w:p>
        </w:tc>
      </w:tr>
      <w:tr>
        <w:trPr>
          <w:trHeight w:val="264"/>
        </w:trPr>
        <w:tc>
          <w:tcPr>
            <w:tcW w:w="660" w:type="dxa"/>
            <w:vAlign w:val="bottom"/>
          </w:tcPr>
          <w:p>
            <w:pPr>
              <w:ind w:left="20"/>
              <w:spacing w:after="0"/>
              <w:rPr>
                <w:sz w:val="20"/>
                <w:szCs w:val="20"/>
                <w:color w:val="auto"/>
              </w:rPr>
            </w:pPr>
            <w:r>
              <w:rPr>
                <w:rFonts w:ascii="Arial" w:cs="Arial" w:eastAsia="Arial" w:hAnsi="Arial"/>
                <w:sz w:val="16"/>
                <w:szCs w:val="16"/>
                <w:color w:val="auto"/>
              </w:rPr>
              <w:t>101.INS</w:t>
            </w:r>
          </w:p>
        </w:tc>
        <w:tc>
          <w:tcPr>
            <w:tcW w:w="280" w:type="dxa"/>
            <w:vAlign w:val="bottom"/>
          </w:tcPr>
          <w:p>
            <w:pPr>
              <w:spacing w:after="0"/>
              <w:rPr>
                <w:sz w:val="22"/>
                <w:szCs w:val="22"/>
                <w:color w:val="auto"/>
              </w:rPr>
            </w:pPr>
          </w:p>
        </w:tc>
        <w:tc>
          <w:tcPr>
            <w:tcW w:w="8860" w:type="dxa"/>
            <w:vAlign w:val="bottom"/>
            <w:gridSpan w:val="14"/>
          </w:tcPr>
          <w:p>
            <w:pPr>
              <w:spacing w:after="0"/>
              <w:rPr>
                <w:sz w:val="20"/>
                <w:szCs w:val="20"/>
                <w:color w:val="auto"/>
              </w:rPr>
            </w:pPr>
            <w:r>
              <w:rPr>
                <w:rFonts w:ascii="Arial" w:cs="Arial" w:eastAsia="Arial" w:hAnsi="Arial"/>
                <w:sz w:val="16"/>
                <w:szCs w:val="16"/>
                <w:color w:val="auto"/>
              </w:rPr>
              <w:t>XBRL Instance Document</w:t>
            </w:r>
          </w:p>
        </w:tc>
      </w:tr>
      <w:tr>
        <w:trPr>
          <w:trHeight w:val="249"/>
        </w:trPr>
        <w:tc>
          <w:tcPr>
            <w:tcW w:w="660" w:type="dxa"/>
            <w:vAlign w:val="bottom"/>
          </w:tcPr>
          <w:p>
            <w:pPr>
              <w:ind w:left="20"/>
              <w:spacing w:after="0"/>
              <w:rPr>
                <w:sz w:val="20"/>
                <w:szCs w:val="20"/>
                <w:color w:val="auto"/>
              </w:rPr>
            </w:pPr>
            <w:r>
              <w:rPr>
                <w:rFonts w:ascii="Arial" w:cs="Arial" w:eastAsia="Arial" w:hAnsi="Arial"/>
                <w:sz w:val="16"/>
                <w:szCs w:val="16"/>
                <w:color w:val="auto"/>
                <w:w w:val="95"/>
              </w:rPr>
              <w:t>101.SCH</w:t>
            </w:r>
          </w:p>
        </w:tc>
        <w:tc>
          <w:tcPr>
            <w:tcW w:w="280" w:type="dxa"/>
            <w:vAlign w:val="bottom"/>
          </w:tcPr>
          <w:p>
            <w:pPr>
              <w:spacing w:after="0"/>
              <w:rPr>
                <w:sz w:val="21"/>
                <w:szCs w:val="21"/>
                <w:color w:val="auto"/>
              </w:rPr>
            </w:pPr>
          </w:p>
        </w:tc>
        <w:tc>
          <w:tcPr>
            <w:tcW w:w="8860" w:type="dxa"/>
            <w:vAlign w:val="bottom"/>
            <w:gridSpan w:val="14"/>
          </w:tcPr>
          <w:p>
            <w:pPr>
              <w:spacing w:after="0"/>
              <w:rPr>
                <w:sz w:val="20"/>
                <w:szCs w:val="20"/>
                <w:color w:val="auto"/>
              </w:rPr>
            </w:pPr>
            <w:r>
              <w:rPr>
                <w:rFonts w:ascii="Arial" w:cs="Arial" w:eastAsia="Arial" w:hAnsi="Arial"/>
                <w:sz w:val="16"/>
                <w:szCs w:val="16"/>
                <w:color w:val="auto"/>
              </w:rPr>
              <w:t>XBRL Taxonomy Extension Scheme</w:t>
            </w:r>
          </w:p>
        </w:tc>
      </w:tr>
      <w:tr>
        <w:trPr>
          <w:trHeight w:val="249"/>
        </w:trPr>
        <w:tc>
          <w:tcPr>
            <w:tcW w:w="660" w:type="dxa"/>
            <w:vAlign w:val="bottom"/>
          </w:tcPr>
          <w:p>
            <w:pPr>
              <w:ind w:left="20"/>
              <w:spacing w:after="0"/>
              <w:rPr>
                <w:sz w:val="20"/>
                <w:szCs w:val="20"/>
                <w:color w:val="auto"/>
              </w:rPr>
            </w:pPr>
            <w:r>
              <w:rPr>
                <w:rFonts w:ascii="Arial" w:cs="Arial" w:eastAsia="Arial" w:hAnsi="Arial"/>
                <w:sz w:val="16"/>
                <w:szCs w:val="16"/>
                <w:color w:val="auto"/>
                <w:w w:val="99"/>
              </w:rPr>
              <w:t>101.CAL</w:t>
            </w:r>
          </w:p>
        </w:tc>
        <w:tc>
          <w:tcPr>
            <w:tcW w:w="280" w:type="dxa"/>
            <w:vAlign w:val="bottom"/>
          </w:tcPr>
          <w:p>
            <w:pPr>
              <w:spacing w:after="0"/>
              <w:rPr>
                <w:sz w:val="21"/>
                <w:szCs w:val="21"/>
                <w:color w:val="auto"/>
              </w:rPr>
            </w:pPr>
          </w:p>
        </w:tc>
        <w:tc>
          <w:tcPr>
            <w:tcW w:w="8860" w:type="dxa"/>
            <w:vAlign w:val="bottom"/>
            <w:gridSpan w:val="14"/>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49"/>
        </w:trPr>
        <w:tc>
          <w:tcPr>
            <w:tcW w:w="660" w:type="dxa"/>
            <w:vAlign w:val="bottom"/>
          </w:tcPr>
          <w:p>
            <w:pPr>
              <w:ind w:left="20"/>
              <w:spacing w:after="0"/>
              <w:rPr>
                <w:sz w:val="20"/>
                <w:szCs w:val="20"/>
                <w:color w:val="auto"/>
              </w:rPr>
            </w:pPr>
            <w:r>
              <w:rPr>
                <w:rFonts w:ascii="Arial" w:cs="Arial" w:eastAsia="Arial" w:hAnsi="Arial"/>
                <w:sz w:val="16"/>
                <w:szCs w:val="16"/>
                <w:color w:val="auto"/>
                <w:w w:val="98"/>
              </w:rPr>
              <w:t>101.DEF</w:t>
            </w:r>
          </w:p>
        </w:tc>
        <w:tc>
          <w:tcPr>
            <w:tcW w:w="280" w:type="dxa"/>
            <w:vAlign w:val="bottom"/>
          </w:tcPr>
          <w:p>
            <w:pPr>
              <w:spacing w:after="0"/>
              <w:rPr>
                <w:sz w:val="21"/>
                <w:szCs w:val="21"/>
                <w:color w:val="auto"/>
              </w:rPr>
            </w:pPr>
          </w:p>
        </w:tc>
        <w:tc>
          <w:tcPr>
            <w:tcW w:w="8860" w:type="dxa"/>
            <w:vAlign w:val="bottom"/>
            <w:gridSpan w:val="14"/>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249"/>
        </w:trPr>
        <w:tc>
          <w:tcPr>
            <w:tcW w:w="660" w:type="dxa"/>
            <w:vAlign w:val="bottom"/>
          </w:tcPr>
          <w:p>
            <w:pPr>
              <w:ind w:left="20"/>
              <w:spacing w:after="0"/>
              <w:rPr>
                <w:sz w:val="20"/>
                <w:szCs w:val="20"/>
                <w:color w:val="auto"/>
              </w:rPr>
            </w:pPr>
            <w:r>
              <w:rPr>
                <w:rFonts w:ascii="Arial" w:cs="Arial" w:eastAsia="Arial" w:hAnsi="Arial"/>
                <w:sz w:val="16"/>
                <w:szCs w:val="16"/>
                <w:color w:val="auto"/>
              </w:rPr>
              <w:t>101.LAB</w:t>
            </w:r>
          </w:p>
        </w:tc>
        <w:tc>
          <w:tcPr>
            <w:tcW w:w="280" w:type="dxa"/>
            <w:vAlign w:val="bottom"/>
          </w:tcPr>
          <w:p>
            <w:pPr>
              <w:spacing w:after="0"/>
              <w:rPr>
                <w:sz w:val="21"/>
                <w:szCs w:val="21"/>
                <w:color w:val="auto"/>
              </w:rPr>
            </w:pPr>
          </w:p>
        </w:tc>
        <w:tc>
          <w:tcPr>
            <w:tcW w:w="8860" w:type="dxa"/>
            <w:vAlign w:val="bottom"/>
            <w:gridSpan w:val="14"/>
          </w:tcPr>
          <w:p>
            <w:pPr>
              <w:spacing w:after="0"/>
              <w:rPr>
                <w:sz w:val="20"/>
                <w:szCs w:val="20"/>
                <w:color w:val="auto"/>
              </w:rPr>
            </w:pPr>
            <w:r>
              <w:rPr>
                <w:rFonts w:ascii="Arial" w:cs="Arial" w:eastAsia="Arial" w:hAnsi="Arial"/>
                <w:sz w:val="16"/>
                <w:szCs w:val="16"/>
                <w:color w:val="auto"/>
              </w:rPr>
              <w:t>XBRL Taxonomy Extension Label Linkbase</w:t>
            </w:r>
          </w:p>
        </w:tc>
      </w:tr>
      <w:tr>
        <w:trPr>
          <w:trHeight w:val="249"/>
        </w:trPr>
        <w:tc>
          <w:tcPr>
            <w:tcW w:w="660" w:type="dxa"/>
            <w:vAlign w:val="bottom"/>
          </w:tcPr>
          <w:p>
            <w:pPr>
              <w:ind w:left="20"/>
              <w:spacing w:after="0"/>
              <w:rPr>
                <w:sz w:val="20"/>
                <w:szCs w:val="20"/>
                <w:color w:val="auto"/>
              </w:rPr>
            </w:pPr>
            <w:r>
              <w:rPr>
                <w:rFonts w:ascii="Arial" w:cs="Arial" w:eastAsia="Arial" w:hAnsi="Arial"/>
                <w:sz w:val="16"/>
                <w:szCs w:val="16"/>
                <w:color w:val="auto"/>
                <w:w w:val="96"/>
              </w:rPr>
              <w:t>101.PRE</w:t>
            </w:r>
          </w:p>
        </w:tc>
        <w:tc>
          <w:tcPr>
            <w:tcW w:w="280" w:type="dxa"/>
            <w:vAlign w:val="bottom"/>
          </w:tcPr>
          <w:p>
            <w:pPr>
              <w:spacing w:after="0"/>
              <w:rPr>
                <w:sz w:val="21"/>
                <w:szCs w:val="21"/>
                <w:color w:val="auto"/>
              </w:rPr>
            </w:pPr>
          </w:p>
        </w:tc>
        <w:tc>
          <w:tcPr>
            <w:tcW w:w="8860" w:type="dxa"/>
            <w:vAlign w:val="bottom"/>
            <w:gridSpan w:val="14"/>
          </w:tcPr>
          <w:p>
            <w:pPr>
              <w:spacing w:after="0"/>
              <w:rPr>
                <w:sz w:val="20"/>
                <w:szCs w:val="20"/>
                <w:color w:val="auto"/>
              </w:rPr>
            </w:pPr>
            <w:r>
              <w:rPr>
                <w:rFonts w:ascii="Arial" w:cs="Arial" w:eastAsia="Arial" w:hAnsi="Arial"/>
                <w:sz w:val="16"/>
                <w:szCs w:val="16"/>
                <w:color w:val="auto"/>
              </w:rPr>
              <w:t>XBRL Extension Presentation Linkbase</w:t>
            </w:r>
          </w:p>
        </w:tc>
      </w:tr>
    </w:tbl>
    <w:p>
      <w:pPr>
        <w:spacing w:after="0" w:line="48" w:lineRule="exact"/>
        <w:rPr>
          <w:sz w:val="20"/>
          <w:szCs w:val="20"/>
          <w:color w:val="auto"/>
        </w:rPr>
      </w:pPr>
    </w:p>
    <w:p>
      <w:pPr>
        <w:ind w:left="940" w:hanging="929"/>
        <w:spacing w:after="0"/>
        <w:tabs>
          <w:tab w:leader="none" w:pos="9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2"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7174230"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74230"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-628650</wp:posOffset>
            </wp:positionV>
            <wp:extent cx="53530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535305" cy="7620"/>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52" w:name="page53"/>
    <w:bookmarkEnd w:id="5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ind w:right="20" w:firstLine="392"/>
        <w:spacing w:after="0" w:line="27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100" w:type="dxa"/>
            <w:vAlign w:val="bottom"/>
          </w:tcPr>
          <w:p>
            <w:pPr>
              <w:spacing w:after="0"/>
              <w:rPr>
                <w:sz w:val="20"/>
                <w:szCs w:val="20"/>
                <w:color w:val="auto"/>
              </w:rPr>
            </w:pPr>
            <w:r>
              <w:rPr>
                <w:rFonts w:ascii="Arial" w:cs="Arial" w:eastAsia="Arial" w:hAnsi="Arial"/>
                <w:sz w:val="16"/>
                <w:szCs w:val="16"/>
                <w:color w:val="auto"/>
              </w:rPr>
              <w:t>Date: April 28, 2022</w:t>
            </w:r>
          </w:p>
        </w:tc>
        <w:tc>
          <w:tcPr>
            <w:tcW w:w="8100" w:type="dxa"/>
            <w:vAlign w:val="bottom"/>
            <w:gridSpan w:val="2"/>
          </w:tcPr>
          <w:p>
            <w:pPr>
              <w:ind w:left="1800"/>
              <w:spacing w:after="0"/>
              <w:rPr>
                <w:sz w:val="20"/>
                <w:szCs w:val="20"/>
                <w:color w:val="auto"/>
              </w:rPr>
            </w:pPr>
            <w:r>
              <w:rPr>
                <w:rFonts w:ascii="Arial" w:cs="Arial" w:eastAsia="Arial" w:hAnsi="Arial"/>
                <w:sz w:val="16"/>
                <w:szCs w:val="16"/>
                <w:b w:val="1"/>
                <w:bCs w:val="1"/>
                <w:color w:val="auto"/>
              </w:rPr>
              <w:t>EXLSERVICE HOLDINGS, INC.</w:t>
            </w:r>
          </w:p>
        </w:tc>
      </w:tr>
      <w:tr>
        <w:trPr>
          <w:trHeight w:val="440"/>
        </w:trPr>
        <w:tc>
          <w:tcPr>
            <w:tcW w:w="3100" w:type="dxa"/>
            <w:vAlign w:val="bottom"/>
          </w:tcPr>
          <w:p>
            <w:pPr>
              <w:spacing w:after="0"/>
              <w:rPr>
                <w:sz w:val="24"/>
                <w:szCs w:val="24"/>
                <w:color w:val="auto"/>
              </w:rPr>
            </w:pPr>
          </w:p>
        </w:tc>
        <w:tc>
          <w:tcPr>
            <w:tcW w:w="2400" w:type="dxa"/>
            <w:vAlign w:val="bottom"/>
          </w:tcPr>
          <w:p>
            <w:pPr>
              <w:ind w:left="1800"/>
              <w:spacing w:after="0"/>
              <w:rPr>
                <w:sz w:val="20"/>
                <w:szCs w:val="20"/>
                <w:color w:val="auto"/>
              </w:rPr>
            </w:pPr>
            <w:r>
              <w:rPr>
                <w:rFonts w:ascii="Arial" w:cs="Arial" w:eastAsia="Arial" w:hAnsi="Arial"/>
                <w:sz w:val="16"/>
                <w:szCs w:val="16"/>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2"/>
                <w:szCs w:val="12"/>
                <w:color w:val="auto"/>
              </w:rPr>
              <w:t>S</w:t>
            </w:r>
            <w:r>
              <w:rPr>
                <w:rFonts w:ascii="Arial" w:cs="Arial" w:eastAsia="Arial" w:hAnsi="Arial"/>
                <w:sz w:val="16"/>
                <w:szCs w:val="16"/>
                <w:color w:val="auto"/>
              </w:rPr>
              <w:t xml:space="preserve">/ </w:t>
            </w:r>
            <w:r>
              <w:rPr>
                <w:rFonts w:ascii="Arial" w:cs="Arial" w:eastAsia="Arial" w:hAnsi="Arial"/>
                <w:sz w:val="12"/>
                <w:szCs w:val="12"/>
                <w:color w:val="auto"/>
              </w:rPr>
              <w:t>MAURIZIO NICOLELLI</w:t>
            </w:r>
          </w:p>
        </w:tc>
      </w:tr>
      <w:tr>
        <w:trPr>
          <w:trHeight w:val="117"/>
        </w:trPr>
        <w:tc>
          <w:tcPr>
            <w:tcW w:w="31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570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MAURIZIO NICOLELLI</w:t>
            </w:r>
          </w:p>
        </w:tc>
      </w:tr>
    </w:tbl>
    <w:p>
      <w:pPr>
        <w:ind w:left="5540"/>
        <w:spacing w:after="0" w:line="190" w:lineRule="auto"/>
        <w:rPr>
          <w:sz w:val="20"/>
          <w:szCs w:val="20"/>
          <w:color w:val="auto"/>
        </w:rPr>
      </w:pPr>
      <w:r>
        <w:rPr>
          <w:rFonts w:ascii="Arial" w:cs="Arial" w:eastAsia="Arial" w:hAnsi="Arial"/>
          <w:sz w:val="13"/>
          <w:szCs w:val="13"/>
          <w:b w:val="1"/>
          <w:bCs w:val="1"/>
          <w:color w:val="auto"/>
        </w:rPr>
        <w:t>Chief Financial Officer</w:t>
      </w:r>
    </w:p>
    <w:p>
      <w:pPr>
        <w:ind w:left="5540"/>
        <w:spacing w:after="0"/>
        <w:rPr>
          <w:sz w:val="20"/>
          <w:szCs w:val="20"/>
          <w:color w:val="auto"/>
        </w:rPr>
      </w:pPr>
      <w:r>
        <w:rPr>
          <w:rFonts w:ascii="Arial" w:cs="Arial" w:eastAsia="Arial" w:hAnsi="Arial"/>
          <w:sz w:val="13"/>
          <w:szCs w:val="13"/>
          <w:b w:val="1"/>
          <w:bCs w:val="1"/>
          <w:color w:val="auto"/>
        </w:rPr>
        <w:t>(Duly Authorized Signatory,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20"/>
          </w:cols>
          <w:pgMar w:left="320" w:top="337" w:right="35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SECTION 302 CERTIFICATION</w:t>
      </w:r>
    </w:p>
    <w:p>
      <w:pPr>
        <w:spacing w:after="0" w:line="196" w:lineRule="exact"/>
        <w:rPr>
          <w:sz w:val="20"/>
          <w:szCs w:val="20"/>
          <w:color w:val="auto"/>
        </w:rPr>
      </w:pPr>
    </w:p>
    <w:p>
      <w:pPr>
        <w:ind w:left="385"/>
        <w:spacing w:after="0"/>
        <w:rPr>
          <w:sz w:val="20"/>
          <w:szCs w:val="20"/>
          <w:color w:val="auto"/>
        </w:rPr>
      </w:pPr>
      <w:r>
        <w:rPr>
          <w:rFonts w:ascii="Arial" w:cs="Arial" w:eastAsia="Arial" w:hAnsi="Arial"/>
          <w:sz w:val="16"/>
          <w:szCs w:val="16"/>
          <w:color w:val="auto"/>
        </w:rPr>
        <w:t>I, Rohit Kapoor, certify that:</w:t>
      </w:r>
    </w:p>
    <w:p>
      <w:pPr>
        <w:spacing w:after="0" w:line="196" w:lineRule="exact"/>
        <w:rPr>
          <w:sz w:val="20"/>
          <w:szCs w:val="20"/>
          <w:color w:val="auto"/>
        </w:rPr>
      </w:pPr>
    </w:p>
    <w:p>
      <w:pPr>
        <w:ind w:left="365" w:hanging="365"/>
        <w:spacing w:after="0"/>
        <w:tabs>
          <w:tab w:leader="none" w:pos="36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Quarterly Report of ExlService Holdings, Inc.;</w:t>
      </w:r>
    </w:p>
    <w:p>
      <w:pPr>
        <w:spacing w:after="0" w:line="196" w:lineRule="exact"/>
        <w:rPr>
          <w:rFonts w:ascii="Arial" w:cs="Arial" w:eastAsia="Arial" w:hAnsi="Arial"/>
          <w:sz w:val="16"/>
          <w:szCs w:val="16"/>
          <w:color w:val="auto"/>
        </w:rPr>
      </w:pPr>
    </w:p>
    <w:p>
      <w:pPr>
        <w:ind w:left="365" w:right="80" w:hanging="365"/>
        <w:spacing w:after="0" w:line="304" w:lineRule="auto"/>
        <w:tabs>
          <w:tab w:leader="none" w:pos="365"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5"/>
          <w:szCs w:val="15"/>
          <w:color w:val="auto"/>
        </w:rPr>
      </w:pPr>
    </w:p>
    <w:p>
      <w:pPr>
        <w:ind w:left="365" w:right="400" w:hanging="365"/>
        <w:spacing w:after="0" w:line="270" w:lineRule="auto"/>
        <w:tabs>
          <w:tab w:leader="none" w:pos="365"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6"/>
          <w:szCs w:val="16"/>
          <w:color w:val="auto"/>
        </w:rPr>
      </w:pPr>
    </w:p>
    <w:p>
      <w:pPr>
        <w:ind w:left="365" w:right="220" w:hanging="365"/>
        <w:spacing w:after="0" w:line="342" w:lineRule="auto"/>
        <w:tabs>
          <w:tab w:leader="none" w:pos="365"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Arial" w:cs="Arial" w:eastAsia="Arial" w:hAnsi="Arial"/>
          <w:sz w:val="14"/>
          <w:szCs w:val="14"/>
          <w:color w:val="auto"/>
        </w:rPr>
      </w:pPr>
    </w:p>
    <w:p>
      <w:pPr>
        <w:jc w:val="both"/>
        <w:ind w:left="645" w:right="360" w:hanging="289"/>
        <w:spacing w:after="0" w:line="258" w:lineRule="auto"/>
        <w:tabs>
          <w:tab w:leader="none" w:pos="642"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Arial" w:cs="Arial" w:eastAsia="Arial" w:hAnsi="Arial"/>
          <w:sz w:val="16"/>
          <w:szCs w:val="16"/>
          <w:color w:val="auto"/>
        </w:rPr>
      </w:pPr>
    </w:p>
    <w:p>
      <w:pPr>
        <w:ind w:left="645" w:right="400" w:hanging="289"/>
        <w:spacing w:after="0" w:line="258" w:lineRule="auto"/>
        <w:tabs>
          <w:tab w:leader="none" w:pos="6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Arial" w:cs="Arial" w:eastAsia="Arial" w:hAnsi="Arial"/>
          <w:sz w:val="16"/>
          <w:szCs w:val="16"/>
          <w:color w:val="auto"/>
        </w:rPr>
      </w:pPr>
    </w:p>
    <w:p>
      <w:pPr>
        <w:ind w:left="645" w:right="140" w:hanging="289"/>
        <w:spacing w:after="0" w:line="270" w:lineRule="auto"/>
        <w:tabs>
          <w:tab w:leader="none" w:pos="642"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6"/>
          <w:szCs w:val="16"/>
          <w:color w:val="auto"/>
        </w:rPr>
      </w:pPr>
    </w:p>
    <w:p>
      <w:pPr>
        <w:ind w:left="645" w:right="120" w:hanging="289"/>
        <w:spacing w:after="0" w:line="258" w:lineRule="auto"/>
        <w:tabs>
          <w:tab w:leader="none" w:pos="6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Arial" w:cs="Arial" w:eastAsia="Arial" w:hAnsi="Arial"/>
          <w:sz w:val="16"/>
          <w:szCs w:val="16"/>
          <w:color w:val="auto"/>
        </w:rPr>
      </w:pPr>
    </w:p>
    <w:p>
      <w:pPr>
        <w:ind w:left="365" w:right="40" w:hanging="365"/>
        <w:spacing w:after="0" w:line="270" w:lineRule="auto"/>
        <w:tabs>
          <w:tab w:leader="none" w:pos="36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6"/>
          <w:szCs w:val="16"/>
          <w:color w:val="auto"/>
        </w:rPr>
      </w:pPr>
    </w:p>
    <w:p>
      <w:pPr>
        <w:ind w:left="645" w:right="360" w:hanging="289"/>
        <w:spacing w:after="0" w:line="270" w:lineRule="auto"/>
        <w:tabs>
          <w:tab w:leader="none" w:pos="642"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6"/>
          <w:szCs w:val="16"/>
          <w:color w:val="auto"/>
        </w:rPr>
      </w:pPr>
    </w:p>
    <w:p>
      <w:pPr>
        <w:ind w:left="645" w:right="620" w:hanging="289"/>
        <w:spacing w:after="0" w:line="270" w:lineRule="auto"/>
        <w:tabs>
          <w:tab w:leader="none" w:pos="6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25" w:type="dxa"/>
        <w:tblCellMar>
          <w:top w:w="0" w:type="dxa"/>
          <w:left w:w="0" w:type="dxa"/>
          <w:bottom w:w="0" w:type="dxa"/>
          <w:right w:w="0" w:type="dxa"/>
        </w:tblCellMar>
      </w:tblPr>
      <w:tr>
        <w:trPr>
          <w:trHeight w:val="202"/>
        </w:trPr>
        <w:tc>
          <w:tcPr>
            <w:tcW w:w="6120" w:type="dxa"/>
            <w:vAlign w:val="bottom"/>
          </w:tcPr>
          <w:p>
            <w:pPr>
              <w:spacing w:after="0"/>
              <w:rPr>
                <w:sz w:val="20"/>
                <w:szCs w:val="20"/>
                <w:color w:val="auto"/>
              </w:rPr>
            </w:pPr>
            <w:r>
              <w:rPr>
                <w:rFonts w:ascii="Arial" w:cs="Arial" w:eastAsia="Arial" w:hAnsi="Arial"/>
                <w:sz w:val="16"/>
                <w:szCs w:val="16"/>
                <w:color w:val="auto"/>
              </w:rPr>
              <w:t>Date: April 28, 2022</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Rohit Kapoor</w:t>
            </w:r>
          </w:p>
        </w:tc>
      </w:tr>
      <w:tr>
        <w:trPr>
          <w:trHeight w:val="194"/>
        </w:trPr>
        <w:tc>
          <w:tcPr>
            <w:tcW w:w="6120" w:type="dxa"/>
            <w:vAlign w:val="bottom"/>
          </w:tcPr>
          <w:p>
            <w:pPr>
              <w:spacing w:after="0"/>
              <w:rPr>
                <w:sz w:val="16"/>
                <w:szCs w:val="16"/>
                <w:color w:val="auto"/>
              </w:rPr>
            </w:pPr>
          </w:p>
        </w:tc>
        <w:tc>
          <w:tcPr>
            <w:tcW w:w="5080" w:type="dxa"/>
            <w:vAlign w:val="bottom"/>
          </w:tcPr>
          <w:p>
            <w:pPr>
              <w:ind w:left="20"/>
              <w:spacing w:after="0"/>
              <w:rPr>
                <w:sz w:val="20"/>
                <w:szCs w:val="20"/>
                <w:color w:val="auto"/>
              </w:rPr>
            </w:pPr>
            <w:r>
              <w:rPr>
                <w:rFonts w:ascii="Arial" w:cs="Arial" w:eastAsia="Arial" w:hAnsi="Arial"/>
                <w:sz w:val="16"/>
                <w:szCs w:val="16"/>
                <w:color w:val="auto"/>
              </w:rPr>
              <w:t>Rohit Kapoor</w:t>
            </w:r>
          </w:p>
        </w:tc>
      </w:tr>
      <w:tr>
        <w:trPr>
          <w:trHeight w:val="201"/>
        </w:trPr>
        <w:tc>
          <w:tcPr>
            <w:tcW w:w="6120" w:type="dxa"/>
            <w:vAlign w:val="bottom"/>
          </w:tcPr>
          <w:p>
            <w:pPr>
              <w:spacing w:after="0"/>
              <w:rPr>
                <w:sz w:val="17"/>
                <w:szCs w:val="17"/>
                <w:color w:val="auto"/>
              </w:rPr>
            </w:pPr>
          </w:p>
        </w:tc>
        <w:tc>
          <w:tcPr>
            <w:tcW w:w="5080" w:type="dxa"/>
            <w:vAlign w:val="bottom"/>
          </w:tcPr>
          <w:p>
            <w:pPr>
              <w:ind w:left="20"/>
              <w:spacing w:after="0"/>
              <w:rPr>
                <w:sz w:val="20"/>
                <w:szCs w:val="20"/>
                <w:color w:val="auto"/>
              </w:rPr>
            </w:pPr>
            <w:r>
              <w:rPr>
                <w:rFonts w:ascii="Arial" w:cs="Arial" w:eastAsia="Arial" w:hAnsi="Arial"/>
                <w:sz w:val="16"/>
                <w:szCs w:val="16"/>
                <w:color w:val="auto"/>
              </w:rPr>
              <w:t>Vice-Chairman and Chief Executive Officer</w:t>
            </w:r>
          </w:p>
        </w:tc>
      </w:tr>
    </w:tbl>
    <w:p>
      <w:pPr>
        <w:sectPr>
          <w:pgSz w:w="11900" w:h="16838" w:orient="portrait"/>
          <w:cols w:equalWidth="0" w:num="1">
            <w:col w:w="11265"/>
          </w:cols>
          <w:pgMar w:left="315" w:top="800" w:right="31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SECTION 302 CERTIFICATION</w:t>
      </w:r>
    </w:p>
    <w:p>
      <w:pPr>
        <w:spacing w:after="0" w:line="196" w:lineRule="exact"/>
        <w:rPr>
          <w:sz w:val="20"/>
          <w:szCs w:val="20"/>
          <w:color w:val="auto"/>
        </w:rPr>
      </w:pPr>
    </w:p>
    <w:p>
      <w:pPr>
        <w:ind w:left="385"/>
        <w:spacing w:after="0"/>
        <w:rPr>
          <w:sz w:val="20"/>
          <w:szCs w:val="20"/>
          <w:color w:val="auto"/>
        </w:rPr>
      </w:pPr>
      <w:r>
        <w:rPr>
          <w:rFonts w:ascii="Arial" w:cs="Arial" w:eastAsia="Arial" w:hAnsi="Arial"/>
          <w:sz w:val="16"/>
          <w:szCs w:val="16"/>
          <w:color w:val="auto"/>
        </w:rPr>
        <w:t>I, Maurizio Nicolelli, certify that:</w:t>
      </w:r>
    </w:p>
    <w:p>
      <w:pPr>
        <w:spacing w:after="0" w:line="303" w:lineRule="exact"/>
        <w:rPr>
          <w:sz w:val="20"/>
          <w:szCs w:val="20"/>
          <w:color w:val="auto"/>
        </w:rPr>
      </w:pPr>
    </w:p>
    <w:p>
      <w:pPr>
        <w:ind w:left="365" w:hanging="365"/>
        <w:spacing w:after="0"/>
        <w:tabs>
          <w:tab w:leader="none" w:pos="365"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have reviewed this Quarterly Report of ExlService Holdings, Inc.;</w:t>
      </w:r>
    </w:p>
    <w:p>
      <w:pPr>
        <w:spacing w:after="0" w:line="196" w:lineRule="exact"/>
        <w:rPr>
          <w:rFonts w:ascii="Arial" w:cs="Arial" w:eastAsia="Arial" w:hAnsi="Arial"/>
          <w:sz w:val="16"/>
          <w:szCs w:val="16"/>
          <w:color w:val="auto"/>
        </w:rPr>
      </w:pPr>
    </w:p>
    <w:p>
      <w:pPr>
        <w:ind w:left="365" w:right="80" w:hanging="365"/>
        <w:spacing w:after="0" w:line="304" w:lineRule="auto"/>
        <w:tabs>
          <w:tab w:leader="none" w:pos="365"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5"/>
          <w:szCs w:val="15"/>
          <w:color w:val="auto"/>
        </w:rPr>
      </w:pPr>
    </w:p>
    <w:p>
      <w:pPr>
        <w:ind w:left="365" w:right="400" w:hanging="365"/>
        <w:spacing w:after="0" w:line="270" w:lineRule="auto"/>
        <w:tabs>
          <w:tab w:leader="none" w:pos="365"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6"/>
          <w:szCs w:val="16"/>
          <w:color w:val="auto"/>
        </w:rPr>
      </w:pPr>
    </w:p>
    <w:p>
      <w:pPr>
        <w:ind w:left="365" w:right="220" w:hanging="365"/>
        <w:spacing w:after="0" w:line="342" w:lineRule="auto"/>
        <w:tabs>
          <w:tab w:leader="none" w:pos="365"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Arial" w:cs="Arial" w:eastAsia="Arial" w:hAnsi="Arial"/>
          <w:sz w:val="14"/>
          <w:szCs w:val="14"/>
          <w:color w:val="auto"/>
        </w:rPr>
      </w:pPr>
    </w:p>
    <w:p>
      <w:pPr>
        <w:jc w:val="both"/>
        <w:ind w:left="645" w:right="360" w:hanging="289"/>
        <w:spacing w:after="0" w:line="258" w:lineRule="auto"/>
        <w:tabs>
          <w:tab w:leader="none" w:pos="642"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Arial" w:cs="Arial" w:eastAsia="Arial" w:hAnsi="Arial"/>
          <w:sz w:val="16"/>
          <w:szCs w:val="16"/>
          <w:color w:val="auto"/>
        </w:rPr>
      </w:pPr>
    </w:p>
    <w:p>
      <w:pPr>
        <w:ind w:left="645" w:right="400" w:hanging="289"/>
        <w:spacing w:after="0" w:line="258" w:lineRule="auto"/>
        <w:tabs>
          <w:tab w:leader="none" w:pos="6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Arial" w:cs="Arial" w:eastAsia="Arial" w:hAnsi="Arial"/>
          <w:sz w:val="16"/>
          <w:szCs w:val="16"/>
          <w:color w:val="auto"/>
        </w:rPr>
      </w:pPr>
    </w:p>
    <w:p>
      <w:pPr>
        <w:ind w:left="645" w:right="140" w:hanging="289"/>
        <w:spacing w:after="0" w:line="270" w:lineRule="auto"/>
        <w:tabs>
          <w:tab w:leader="none" w:pos="642"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6"/>
          <w:szCs w:val="16"/>
          <w:color w:val="auto"/>
        </w:rPr>
      </w:pPr>
    </w:p>
    <w:p>
      <w:pPr>
        <w:ind w:left="645" w:right="120" w:hanging="289"/>
        <w:spacing w:after="0" w:line="258" w:lineRule="auto"/>
        <w:tabs>
          <w:tab w:leader="none" w:pos="6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Arial" w:cs="Arial" w:eastAsia="Arial" w:hAnsi="Arial"/>
          <w:sz w:val="16"/>
          <w:szCs w:val="16"/>
          <w:color w:val="auto"/>
        </w:rPr>
      </w:pPr>
    </w:p>
    <w:p>
      <w:pPr>
        <w:ind w:left="365" w:right="40" w:hanging="365"/>
        <w:spacing w:after="0" w:line="270" w:lineRule="auto"/>
        <w:tabs>
          <w:tab w:leader="none" w:pos="36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6"/>
          <w:szCs w:val="16"/>
          <w:color w:val="auto"/>
        </w:rPr>
      </w:pPr>
    </w:p>
    <w:p>
      <w:pPr>
        <w:ind w:left="645" w:right="360" w:hanging="289"/>
        <w:spacing w:after="0" w:line="270" w:lineRule="auto"/>
        <w:tabs>
          <w:tab w:leader="none" w:pos="642"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6"/>
          <w:szCs w:val="16"/>
          <w:color w:val="auto"/>
        </w:rPr>
      </w:pPr>
    </w:p>
    <w:p>
      <w:pPr>
        <w:ind w:left="645" w:right="620" w:hanging="289"/>
        <w:spacing w:after="0" w:line="270" w:lineRule="auto"/>
        <w:tabs>
          <w:tab w:leader="none" w:pos="6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tbl>
      <w:tblPr>
        <w:tblLayout w:type="fixed"/>
        <w:tblInd w:w="505" w:type="dxa"/>
        <w:tblCellMar>
          <w:top w:w="0" w:type="dxa"/>
          <w:left w:w="0" w:type="dxa"/>
          <w:bottom w:w="0" w:type="dxa"/>
          <w:right w:w="0" w:type="dxa"/>
        </w:tblCellMar>
      </w:tblPr>
      <w:tr>
        <w:trPr>
          <w:trHeight w:val="202"/>
        </w:trPr>
        <w:tc>
          <w:tcPr>
            <w:tcW w:w="5840" w:type="dxa"/>
            <w:vAlign w:val="bottom"/>
          </w:tcPr>
          <w:p>
            <w:pPr>
              <w:spacing w:after="0"/>
              <w:rPr>
                <w:sz w:val="20"/>
                <w:szCs w:val="20"/>
                <w:color w:val="auto"/>
              </w:rPr>
            </w:pPr>
            <w:r>
              <w:rPr>
                <w:rFonts w:ascii="Arial" w:cs="Arial" w:eastAsia="Arial" w:hAnsi="Arial"/>
                <w:sz w:val="16"/>
                <w:szCs w:val="16"/>
                <w:color w:val="auto"/>
              </w:rPr>
              <w:t>Date: April 28, 2022</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Maurizio Nicolelli</w:t>
            </w:r>
          </w:p>
        </w:tc>
      </w:tr>
      <w:tr>
        <w:trPr>
          <w:trHeight w:val="194"/>
        </w:trPr>
        <w:tc>
          <w:tcPr>
            <w:tcW w:w="5840" w:type="dxa"/>
            <w:vAlign w:val="bottom"/>
          </w:tcPr>
          <w:p>
            <w:pPr>
              <w:spacing w:after="0"/>
              <w:rPr>
                <w:sz w:val="16"/>
                <w:szCs w:val="16"/>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Maurizio Nicolelli</w:t>
            </w:r>
          </w:p>
        </w:tc>
      </w:tr>
      <w:tr>
        <w:trPr>
          <w:trHeight w:val="201"/>
        </w:trPr>
        <w:tc>
          <w:tcPr>
            <w:tcW w:w="58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65"/>
          </w:cols>
          <w:pgMar w:left="315" w:top="800" w:right="31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CERTIFICATION PURSUANT TO</w:t>
      </w:r>
    </w:p>
    <w:p>
      <w:pPr>
        <w:spacing w:after="0" w:line="19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18 U.S.C. SECTION 1350,</w:t>
      </w:r>
    </w:p>
    <w:p>
      <w:pPr>
        <w:spacing w:after="0" w:line="19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AS ADOPTED PURSUANT TO</w:t>
      </w:r>
    </w:p>
    <w:p>
      <w:pPr>
        <w:spacing w:after="0" w:line="19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SECTION 906 OF THE SARBANES-OXLEY ACT OF 2002</w:t>
      </w:r>
    </w:p>
    <w:p>
      <w:pPr>
        <w:spacing w:after="0" w:line="196" w:lineRule="exact"/>
        <w:rPr>
          <w:sz w:val="20"/>
          <w:szCs w:val="20"/>
          <w:color w:val="auto"/>
        </w:rPr>
      </w:pPr>
    </w:p>
    <w:p>
      <w:pPr>
        <w:jc w:val="both"/>
        <w:ind w:left="5" w:right="20"/>
        <w:spacing w:after="0" w:line="258" w:lineRule="auto"/>
        <w:rPr>
          <w:sz w:val="20"/>
          <w:szCs w:val="20"/>
          <w:color w:val="auto"/>
        </w:rPr>
      </w:pPr>
      <w:r>
        <w:rPr>
          <w:rFonts w:ascii="Arial" w:cs="Arial" w:eastAsia="Arial" w:hAnsi="Arial"/>
          <w:sz w:val="16"/>
          <w:szCs w:val="16"/>
          <w:color w:val="auto"/>
        </w:rPr>
        <w:t>In connection with the Quarterly Report of ExlService Holdings, Inc. (the “Company”) on Form 10-Q for the period ended March 31, 2022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02" w:lineRule="exact"/>
        <w:rPr>
          <w:sz w:val="20"/>
          <w:szCs w:val="20"/>
          <w:color w:val="auto"/>
        </w:rPr>
      </w:pPr>
    </w:p>
    <w:p>
      <w:pPr>
        <w:ind w:left="285" w:hanging="285"/>
        <w:spacing w:after="0"/>
        <w:tabs>
          <w:tab w:leader="none" w:pos="28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48" w:lineRule="exact"/>
        <w:rPr>
          <w:rFonts w:ascii="Arial" w:cs="Arial" w:eastAsia="Arial" w:hAnsi="Arial"/>
          <w:sz w:val="16"/>
          <w:szCs w:val="16"/>
          <w:color w:val="auto"/>
        </w:rPr>
      </w:pPr>
    </w:p>
    <w:p>
      <w:pPr>
        <w:ind w:left="285" w:hanging="285"/>
        <w:spacing w:after="0"/>
        <w:tabs>
          <w:tab w:leader="none" w:pos="28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25" w:lineRule="exact"/>
        <w:rPr>
          <w:sz w:val="20"/>
          <w:szCs w:val="20"/>
          <w:color w:val="auto"/>
        </w:rPr>
      </w:pPr>
    </w:p>
    <w:p>
      <w:pPr>
        <w:ind w:left="25"/>
        <w:spacing w:after="0"/>
        <w:rPr>
          <w:sz w:val="20"/>
          <w:szCs w:val="20"/>
          <w:color w:val="auto"/>
        </w:rPr>
      </w:pPr>
      <w:r>
        <w:rPr>
          <w:rFonts w:ascii="Arial" w:cs="Arial" w:eastAsia="Arial" w:hAnsi="Arial"/>
          <w:sz w:val="16"/>
          <w:szCs w:val="16"/>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28904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6289040" cy="7620"/>
                    </a:xfrm>
                    <a:prstGeom prst="rect">
                      <a:avLst/>
                    </a:prstGeom>
                    <a:noFill/>
                  </pic:spPr>
                </pic:pic>
              </a:graphicData>
            </a:graphic>
          </wp:anchor>
        </w:drawing>
      </w:r>
    </w:p>
    <w:p>
      <w:pPr>
        <w:spacing w:after="0" w:line="10" w:lineRule="exact"/>
        <w:rPr>
          <w:sz w:val="20"/>
          <w:szCs w:val="20"/>
          <w:color w:val="auto"/>
        </w:rPr>
      </w:pPr>
    </w:p>
    <w:p>
      <w:pPr>
        <w:ind w:left="25"/>
        <w:spacing w:after="0"/>
        <w:rPr>
          <w:sz w:val="20"/>
          <w:szCs w:val="20"/>
          <w:color w:val="auto"/>
        </w:rPr>
      </w:pPr>
      <w:r>
        <w:rPr>
          <w:rFonts w:ascii="Arial" w:cs="Arial" w:eastAsia="Arial" w:hAnsi="Arial"/>
          <w:sz w:val="16"/>
          <w:szCs w:val="16"/>
          <w:color w:val="auto"/>
        </w:rPr>
        <w:t>Rohit Kapoor</w:t>
      </w:r>
    </w:p>
    <w:p>
      <w:pPr>
        <w:spacing w:after="0" w:line="18" w:lineRule="exact"/>
        <w:rPr>
          <w:sz w:val="20"/>
          <w:szCs w:val="20"/>
          <w:color w:val="auto"/>
        </w:rPr>
      </w:pPr>
    </w:p>
    <w:p>
      <w:pPr>
        <w:ind w:left="25"/>
        <w:spacing w:after="0"/>
        <w:rPr>
          <w:sz w:val="20"/>
          <w:szCs w:val="20"/>
          <w:color w:val="auto"/>
        </w:rPr>
      </w:pPr>
      <w:r>
        <w:rPr>
          <w:rFonts w:ascii="Arial" w:cs="Arial" w:eastAsia="Arial" w:hAnsi="Arial"/>
          <w:sz w:val="16"/>
          <w:szCs w:val="16"/>
          <w:color w:val="auto"/>
        </w:rPr>
        <w:t>Vice-Chairman and Chief Executive Officer</w:t>
      </w:r>
    </w:p>
    <w:p>
      <w:pPr>
        <w:spacing w:after="0" w:line="255" w:lineRule="exact"/>
        <w:rPr>
          <w:sz w:val="20"/>
          <w:szCs w:val="20"/>
          <w:color w:val="auto"/>
        </w:rPr>
      </w:pPr>
    </w:p>
    <w:p>
      <w:pPr>
        <w:ind w:left="25"/>
        <w:spacing w:after="0"/>
        <w:rPr>
          <w:sz w:val="20"/>
          <w:szCs w:val="20"/>
          <w:color w:val="auto"/>
        </w:rPr>
      </w:pPr>
      <w:r>
        <w:rPr>
          <w:rFonts w:ascii="Arial" w:cs="Arial" w:eastAsia="Arial" w:hAnsi="Arial"/>
          <w:sz w:val="16"/>
          <w:szCs w:val="16"/>
          <w:color w:val="auto"/>
        </w:rPr>
        <w:t>April 28, 2022</w:t>
      </w:r>
    </w:p>
    <w:p>
      <w:pPr>
        <w:sectPr>
          <w:pgSz w:w="11900" w:h="16838" w:orient="portrait"/>
          <w:cols w:equalWidth="0" w:num="1">
            <w:col w:w="11265"/>
          </w:cols>
          <w:pgMar w:left="315" w:top="800" w:right="31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CERTIFICATION PURSUANT TO</w:t>
      </w:r>
    </w:p>
    <w:p>
      <w:pPr>
        <w:spacing w:after="0" w:line="19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18 U.S.C. SECTION 1350,</w:t>
      </w:r>
    </w:p>
    <w:p>
      <w:pPr>
        <w:spacing w:after="0" w:line="19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AS ADOPTED PURSUANT TO</w:t>
      </w:r>
    </w:p>
    <w:p>
      <w:pPr>
        <w:spacing w:after="0" w:line="19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SECTION 906 OF THE SARBANES-OXLEY ACT OF 2002</w:t>
      </w:r>
    </w:p>
    <w:p>
      <w:pPr>
        <w:spacing w:after="0" w:line="196" w:lineRule="exact"/>
        <w:rPr>
          <w:sz w:val="20"/>
          <w:szCs w:val="20"/>
          <w:color w:val="auto"/>
        </w:rPr>
      </w:pPr>
    </w:p>
    <w:p>
      <w:pPr>
        <w:jc w:val="both"/>
        <w:ind w:left="5" w:right="20"/>
        <w:spacing w:after="0" w:line="258" w:lineRule="auto"/>
        <w:rPr>
          <w:sz w:val="20"/>
          <w:szCs w:val="20"/>
          <w:color w:val="auto"/>
        </w:rPr>
      </w:pPr>
      <w:r>
        <w:rPr>
          <w:rFonts w:ascii="Arial" w:cs="Arial" w:eastAsia="Arial" w:hAnsi="Arial"/>
          <w:sz w:val="16"/>
          <w:szCs w:val="16"/>
          <w:color w:val="auto"/>
        </w:rPr>
        <w:t>In connection with the Quarterly Report of ExlService Holdings, Inc. (the “Company”) on Form 10-Q for the period ended March 31, 2022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67" w:lineRule="exact"/>
        <w:rPr>
          <w:sz w:val="20"/>
          <w:szCs w:val="20"/>
          <w:color w:val="auto"/>
        </w:rPr>
      </w:pPr>
    </w:p>
    <w:p>
      <w:pPr>
        <w:ind w:left="285" w:hanging="285"/>
        <w:spacing w:after="0"/>
        <w:tabs>
          <w:tab w:leader="none" w:pos="28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6" w:lineRule="exact"/>
        <w:rPr>
          <w:rFonts w:ascii="Arial" w:cs="Arial" w:eastAsia="Arial" w:hAnsi="Arial"/>
          <w:sz w:val="16"/>
          <w:szCs w:val="16"/>
          <w:color w:val="auto"/>
        </w:rPr>
      </w:pPr>
    </w:p>
    <w:p>
      <w:pPr>
        <w:ind w:left="285" w:hanging="285"/>
        <w:spacing w:after="0"/>
        <w:tabs>
          <w:tab w:leader="none" w:pos="28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2" w:lineRule="exact"/>
        <w:rPr>
          <w:sz w:val="20"/>
          <w:szCs w:val="20"/>
          <w:color w:val="auto"/>
        </w:rPr>
      </w:pPr>
    </w:p>
    <w:p>
      <w:pPr>
        <w:ind w:left="25"/>
        <w:spacing w:after="0"/>
        <w:rPr>
          <w:sz w:val="20"/>
          <w:szCs w:val="20"/>
          <w:color w:val="auto"/>
        </w:rPr>
      </w:pPr>
      <w:r>
        <w:rPr>
          <w:rFonts w:ascii="Arial" w:cs="Arial" w:eastAsia="Arial" w:hAnsi="Arial"/>
          <w:sz w:val="16"/>
          <w:szCs w:val="16"/>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490156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4901565" cy="7620"/>
                    </a:xfrm>
                    <a:prstGeom prst="rect">
                      <a:avLst/>
                    </a:prstGeom>
                    <a:noFill/>
                  </pic:spPr>
                </pic:pic>
              </a:graphicData>
            </a:graphic>
          </wp:anchor>
        </w:drawing>
      </w:r>
    </w:p>
    <w:p>
      <w:pPr>
        <w:spacing w:after="0" w:line="10" w:lineRule="exact"/>
        <w:rPr>
          <w:sz w:val="20"/>
          <w:szCs w:val="20"/>
          <w:color w:val="auto"/>
        </w:rPr>
      </w:pPr>
    </w:p>
    <w:p>
      <w:pPr>
        <w:ind w:left="25"/>
        <w:spacing w:after="0"/>
        <w:rPr>
          <w:sz w:val="20"/>
          <w:szCs w:val="20"/>
          <w:color w:val="auto"/>
        </w:rPr>
      </w:pPr>
      <w:r>
        <w:rPr>
          <w:rFonts w:ascii="Arial" w:cs="Arial" w:eastAsia="Arial" w:hAnsi="Arial"/>
          <w:sz w:val="16"/>
          <w:szCs w:val="16"/>
          <w:color w:val="auto"/>
        </w:rPr>
        <w:t>Maurizio Nicolelli</w:t>
      </w:r>
    </w:p>
    <w:p>
      <w:pPr>
        <w:spacing w:after="0" w:line="18" w:lineRule="exact"/>
        <w:rPr>
          <w:sz w:val="20"/>
          <w:szCs w:val="20"/>
          <w:color w:val="auto"/>
        </w:rPr>
      </w:pPr>
    </w:p>
    <w:p>
      <w:pPr>
        <w:ind w:left="25"/>
        <w:spacing w:after="0"/>
        <w:rPr>
          <w:sz w:val="20"/>
          <w:szCs w:val="20"/>
          <w:color w:val="auto"/>
        </w:rPr>
      </w:pPr>
      <w:r>
        <w:rPr>
          <w:rFonts w:ascii="Arial" w:cs="Arial" w:eastAsia="Arial" w:hAnsi="Arial"/>
          <w:sz w:val="16"/>
          <w:szCs w:val="16"/>
          <w:color w:val="auto"/>
        </w:rPr>
        <w:t>Chief Financial Officer</w:t>
      </w:r>
    </w:p>
    <w:p>
      <w:pPr>
        <w:spacing w:after="0" w:line="255" w:lineRule="exact"/>
        <w:rPr>
          <w:sz w:val="20"/>
          <w:szCs w:val="20"/>
          <w:color w:val="auto"/>
        </w:rPr>
      </w:pPr>
    </w:p>
    <w:p>
      <w:pPr>
        <w:ind w:left="25"/>
        <w:spacing w:after="0"/>
        <w:rPr>
          <w:sz w:val="20"/>
          <w:szCs w:val="20"/>
          <w:color w:val="auto"/>
        </w:rPr>
      </w:pPr>
      <w:r>
        <w:rPr>
          <w:rFonts w:ascii="Arial" w:cs="Arial" w:eastAsia="Arial" w:hAnsi="Arial"/>
          <w:sz w:val="16"/>
          <w:szCs w:val="16"/>
          <w:color w:val="auto"/>
        </w:rPr>
        <w:t>April 28, 2022</w:t>
      </w:r>
    </w:p>
    <w:sectPr>
      <w:pgSz w:w="11900" w:h="16838" w:orient="portrait"/>
      <w:cols w:equalWidth="0" w:num="1">
        <w:col w:w="11265"/>
      </w:cols>
      <w:pgMar w:left="315" w:top="80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9"/>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04"/>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87" Type="http://schemas.openxmlformats.org/officeDocument/2006/relationships/hyperlink" Target="http://www.sec.gov/Archives/edgar/data/1297989/000119312506214684/dex31.htm" TargetMode="External"/><Relationship Id="rId88" Type="http://schemas.openxmlformats.org/officeDocument/2006/relationships/hyperlink" Target="http://www.sec.gov/Archives/edgar/data/1297989/000104746919002609/a2238453zdef14a.htm" TargetMode="External"/><Relationship Id="rId89" Type="http://schemas.openxmlformats.org/officeDocument/2006/relationships/hyperlink" Target="http://www.sec.gov/Archives/edgar/data/1297989/000114420419031504/tv523830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2022-04-28T16:56:58Z</dcterms:created>
  <dcterms:modified xsi:type="dcterms:W3CDTF">2022-04-28T16:56:58Z</dcterms:modified>
</cp:coreProperties>
</file>