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4540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45401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Shashank Amit</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350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5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06/07/2008</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583"/>
        <w:spacing w:after="0"/>
        <w:rPr>
          <w:sz w:val="20"/>
          <w:szCs w:val="20"/>
          <w:color w:val="auto"/>
        </w:rPr>
      </w:pPr>
      <w:r>
        <w:rPr>
          <w:rFonts w:ascii="Arial" w:cs="Arial" w:eastAsia="Arial" w:hAnsi="Arial"/>
          <w:sz w:val="18"/>
          <w:szCs w:val="18"/>
          <w:color w:val="0000FF"/>
        </w:rPr>
        <w:t>VP, Gen. Counsel/Corp. Sec'y</w:t>
      </w:r>
    </w:p>
    <w:p>
      <w:pPr>
        <w:spacing w:after="0" w:line="315"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10022</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520" w:type="dxa"/>
            <w:vAlign w:val="bottom"/>
          </w:tcPr>
          <w:p>
            <w:pPr>
              <w:spacing w:after="0"/>
              <w:rPr>
                <w:sz w:val="14"/>
                <w:szCs w:val="14"/>
                <w:color w:val="auto"/>
              </w:rPr>
            </w:pP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2. Transaction</w:t>
            </w:r>
          </w:p>
        </w:tc>
        <w:tc>
          <w:tcPr>
            <w:tcW w:w="118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w w:val="95"/>
              </w:rPr>
              <w:t>if any</w:t>
            </w:r>
          </w:p>
        </w:tc>
        <w:tc>
          <w:tcPr>
            <w:tcW w:w="760" w:type="dxa"/>
            <w:vAlign w:val="bottom"/>
          </w:tcPr>
          <w:p>
            <w:pPr>
              <w:spacing w:after="0"/>
              <w:rPr>
                <w:sz w:val="11"/>
                <w:szCs w:val="11"/>
                <w:color w:val="auto"/>
              </w:rPr>
            </w:pP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520" w:type="dxa"/>
            <w:vAlign w:val="bottom"/>
          </w:tcPr>
          <w:p>
            <w:pPr>
              <w:spacing w:after="0"/>
              <w:rPr>
                <w:sz w:val="6"/>
                <w:szCs w:val="6"/>
                <w:color w:val="auto"/>
              </w:rPr>
            </w:pPr>
          </w:p>
        </w:tc>
        <w:tc>
          <w:tcPr>
            <w:tcW w:w="6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6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6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8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520" w:type="dxa"/>
            <w:vAlign w:val="bottom"/>
          </w:tcPr>
          <w:p>
            <w:pPr>
              <w:spacing w:after="0"/>
              <w:rPr>
                <w:sz w:val="5"/>
                <w:szCs w:val="5"/>
                <w:color w:val="auto"/>
              </w:rPr>
            </w:pPr>
          </w:p>
        </w:tc>
        <w:tc>
          <w:tcPr>
            <w:tcW w:w="6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200" w:type="dxa"/>
            <w:vAlign w:val="bottom"/>
            <w:tcBorders>
              <w:bottom w:val="single" w:sz="8" w:color="2C2C2C"/>
            </w:tcBorders>
            <w:gridSpan w:val="4"/>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200" w:type="dxa"/>
            <w:vAlign w:val="bottom"/>
            <w:gridSpan w:val="4"/>
          </w:tcPr>
          <w:p>
            <w:pPr>
              <w:ind w:left="60"/>
              <w:spacing w:after="0"/>
              <w:rPr>
                <w:sz w:val="20"/>
                <w:szCs w:val="20"/>
                <w:color w:val="auto"/>
              </w:rPr>
            </w:pPr>
            <w:r>
              <w:rPr>
                <w:rFonts w:ascii="Arial" w:cs="Arial" w:eastAsia="Arial" w:hAnsi="Arial"/>
                <w:sz w:val="18"/>
                <w:szCs w:val="18"/>
                <w:color w:val="0000FF"/>
                <w:w w:val="89"/>
              </w:rPr>
              <w:t>Common Stock, par value $0.001 per share</w:t>
            </w:r>
          </w:p>
        </w:tc>
        <w:tc>
          <w:tcPr>
            <w:tcW w:w="1100" w:type="dxa"/>
            <w:vAlign w:val="bottom"/>
            <w:gridSpan w:val="2"/>
          </w:tcPr>
          <w:p>
            <w:pPr>
              <w:jc w:val="right"/>
              <w:ind w:right="78"/>
              <w:spacing w:after="0"/>
              <w:rPr>
                <w:sz w:val="20"/>
                <w:szCs w:val="20"/>
                <w:color w:val="auto"/>
              </w:rPr>
            </w:pPr>
            <w:r>
              <w:rPr>
                <w:rFonts w:ascii="Arial" w:cs="Arial" w:eastAsia="Arial" w:hAnsi="Arial"/>
                <w:sz w:val="18"/>
                <w:szCs w:val="18"/>
                <w:color w:val="0000FF"/>
              </w:rPr>
              <w:t>06/07/2008</w:t>
            </w:r>
          </w:p>
        </w:tc>
        <w:tc>
          <w:tcPr>
            <w:tcW w:w="4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80" w:type="dxa"/>
            <w:vAlign w:val="bottom"/>
          </w:tcPr>
          <w:p>
            <w:pPr>
              <w:ind w:left="160"/>
              <w:spacing w:after="0"/>
              <w:rPr>
                <w:sz w:val="20"/>
                <w:szCs w:val="20"/>
                <w:color w:val="auto"/>
              </w:rPr>
            </w:pPr>
            <w:r>
              <w:rPr>
                <w:rFonts w:ascii="Arial" w:cs="Arial" w:eastAsia="Arial" w:hAnsi="Arial"/>
                <w:sz w:val="14"/>
                <w:szCs w:val="14"/>
                <w:color w:val="0000FF"/>
              </w:rPr>
              <w:t>M</w:t>
            </w:r>
          </w:p>
        </w:tc>
        <w:tc>
          <w:tcPr>
            <w:tcW w:w="720" w:type="dxa"/>
            <w:vAlign w:val="bottom"/>
          </w:tcPr>
          <w:p>
            <w:pPr>
              <w:jc w:val="right"/>
              <w:ind w:right="13"/>
              <w:spacing w:after="0"/>
              <w:rPr>
                <w:sz w:val="20"/>
                <w:szCs w:val="20"/>
                <w:color w:val="auto"/>
              </w:rPr>
            </w:pPr>
            <w:r>
              <w:rPr>
                <w:rFonts w:ascii="Arial" w:cs="Arial" w:eastAsia="Arial" w:hAnsi="Arial"/>
                <w:sz w:val="18"/>
                <w:szCs w:val="18"/>
                <w:color w:val="0000FF"/>
              </w:rPr>
              <w:t>7,105</w:t>
            </w:r>
          </w:p>
        </w:tc>
        <w:tc>
          <w:tcPr>
            <w:tcW w:w="680" w:type="dxa"/>
            <w:vAlign w:val="bottom"/>
          </w:tcPr>
          <w:p>
            <w:pPr>
              <w:ind w:left="320"/>
              <w:spacing w:after="0"/>
              <w:rPr>
                <w:sz w:val="20"/>
                <w:szCs w:val="20"/>
                <w:color w:val="auto"/>
              </w:rPr>
            </w:pPr>
            <w:r>
              <w:rPr>
                <w:rFonts w:ascii="Arial" w:cs="Arial" w:eastAsia="Arial" w:hAnsi="Arial"/>
                <w:sz w:val="18"/>
                <w:szCs w:val="18"/>
                <w:color w:val="0000FF"/>
              </w:rPr>
              <w:t>A</w:t>
            </w:r>
          </w:p>
        </w:tc>
        <w:tc>
          <w:tcPr>
            <w:tcW w:w="580" w:type="dxa"/>
            <w:vAlign w:val="bottom"/>
          </w:tcPr>
          <w:p>
            <w:pPr>
              <w:jc w:val="right"/>
              <w:ind w:right="74"/>
              <w:spacing w:after="0"/>
              <w:rPr>
                <w:sz w:val="20"/>
                <w:szCs w:val="20"/>
                <w:color w:val="auto"/>
              </w:rPr>
            </w:pPr>
            <w:r>
              <w:rPr>
                <w:rFonts w:ascii="Arial" w:cs="Arial" w:eastAsia="Arial" w:hAnsi="Arial"/>
                <w:sz w:val="11"/>
                <w:szCs w:val="11"/>
                <w:color w:val="008000"/>
              </w:rPr>
              <w:t>(1)</w:t>
            </w: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0" w:type="dxa"/>
            <w:vAlign w:val="bottom"/>
            <w:gridSpan w:val="2"/>
          </w:tcPr>
          <w:p>
            <w:pPr>
              <w:ind w:left="340"/>
              <w:spacing w:after="0"/>
              <w:rPr>
                <w:sz w:val="20"/>
                <w:szCs w:val="20"/>
                <w:color w:val="auto"/>
              </w:rPr>
            </w:pPr>
            <w:r>
              <w:rPr>
                <w:rFonts w:ascii="Arial" w:cs="Arial" w:eastAsia="Arial" w:hAnsi="Arial"/>
                <w:sz w:val="18"/>
                <w:szCs w:val="18"/>
                <w:color w:val="0000FF"/>
              </w:rPr>
              <w:t>17,885</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00" w:type="dxa"/>
            <w:vAlign w:val="bottom"/>
            <w:tcBorders>
              <w:bottom w:val="single" w:sz="8" w:color="2C2C2C"/>
            </w:tcBorders>
            <w:gridSpan w:val="4"/>
          </w:tcPr>
          <w:p>
            <w:pPr>
              <w:spacing w:after="0"/>
              <w:rPr>
                <w:sz w:val="5"/>
                <w:szCs w:val="5"/>
                <w:color w:val="auto"/>
              </w:rPr>
            </w:pPr>
          </w:p>
        </w:tc>
        <w:tc>
          <w:tcPr>
            <w:tcW w:w="1100" w:type="dxa"/>
            <w:vAlign w:val="bottom"/>
            <w:tcBorders>
              <w:bottom w:val="single" w:sz="8" w:color="2C2C2C"/>
            </w:tcBorders>
            <w:gridSpan w:val="2"/>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gridSpan w:val="2"/>
          </w:tcPr>
          <w:p>
            <w:pPr>
              <w:spacing w:after="0"/>
              <w:rPr>
                <w:sz w:val="5"/>
                <w:szCs w:val="5"/>
                <w:color w:val="auto"/>
              </w:rPr>
            </w:pPr>
          </w:p>
        </w:tc>
        <w:tc>
          <w:tcPr>
            <w:tcW w:w="120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320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w w:val="89"/>
              </w:rPr>
              <w:t>Common Stock, per value $0.001 per share</w:t>
            </w:r>
          </w:p>
        </w:tc>
        <w:tc>
          <w:tcPr>
            <w:tcW w:w="1100" w:type="dxa"/>
            <w:vAlign w:val="bottom"/>
            <w:tcBorders>
              <w:bottom w:val="single" w:sz="8" w:color="2C2C2C"/>
            </w:tcBorders>
            <w:gridSpan w:val="2"/>
          </w:tcPr>
          <w:p>
            <w:pPr>
              <w:jc w:val="right"/>
              <w:ind w:right="78"/>
              <w:spacing w:after="0"/>
              <w:rPr>
                <w:sz w:val="20"/>
                <w:szCs w:val="20"/>
                <w:color w:val="auto"/>
              </w:rPr>
            </w:pPr>
            <w:r>
              <w:rPr>
                <w:rFonts w:ascii="Arial" w:cs="Arial" w:eastAsia="Arial" w:hAnsi="Arial"/>
                <w:sz w:val="18"/>
                <w:szCs w:val="18"/>
                <w:color w:val="0000FF"/>
              </w:rPr>
              <w:t>06/07/2008</w:t>
            </w:r>
          </w:p>
        </w:tc>
        <w:tc>
          <w:tcPr>
            <w:tcW w:w="4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F</w:t>
            </w:r>
          </w:p>
        </w:tc>
        <w:tc>
          <w:tcPr>
            <w:tcW w:w="720" w:type="dxa"/>
            <w:vAlign w:val="bottom"/>
            <w:tcBorders>
              <w:bottom w:val="single" w:sz="8" w:color="2C2C2C"/>
            </w:tcBorders>
          </w:tcPr>
          <w:p>
            <w:pPr>
              <w:jc w:val="right"/>
              <w:ind w:right="13"/>
              <w:spacing w:after="0"/>
              <w:rPr>
                <w:sz w:val="20"/>
                <w:szCs w:val="20"/>
                <w:color w:val="auto"/>
              </w:rPr>
            </w:pPr>
            <w:r>
              <w:rPr>
                <w:rFonts w:ascii="Arial" w:cs="Arial" w:eastAsia="Arial" w:hAnsi="Arial"/>
                <w:sz w:val="18"/>
                <w:szCs w:val="18"/>
                <w:color w:val="0000FF"/>
              </w:rPr>
              <w:t>2,601</w:t>
            </w:r>
          </w:p>
        </w:tc>
        <w:tc>
          <w:tcPr>
            <w:tcW w:w="68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17.615</w:t>
            </w:r>
            <w:r>
              <w:rPr>
                <w:rFonts w:ascii="Arial" w:cs="Arial" w:eastAsia="Arial" w:hAnsi="Arial"/>
                <w:sz w:val="22"/>
                <w:szCs w:val="22"/>
                <w:color w:val="008000"/>
                <w:w w:val="84"/>
                <w:vertAlign w:val="superscript"/>
              </w:rPr>
              <w:t>(2)</w:t>
            </w:r>
          </w:p>
        </w:tc>
        <w:tc>
          <w:tcPr>
            <w:tcW w:w="1200" w:type="dxa"/>
            <w:vAlign w:val="bottom"/>
            <w:tcBorders>
              <w:bottom w:val="single" w:sz="8" w:color="2C2C2C"/>
            </w:tcBorders>
            <w:gridSpan w:val="2"/>
          </w:tcPr>
          <w:p>
            <w:pPr>
              <w:ind w:left="340"/>
              <w:spacing w:after="0"/>
              <w:rPr>
                <w:sz w:val="20"/>
                <w:szCs w:val="20"/>
                <w:color w:val="auto"/>
              </w:rPr>
            </w:pPr>
            <w:r>
              <w:rPr>
                <w:rFonts w:ascii="Arial" w:cs="Arial" w:eastAsia="Arial" w:hAnsi="Arial"/>
                <w:sz w:val="18"/>
                <w:szCs w:val="18"/>
                <w:color w:val="0000FF"/>
              </w:rPr>
              <w:t>15,284</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420" w:type="dxa"/>
            <w:vAlign w:val="bottom"/>
            <w:tcBorders>
              <w:top w:val="single" w:sz="8" w:color="2C2C2C"/>
            </w:tcBorders>
            <w:gridSpan w:val="13"/>
          </w:tcPr>
          <w:p>
            <w:pPr>
              <w:jc w:val="center"/>
              <w:ind w:left="91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080" w:type="dxa"/>
            <w:vAlign w:val="bottom"/>
            <w:gridSpan w:val="9"/>
          </w:tcPr>
          <w:p>
            <w:pPr>
              <w:jc w:val="center"/>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30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68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6"/>
              </w:rPr>
              <w:t>Amount of</w:t>
            </w: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5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20" w:type="dxa"/>
            <w:vAlign w:val="bottom"/>
          </w:tcPr>
          <w:p>
            <w:pPr>
              <w:spacing w:after="0"/>
              <w:rPr>
                <w:sz w:val="11"/>
                <w:szCs w:val="11"/>
                <w:color w:val="auto"/>
              </w:rPr>
            </w:pPr>
          </w:p>
        </w:tc>
        <w:tc>
          <w:tcPr>
            <w:tcW w:w="9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Underlying</w:t>
            </w:r>
          </w:p>
        </w:tc>
        <w:tc>
          <w:tcPr>
            <w:tcW w:w="6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 Security</w:t>
            </w: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(Instr. 3 and 4)</w:t>
            </w: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620" w:type="dxa"/>
            <w:vAlign w:val="bottom"/>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500" w:type="dxa"/>
            <w:vAlign w:val="bottom"/>
          </w:tcPr>
          <w:p>
            <w:pPr>
              <w:spacing w:after="0"/>
              <w:rPr>
                <w:sz w:val="4"/>
                <w:szCs w:val="4"/>
                <w:color w:val="auto"/>
              </w:rPr>
            </w:pPr>
          </w:p>
        </w:tc>
        <w:tc>
          <w:tcPr>
            <w:tcW w:w="70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2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6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tcPr>
          <w:p>
            <w:pPr>
              <w:ind w:left="80"/>
              <w:spacing w:after="0"/>
              <w:rPr>
                <w:sz w:val="20"/>
                <w:szCs w:val="20"/>
                <w:color w:val="auto"/>
              </w:rPr>
            </w:pPr>
            <w:r>
              <w:rPr>
                <w:rFonts w:ascii="Arial" w:cs="Arial" w:eastAsia="Arial" w:hAnsi="Arial"/>
                <w:sz w:val="14"/>
                <w:szCs w:val="14"/>
                <w:color w:val="0000FF"/>
              </w:rPr>
              <w:t>Common</w:t>
            </w: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Restricted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(3)</w:t>
            </w:r>
          </w:p>
        </w:tc>
        <w:tc>
          <w:tcPr>
            <w:tcW w:w="1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vMerge w:val="restart"/>
          </w:tcPr>
          <w:p>
            <w:pPr>
              <w:ind w:left="280"/>
              <w:spacing w:after="0"/>
              <w:rPr>
                <w:sz w:val="20"/>
                <w:szCs w:val="20"/>
                <w:color w:val="auto"/>
              </w:rPr>
            </w:pPr>
            <w:r>
              <w:rPr>
                <w:rFonts w:ascii="Arial" w:cs="Arial" w:eastAsia="Arial" w:hAnsi="Arial"/>
                <w:sz w:val="11"/>
                <w:szCs w:val="11"/>
                <w:color w:val="008000"/>
              </w:rPr>
              <w:t>(4)</w:t>
            </w:r>
          </w:p>
        </w:tc>
        <w:tc>
          <w:tcPr>
            <w:tcW w:w="720" w:type="dxa"/>
            <w:vAlign w:val="bottom"/>
            <w:vMerge w:val="restart"/>
          </w:tcPr>
          <w:p>
            <w:pPr>
              <w:jc w:val="right"/>
              <w:ind w:right="233"/>
              <w:spacing w:after="0"/>
              <w:rPr>
                <w:sz w:val="20"/>
                <w:szCs w:val="20"/>
                <w:color w:val="auto"/>
              </w:rPr>
            </w:pPr>
            <w:r>
              <w:rPr>
                <w:rFonts w:ascii="Arial" w:cs="Arial" w:eastAsia="Arial" w:hAnsi="Arial"/>
                <w:sz w:val="11"/>
                <w:szCs w:val="11"/>
                <w:color w:val="008000"/>
              </w:rPr>
              <w:t>(4)</w:t>
            </w:r>
          </w:p>
        </w:tc>
        <w:tc>
          <w:tcPr>
            <w:tcW w:w="680" w:type="dxa"/>
            <w:vAlign w:val="bottom"/>
          </w:tcPr>
          <w:p>
            <w:pPr>
              <w:ind w:left="160"/>
              <w:spacing w:after="0" w:line="149" w:lineRule="exact"/>
              <w:rPr>
                <w:sz w:val="20"/>
                <w:szCs w:val="20"/>
                <w:color w:val="auto"/>
              </w:rPr>
            </w:pPr>
            <w:r>
              <w:rPr>
                <w:rFonts w:ascii="Arial" w:cs="Arial" w:eastAsia="Arial" w:hAnsi="Arial"/>
                <w:sz w:val="14"/>
                <w:szCs w:val="14"/>
                <w:color w:val="0000FF"/>
              </w:rPr>
              <w:t>Stock,</w:t>
            </w:r>
          </w:p>
        </w:tc>
        <w:tc>
          <w:tcPr>
            <w:tcW w:w="580" w:type="dxa"/>
            <w:vAlign w:val="bottom"/>
            <w:vMerge w:val="restart"/>
          </w:tcPr>
          <w:p>
            <w:pPr>
              <w:ind w:left="80"/>
              <w:spacing w:after="0"/>
              <w:rPr>
                <w:sz w:val="20"/>
                <w:szCs w:val="20"/>
                <w:color w:val="auto"/>
              </w:rPr>
            </w:pPr>
            <w:r>
              <w:rPr>
                <w:rFonts w:ascii="Arial" w:cs="Arial" w:eastAsia="Arial" w:hAnsi="Arial"/>
                <w:sz w:val="18"/>
                <w:szCs w:val="18"/>
                <w:color w:val="0000FF"/>
              </w:rPr>
              <w:t>7,105</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vMerge w:val="restart"/>
          </w:tcPr>
          <w:p>
            <w:pPr>
              <w:ind w:left="80"/>
              <w:spacing w:after="0"/>
              <w:rPr>
                <w:sz w:val="20"/>
                <w:szCs w:val="20"/>
                <w:color w:val="auto"/>
              </w:rPr>
            </w:pPr>
            <w:r>
              <w:rPr>
                <w:rFonts w:ascii="Arial" w:cs="Arial" w:eastAsia="Arial" w:hAnsi="Arial"/>
                <w:sz w:val="11"/>
                <w:szCs w:val="11"/>
                <w:color w:val="008000"/>
              </w:rPr>
              <w:t>(5)</w:t>
            </w: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1140" w:type="dxa"/>
            <w:vAlign w:val="bottom"/>
            <w:vMerge w:val="restart"/>
          </w:tcPr>
          <w:p>
            <w:pPr>
              <w:jc w:val="right"/>
              <w:ind w:right="192"/>
              <w:spacing w:after="0" w:line="149" w:lineRule="exact"/>
              <w:rPr>
                <w:sz w:val="20"/>
                <w:szCs w:val="20"/>
                <w:color w:val="auto"/>
              </w:rPr>
            </w:pPr>
            <w:r>
              <w:rPr>
                <w:rFonts w:ascii="Arial" w:cs="Arial" w:eastAsia="Arial" w:hAnsi="Arial"/>
                <w:sz w:val="14"/>
                <w:szCs w:val="14"/>
                <w:color w:val="0000FF"/>
              </w:rPr>
              <w:t>06/07/2008</w:t>
            </w:r>
          </w:p>
        </w:tc>
        <w:tc>
          <w:tcPr>
            <w:tcW w:w="520" w:type="dxa"/>
            <w:vAlign w:val="bottom"/>
          </w:tcPr>
          <w:p>
            <w:pPr>
              <w:spacing w:after="0"/>
              <w:rPr>
                <w:sz w:val="5"/>
                <w:szCs w:val="5"/>
                <w:color w:val="auto"/>
              </w:rPr>
            </w:pPr>
          </w:p>
        </w:tc>
        <w:tc>
          <w:tcPr>
            <w:tcW w:w="620" w:type="dxa"/>
            <w:vAlign w:val="bottom"/>
          </w:tcPr>
          <w:p>
            <w:pPr>
              <w:spacing w:after="0"/>
              <w:rPr>
                <w:sz w:val="5"/>
                <w:szCs w:val="5"/>
                <w:color w:val="auto"/>
              </w:rPr>
            </w:pPr>
          </w:p>
        </w:tc>
        <w:tc>
          <w:tcPr>
            <w:tcW w:w="480" w:type="dxa"/>
            <w:vAlign w:val="bottom"/>
            <w:vMerge w:val="restart"/>
          </w:tcPr>
          <w:p>
            <w:pPr>
              <w:ind w:left="160"/>
              <w:spacing w:after="0" w:line="149" w:lineRule="exact"/>
              <w:rPr>
                <w:sz w:val="20"/>
                <w:szCs w:val="20"/>
                <w:color w:val="auto"/>
              </w:rPr>
            </w:pPr>
            <w:r>
              <w:rPr>
                <w:rFonts w:ascii="Arial" w:cs="Arial" w:eastAsia="Arial" w:hAnsi="Arial"/>
                <w:sz w:val="14"/>
                <w:szCs w:val="14"/>
                <w:color w:val="0000FF"/>
              </w:rPr>
              <w:t>M</w:t>
            </w:r>
          </w:p>
        </w:tc>
        <w:tc>
          <w:tcPr>
            <w:tcW w:w="420" w:type="dxa"/>
            <w:vAlign w:val="bottom"/>
          </w:tcPr>
          <w:p>
            <w:pPr>
              <w:spacing w:after="0"/>
              <w:rPr>
                <w:sz w:val="5"/>
                <w:szCs w:val="5"/>
                <w:color w:val="auto"/>
              </w:rPr>
            </w:pPr>
          </w:p>
        </w:tc>
        <w:tc>
          <w:tcPr>
            <w:tcW w:w="760" w:type="dxa"/>
            <w:vAlign w:val="bottom"/>
            <w:vMerge w:val="restart"/>
          </w:tcPr>
          <w:p>
            <w:pPr>
              <w:ind w:left="320"/>
              <w:spacing w:after="0" w:line="149" w:lineRule="exact"/>
              <w:rPr>
                <w:sz w:val="20"/>
                <w:szCs w:val="20"/>
                <w:color w:val="auto"/>
              </w:rPr>
            </w:pPr>
            <w:r>
              <w:rPr>
                <w:rFonts w:ascii="Arial" w:cs="Arial" w:eastAsia="Arial" w:hAnsi="Arial"/>
                <w:sz w:val="14"/>
                <w:szCs w:val="14"/>
                <w:color w:val="0000FF"/>
              </w:rPr>
              <w:t>7,105</w:t>
            </w: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80" w:type="dxa"/>
            <w:vAlign w:val="bottom"/>
            <w:vMerge w:val="restart"/>
          </w:tcPr>
          <w:p>
            <w:pPr>
              <w:ind w:left="80"/>
              <w:spacing w:after="0" w:line="149" w:lineRule="exact"/>
              <w:rPr>
                <w:sz w:val="20"/>
                <w:szCs w:val="20"/>
                <w:color w:val="auto"/>
              </w:rPr>
            </w:pPr>
            <w:r>
              <w:rPr>
                <w:rFonts w:ascii="Arial" w:cs="Arial" w:eastAsia="Arial" w:hAnsi="Arial"/>
                <w:sz w:val="14"/>
                <w:szCs w:val="14"/>
                <w:color w:val="0000FF"/>
              </w:rPr>
              <w:t>par value</w:t>
            </w:r>
          </w:p>
        </w:tc>
        <w:tc>
          <w:tcPr>
            <w:tcW w:w="5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700" w:type="dxa"/>
            <w:vAlign w:val="bottom"/>
            <w:vMerge w:val="restart"/>
          </w:tcPr>
          <w:p>
            <w:pPr>
              <w:ind w:left="460"/>
              <w:spacing w:after="0" w:line="149" w:lineRule="exact"/>
              <w:rPr>
                <w:sz w:val="20"/>
                <w:szCs w:val="20"/>
                <w:color w:val="auto"/>
              </w:rPr>
            </w:pPr>
            <w:r>
              <w:rPr>
                <w:rFonts w:ascii="Arial" w:cs="Arial" w:eastAsia="Arial" w:hAnsi="Arial"/>
                <w:sz w:val="14"/>
                <w:szCs w:val="14"/>
                <w:color w:val="0000FF"/>
              </w:rPr>
              <w:t>0</w:t>
            </w:r>
          </w:p>
        </w:tc>
        <w:tc>
          <w:tcPr>
            <w:tcW w:w="280" w:type="dxa"/>
            <w:vAlign w:val="bottom"/>
          </w:tcPr>
          <w:p>
            <w:pPr>
              <w:spacing w:after="0"/>
              <w:rPr>
                <w:sz w:val="5"/>
                <w:szCs w:val="5"/>
                <w:color w:val="auto"/>
              </w:rPr>
            </w:pPr>
          </w:p>
        </w:tc>
        <w:tc>
          <w:tcPr>
            <w:tcW w:w="70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620" w:type="dxa"/>
            <w:vAlign w:val="bottom"/>
          </w:tcPr>
          <w:p>
            <w:pPr>
              <w:spacing w:after="0"/>
              <w:rPr>
                <w:sz w:val="7"/>
                <w:szCs w:val="7"/>
                <w:color w:val="auto"/>
              </w:rPr>
            </w:pPr>
          </w:p>
        </w:tc>
        <w:tc>
          <w:tcPr>
            <w:tcW w:w="480" w:type="dxa"/>
            <w:vAlign w:val="bottom"/>
            <w:vMerge w:val="continue"/>
          </w:tcPr>
          <w:p>
            <w:pPr>
              <w:spacing w:after="0"/>
              <w:rPr>
                <w:sz w:val="7"/>
                <w:szCs w:val="7"/>
                <w:color w:val="auto"/>
              </w:rPr>
            </w:pPr>
          </w:p>
        </w:tc>
        <w:tc>
          <w:tcPr>
            <w:tcW w:w="42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18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620" w:type="dxa"/>
            <w:vAlign w:val="bottom"/>
          </w:tcPr>
          <w:p>
            <w:pPr>
              <w:spacing w:after="0"/>
              <w:rPr>
                <w:sz w:val="7"/>
                <w:szCs w:val="7"/>
                <w:color w:val="auto"/>
              </w:rPr>
            </w:pPr>
          </w:p>
        </w:tc>
        <w:tc>
          <w:tcPr>
            <w:tcW w:w="480" w:type="dxa"/>
            <w:vAlign w:val="bottom"/>
          </w:tcPr>
          <w:p>
            <w:pPr>
              <w:spacing w:after="0"/>
              <w:rPr>
                <w:sz w:val="7"/>
                <w:szCs w:val="7"/>
                <w:color w:val="auto"/>
              </w:rPr>
            </w:pPr>
          </w:p>
        </w:tc>
        <w:tc>
          <w:tcPr>
            <w:tcW w:w="42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vMerge w:val="restart"/>
          </w:tcPr>
          <w:p>
            <w:pPr>
              <w:ind w:left="140"/>
              <w:spacing w:after="0"/>
              <w:rPr>
                <w:sz w:val="20"/>
                <w:szCs w:val="20"/>
                <w:color w:val="auto"/>
              </w:rPr>
            </w:pPr>
            <w:r>
              <w:rPr>
                <w:rFonts w:ascii="Arial" w:cs="Arial" w:eastAsia="Arial" w:hAnsi="Arial"/>
                <w:sz w:val="14"/>
                <w:szCs w:val="14"/>
                <w:color w:val="0000FF"/>
              </w:rPr>
              <w:t>$0.001</w:t>
            </w:r>
          </w:p>
        </w:tc>
        <w:tc>
          <w:tcPr>
            <w:tcW w:w="580" w:type="dxa"/>
            <w:vAlign w:val="bottom"/>
          </w:tcPr>
          <w:p>
            <w:pPr>
              <w:spacing w:after="0"/>
              <w:rPr>
                <w:sz w:val="7"/>
                <w:szCs w:val="7"/>
                <w:color w:val="auto"/>
              </w:rPr>
            </w:pPr>
          </w:p>
        </w:tc>
        <w:tc>
          <w:tcPr>
            <w:tcW w:w="40" w:type="dxa"/>
            <w:vAlign w:val="bottom"/>
          </w:tcPr>
          <w:p>
            <w:pPr>
              <w:spacing w:after="0"/>
              <w:rPr>
                <w:sz w:val="7"/>
                <w:szCs w:val="7"/>
                <w:color w:val="auto"/>
              </w:rPr>
            </w:pPr>
          </w:p>
        </w:tc>
        <w:tc>
          <w:tcPr>
            <w:tcW w:w="180" w:type="dxa"/>
            <w:vAlign w:val="bottom"/>
          </w:tcPr>
          <w:p>
            <w:pPr>
              <w:spacing w:after="0"/>
              <w:rPr>
                <w:sz w:val="7"/>
                <w:szCs w:val="7"/>
                <w:color w:val="auto"/>
              </w:rPr>
            </w:pPr>
          </w:p>
        </w:tc>
        <w:tc>
          <w:tcPr>
            <w:tcW w:w="5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520" w:type="dxa"/>
            <w:vAlign w:val="bottom"/>
          </w:tcPr>
          <w:p>
            <w:pPr>
              <w:spacing w:after="0"/>
              <w:rPr>
                <w:sz w:val="6"/>
                <w:szCs w:val="6"/>
                <w:color w:val="auto"/>
              </w:rPr>
            </w:pPr>
          </w:p>
        </w:tc>
        <w:tc>
          <w:tcPr>
            <w:tcW w:w="6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6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40" w:type="dxa"/>
            <w:vAlign w:val="bottom"/>
          </w:tcPr>
          <w:p>
            <w:pPr>
              <w:spacing w:after="0"/>
              <w:rPr>
                <w:sz w:val="6"/>
                <w:szCs w:val="6"/>
                <w:color w:val="auto"/>
              </w:rPr>
            </w:pPr>
          </w:p>
        </w:tc>
        <w:tc>
          <w:tcPr>
            <w:tcW w:w="180" w:type="dxa"/>
            <w:vAlign w:val="bottom"/>
          </w:tcPr>
          <w:p>
            <w:pPr>
              <w:spacing w:after="0"/>
              <w:rPr>
                <w:sz w:val="6"/>
                <w:szCs w:val="6"/>
                <w:color w:val="auto"/>
              </w:rPr>
            </w:pPr>
          </w:p>
        </w:tc>
        <w:tc>
          <w:tcPr>
            <w:tcW w:w="5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7080"/>
        <w:spacing w:after="0"/>
        <w:rPr>
          <w:sz w:val="20"/>
          <w:szCs w:val="20"/>
          <w:color w:val="auto"/>
        </w:rPr>
      </w:pPr>
      <w:r>
        <w:rPr>
          <w:rFonts w:ascii="Arial" w:cs="Arial" w:eastAsia="Arial" w:hAnsi="Arial"/>
          <w:sz w:val="14"/>
          <w:szCs w:val="14"/>
          <w:color w:val="0000FF"/>
        </w:rPr>
        <w:t>per share</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42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As of June 7, 2008, ExlService Holdings, Inc. (the "Company") issued 7,105 shares of common stock, par value $0.001 per share ("Common Stock"), to the reporting person upon the vesting of an equal number of shares of restricted stock previously granted to the reporting person.</w:t>
      </w:r>
    </w:p>
    <w:p>
      <w:pPr>
        <w:spacing w:after="0" w:line="30" w:lineRule="exact"/>
        <w:rPr>
          <w:rFonts w:ascii="Arial" w:cs="Arial" w:eastAsia="Arial" w:hAnsi="Arial"/>
          <w:sz w:val="14"/>
          <w:szCs w:val="14"/>
          <w:color w:val="008000"/>
        </w:rPr>
      </w:pPr>
    </w:p>
    <w:p>
      <w:pPr>
        <w:ind w:left="40" w:right="24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reporting person's restricted stock reported in this report vested on June 7, 2008. Pursuant to the Company's 2006 Omnibus Award Plan, pursuant to which such restricted stock was granted, the average of the high and low sale prices of the Common Stock on the Nasdaq Global Select Market on the preceding day is used for tax reporting and withholding purposes.</w:t>
      </w: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1-for-1.</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shares of restricted stock vested on June 7, 2008.</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Not applicable.</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06/10/2008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73629"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2019-12-16T15:22:41Z</dcterms:created>
  <dcterms:modified xsi:type="dcterms:W3CDTF">2019-12-16T15:22:41Z</dcterms:modified>
</cp:coreProperties>
</file>