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16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168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Kini Narasimha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40"/>
        <w:spacing w:after="0" w:line="365" w:lineRule="auto"/>
        <w:rPr>
          <w:sz w:val="20"/>
          <w:szCs w:val="20"/>
          <w:color w:val="auto"/>
        </w:rPr>
      </w:pPr>
      <w:r>
        <w:rPr>
          <w:rFonts w:ascii="Times New Roman" w:cs="Times New Roman" w:eastAsia="Times New Roman" w:hAnsi="Times New Roman"/>
          <w:sz w:val="17"/>
          <w:szCs w:val="17"/>
          <w:color w:val="0000FF"/>
        </w:rPr>
        <w:t>EXLSERVICE HOLDINGS INC 320 PARK AVENUE, 29TH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ExlService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EXLS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tcPr>
          <w:p>
            <w:pPr>
              <w:ind w:left="14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2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01/29/2024</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EVP, Emerging Bus Unit Leader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0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01/29/2024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26,600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193,584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01/29/2024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13,401</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32.29</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180,183</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9"/>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shares of common stock, par value $0.001 per share (the "Common Stock") reported in this report were earned pursuant to the performance restricted stock units ("PRSUs") of ExlService Holdings, Inc. (the "Company") granted on February 17, 2021. Such shares of Common Stock were deemed earned on January 29, 2024 based on the Compensation Committee of the Board of Directors administering the award certifying the achievement of performance targets applicable to the PRSUs for the performance period ending on December 31, 2023</w:t>
      </w:r>
    </w:p>
    <w:p>
      <w:pPr>
        <w:spacing w:after="0" w:line="2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PRSUs were granted, the closing price of the Common Stock on the Nasdaq Global Select Market on the preceding day is used for purposes of computing tax reporting and withholding.</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4"/>
          <w:szCs w:val="34"/>
          <w:color w:val="0000FF"/>
          <w:vertAlign w:val="subscript"/>
        </w:rPr>
        <w:t>01/31/2024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7363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2024-01-31T16:54:03Z</dcterms:created>
  <dcterms:modified xsi:type="dcterms:W3CDTF">2024-01-31T16:54:03Z</dcterms:modified>
</cp:coreProperties>
</file>