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5660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660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Mahon Anita</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560"/>
        <w:spacing w:after="0" w:line="322"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4"/>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02/16/2023</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76"/>
        <w:spacing w:after="0"/>
        <w:rPr>
          <w:sz w:val="20"/>
          <w:szCs w:val="20"/>
          <w:color w:val="auto"/>
        </w:rPr>
      </w:pPr>
      <w:r>
        <w:rPr>
          <w:rFonts w:ascii="Times New Roman" w:cs="Times New Roman" w:eastAsia="Times New Roman" w:hAnsi="Times New Roman"/>
          <w:sz w:val="17"/>
          <w:szCs w:val="17"/>
          <w:color w:val="0000FF"/>
        </w:rPr>
        <w:t>EVP &amp; Chief Growth Officer</w:t>
      </w:r>
    </w:p>
    <w:p>
      <w:pPr>
        <w:spacing w:after="0" w:line="42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620" w:type="dxa"/>
            <w:vAlign w:val="bottom"/>
            <w:gridSpan w:val="6"/>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10"/>
          </w:tcPr>
          <w:p>
            <w:pPr>
              <w:ind w:left="36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gridSpan w:val="3"/>
          </w:tcPr>
          <w:p>
            <w:pPr>
              <w:ind w:left="3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3"/>
            <w:vMerge w:val="restart"/>
          </w:tcPr>
          <w:p>
            <w:pPr>
              <w:ind w:left="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4"/>
                <w:szCs w:val="14"/>
                <w:color w:val="auto"/>
              </w:rPr>
            </w:pPr>
          </w:p>
        </w:tc>
        <w:tc>
          <w:tcPr>
            <w:tcW w:w="15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tcPr>
          <w:p>
            <w:pPr>
              <w:ind w:left="5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620" w:type="dxa"/>
            <w:vAlign w:val="bottom"/>
            <w:tcBorders>
              <w:bottom w:val="single" w:sz="8" w:color="2C2C2C"/>
            </w:tcBorders>
            <w:gridSpan w:val="6"/>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w w:val="99"/>
              </w:rPr>
              <w:t>Common Stock, par value $0.001 per</w:t>
            </w:r>
          </w:p>
        </w:tc>
        <w:tc>
          <w:tcPr>
            <w:tcW w:w="15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660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vMerge w:val="restart"/>
          </w:tcPr>
          <w:p>
            <w:pPr>
              <w:jc w:val="center"/>
              <w:spacing w:after="0"/>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8,957</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20" w:type="dxa"/>
            <w:vAlign w:val="bottom"/>
            <w:tcBorders>
              <w:bottom w:val="single" w:sz="8" w:color="2C2C2C"/>
            </w:tcBorders>
            <w:gridSpan w:val="6"/>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w w:val="99"/>
              </w:rPr>
              <w:t>Common Stock, par value $0.001 per</w:t>
            </w:r>
          </w:p>
        </w:tc>
        <w:tc>
          <w:tcPr>
            <w:tcW w:w="15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7"/>
                <w:szCs w:val="17"/>
                <w:color w:val="0000FF"/>
              </w:rPr>
              <w:t>02/16/2023</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center"/>
              <w:ind w:right="261"/>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338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gridSpan w:val="3"/>
            <w:vMerge w:val="restart"/>
          </w:tcPr>
          <w:p>
            <w:pPr>
              <w:jc w:val="center"/>
              <w:ind w:right="1"/>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172.03</w:t>
            </w:r>
            <w:r>
              <w:rPr>
                <w:rFonts w:ascii="Times New Roman" w:cs="Times New Roman" w:eastAsia="Times New Roman" w:hAnsi="Times New Roman"/>
                <w:sz w:val="21"/>
                <w:szCs w:val="21"/>
                <w:color w:val="008000"/>
                <w:w w:val="90"/>
                <w:vertAlign w:val="superscript"/>
              </w:rPr>
              <w:t>(2)</w:t>
            </w: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8,619</w:t>
            </w:r>
          </w:p>
        </w:tc>
        <w:tc>
          <w:tcPr>
            <w:tcW w:w="28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42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gridSpan w:val="10"/>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w w:val="97"/>
              </w:rPr>
              <w:t>Stock,</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660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02/16/2023</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80"/>
              <w:spacing w:after="0" w:line="144" w:lineRule="exact"/>
              <w:rPr>
                <w:sz w:val="20"/>
                <w:szCs w:val="20"/>
                <w:color w:val="auto"/>
              </w:rPr>
            </w:pPr>
            <w:r>
              <w:rPr>
                <w:rFonts w:ascii="Times New Roman" w:cs="Times New Roman" w:eastAsia="Times New Roman" w:hAnsi="Times New Roman"/>
                <w:sz w:val="13"/>
                <w:szCs w:val="13"/>
                <w:color w:val="0000FF"/>
              </w:rPr>
              <w:t>660</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1,980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0000FF"/>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-2295525</wp:posOffset>
            </wp:positionV>
            <wp:extent cx="29210" cy="2300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006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February 16, 2023.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4" w:lineRule="exact"/>
        <w:rPr>
          <w:rFonts w:ascii="Times New Roman" w:cs="Times New Roman" w:eastAsia="Times New Roman" w:hAnsi="Times New Roman"/>
          <w:sz w:val="13"/>
          <w:szCs w:val="13"/>
          <w:color w:val="008000"/>
        </w:rPr>
      </w:pPr>
    </w:p>
    <w:p>
      <w:pPr>
        <w:jc w:val="both"/>
        <w:ind w:left="40" w:right="2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2,640 restricted stock units, vesting in four annual installments beginning on the first anniversary of the grant date. 25 percent of the restricted stock units became vested on February 16, 2023, an additional twenty-five percent of the restricted stock units will vest on February 16, 2024, an additional twenty-five percent of the restricted stock units will vest on February 16, 2025; and the remaining balance of twenty-five percent of the restricted stock units will vest on February 16, 2026.</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6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52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2023-02-21T17:05:25Z</dcterms:created>
  <dcterms:modified xsi:type="dcterms:W3CDTF">2023-02-21T17:05:25Z</dcterms:modified>
</cp:coreProperties>
</file>