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579"/>
        <w:spacing w:after="0"/>
        <w:rPr>
          <w:sz w:val="20"/>
          <w:szCs w:val="20"/>
          <w:color w:val="auto"/>
        </w:rPr>
      </w:pPr>
      <w:r>
        <w:rPr>
          <w:rFonts w:ascii="Arial" w:cs="Arial" w:eastAsia="Arial" w:hAnsi="Arial"/>
          <w:sz w:val="16"/>
          <w:szCs w:val="16"/>
          <w:color w:val="auto"/>
        </w:rPr>
        <w:t>Date of Report (Date of earliest event reported): April 13, 2016</w:t>
      </w:r>
    </w:p>
    <w:p>
      <w:pPr>
        <w:spacing w:after="0" w:line="244"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864" w:right="799" w:bottom="1440" w:gutter="0" w:footer="0" w:header="0"/>
        </w:sectPr>
      </w:pPr>
    </w:p>
    <w:p>
      <w:pPr>
        <w:spacing w:after="0" w:line="207"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40" w:space="720"/>
            <w:col w:w="1980"/>
          </w:cols>
          <w:pgMar w:left="240" w:top="864" w:right="799" w:bottom="1440" w:gutter="0" w:footer="0" w:header="0"/>
          <w:type w:val="continuous"/>
        </w:sectPr>
      </w:pPr>
    </w:p>
    <w:p>
      <w:pPr>
        <w:spacing w:after="0" w:line="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5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ectPr>
          <w:pgSz w:w="11900" w:h="16838" w:orient="portrait"/>
          <w:cols w:equalWidth="0" w:num="1">
            <w:col w:w="10860"/>
          </w:cols>
          <w:pgMar w:left="240" w:top="864" w:right="799" w:bottom="1440" w:gutter="0" w:footer="0" w:header="0"/>
          <w:type w:val="continuous"/>
        </w:sectPr>
      </w:pP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295910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829310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864" w:right="799" w:bottom="1440" w:gutter="0" w:footer="0" w:header="0"/>
          <w:type w:val="continuous"/>
        </w:sectPr>
      </w:pPr>
    </w:p>
    <w:bookmarkStart w:id="1" w:name="page2"/>
    <w:bookmarkEnd w:id="1"/>
    <w:p>
      <w:pPr>
        <w:ind w:left="11260"/>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2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April 13, 2016, the Compensation Committee (the “Compensation Committee”) of the Board of Directors (the “Board”) of ExlService Holdings, Inc. (the “Registrant”) approved the entry by the Registrant into a new employment agreement with Vishal Chhibbar, the Registrant’s executive vice president and chief financial officer, which the parties agreed would be effective as of January 1, 2016. The new employment agreement supersedes Mr. Chhibbar’s existing employment agreement dated May 1, 2009. Under the new employment agreement, Mr. Chhibbar’s annual base salary will be increased to $400,000, subject to adjustments by the Board as permitted in the agreement, and his target annual cash bonus opportunity will be 60% of his base salary with a maximum of 120% of his base salary. Mr. Chhibbar will continue to remain eligible to receive equity awards at the discretion of the Compensation Committee. In addition, Mr. Chhibbar is entitled to receive up to $100,000 in connection with his relocation from India to New York. The new employment agreement also provides him with continuation of his base salary for 12 months, as severance, if his employment is terminated without cause (other than due to death or disability) or if he resigns for good reason (as those terms are defined in the new agreement). The foregoing summary is not complete and is qualified in its entirety by reference to the new employment agreement, a copy of which will be filed with the Registrant’s next periodic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440" w:val="left"/>
          <w:tab w:leader="none" w:pos="6020" w:val="left"/>
        </w:tabs>
        <w:rPr>
          <w:sz w:val="20"/>
          <w:szCs w:val="20"/>
          <w:color w:val="auto"/>
        </w:rPr>
      </w:pPr>
      <w:r>
        <w:rPr>
          <w:rFonts w:ascii="Arial" w:cs="Arial" w:eastAsia="Arial" w:hAnsi="Arial"/>
          <w:sz w:val="18"/>
          <w:szCs w:val="18"/>
          <w:color w:val="auto"/>
        </w:rPr>
        <w:t>Date: April 19,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Nancy Saltzman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Nancy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-130175</wp:posOffset>
            </wp:positionV>
            <wp:extent cx="2109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22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2019-12-08T02:53:19Z</dcterms:created>
  <dcterms:modified xsi:type="dcterms:W3CDTF">2019-12-08T02:53:19Z</dcterms:modified>
</cp:coreProperties>
</file>