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76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02/26/2018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1,104</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61.483</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6,083</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02/26/2018</w:t>
            </w:r>
          </w:p>
        </w:tc>
        <w:tc>
          <w:tcPr>
            <w:tcW w:w="11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6"/>
              <w:spacing w:after="0"/>
              <w:rPr>
                <w:sz w:val="20"/>
                <w:szCs w:val="20"/>
                <w:color w:val="auto"/>
              </w:rPr>
            </w:pPr>
            <w:r>
              <w:rPr>
                <w:rFonts w:ascii="Arial" w:cs="Arial" w:eastAsia="Arial" w:hAnsi="Arial"/>
                <w:sz w:val="18"/>
                <w:szCs w:val="18"/>
                <w:color w:val="0000FF"/>
                <w:w w:val="88"/>
              </w:rPr>
              <w:t>1,800</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ind w:left="380"/>
              <w:spacing w:after="0"/>
              <w:rPr>
                <w:sz w:val="20"/>
                <w:szCs w:val="20"/>
                <w:color w:val="auto"/>
              </w:rPr>
            </w:pPr>
            <w:r>
              <w:rPr>
                <w:rFonts w:ascii="Arial" w:cs="Arial" w:eastAsia="Arial" w:hAnsi="Arial"/>
                <w:sz w:val="18"/>
                <w:szCs w:val="18"/>
                <w:color w:val="0000FF"/>
              </w:rPr>
              <w:t>7,883</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02/26/2018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688</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61.67</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7,195</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02/26/2018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1,800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2,400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$61.36 to $61.56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6,000 restricted stock units, ten percent of the restricted stock units became vested on February 26, 2016, an additional twenty percent of the restricted stock units became vested on February 26, 2017, an additional thirty percent of the restricted stock units became vested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2019-12-04T02:00:50Z</dcterms:created>
  <dcterms:modified xsi:type="dcterms:W3CDTF">2019-12-04T02:00:50Z</dcterms:modified>
</cp:coreProperties>
</file>