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5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2016</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440" w:type="dxa"/>
        <w:tblCellMar>
          <w:top w:w="0" w:type="dxa"/>
          <w:left w:w="0" w:type="dxa"/>
          <w:bottom w:w="0" w:type="dxa"/>
          <w:right w:w="0" w:type="dxa"/>
        </w:tblCellMar>
      </w:tblP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7"/>
              </w:rPr>
              <w:t>DELAWARE</w:t>
            </w:r>
          </w:p>
        </w:tc>
        <w:tc>
          <w:tcPr>
            <w:tcW w:w="5100" w:type="dxa"/>
            <w:vAlign w:val="bottom"/>
          </w:tcPr>
          <w:p>
            <w:pPr>
              <w:jc w:val="right"/>
              <w:ind w:right="84"/>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00" w:type="dxa"/>
            <w:vAlign w:val="bottom"/>
          </w:tcPr>
          <w:p>
            <w:pPr>
              <w:jc w:val="center"/>
              <w:ind w:left="3904"/>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8"/>
              </w:rPr>
              <w:t>280 PARK AVENUE, 38 TH FLOOR,</w:t>
            </w:r>
          </w:p>
        </w:tc>
        <w:tc>
          <w:tcPr>
            <w:tcW w:w="5100" w:type="dxa"/>
            <w:vAlign w:val="bottom"/>
          </w:tcPr>
          <w:p>
            <w:pPr>
              <w:spacing w:after="0"/>
              <w:rPr>
                <w:sz w:val="24"/>
                <w:szCs w:val="24"/>
                <w:color w:val="auto"/>
              </w:rPr>
            </w:pPr>
          </w:p>
        </w:tc>
      </w:t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rPr>
              <w:t>NEW YORK, NEW YORK</w:t>
            </w:r>
          </w:p>
        </w:tc>
        <w:tc>
          <w:tcPr>
            <w:tcW w:w="5100" w:type="dxa"/>
            <w:vAlign w:val="bottom"/>
          </w:tcPr>
          <w:p>
            <w:pPr>
              <w:jc w:val="right"/>
              <w:ind w:right="284"/>
              <w:spacing w:after="0"/>
              <w:rPr>
                <w:sz w:val="20"/>
                <w:szCs w:val="20"/>
                <w:color w:val="auto"/>
              </w:rPr>
            </w:pPr>
            <w:r>
              <w:rPr>
                <w:rFonts w:ascii="Arial" w:cs="Arial" w:eastAsia="Arial" w:hAnsi="Arial"/>
                <w:sz w:val="16"/>
                <w:szCs w:val="16"/>
                <w:b w:val="1"/>
                <w:bCs w:val="1"/>
                <w:color w:val="auto"/>
              </w:rPr>
              <w:t>10017</w:t>
            </w:r>
          </w:p>
        </w:tc>
      </w:tr>
      <w:tr>
        <w:trPr>
          <w:trHeight w:val="224"/>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924"/>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2640" w:type="dxa"/>
            <w:vAlign w:val="bottom"/>
          </w:tcPr>
          <w:p>
            <w:pPr>
              <w:spacing w:after="0"/>
              <w:rPr>
                <w:sz w:val="22"/>
                <w:szCs w:val="22"/>
                <w:color w:val="auto"/>
              </w:rPr>
            </w:pPr>
          </w:p>
        </w:tc>
        <w:tc>
          <w:tcPr>
            <w:tcW w:w="5100" w:type="dxa"/>
            <w:vAlign w:val="bottom"/>
          </w:tcPr>
          <w:p>
            <w:pPr>
              <w:jc w:val="right"/>
              <w:ind w:right="2884"/>
              <w:spacing w:after="0"/>
              <w:rPr>
                <w:sz w:val="20"/>
                <w:szCs w:val="20"/>
                <w:color w:val="auto"/>
              </w:rPr>
            </w:pPr>
            <w:r>
              <w:rPr>
                <w:rFonts w:ascii="Arial" w:cs="Arial" w:eastAsia="Arial" w:hAnsi="Arial"/>
                <w:sz w:val="16"/>
                <w:szCs w:val="16"/>
                <w:b w:val="1"/>
                <w:bCs w:val="1"/>
                <w:color w:val="auto"/>
              </w:rPr>
              <w:t>(212) 277-7100</w:t>
            </w:r>
          </w:p>
        </w:tc>
      </w:tr>
      <w:tr>
        <w:trPr>
          <w:trHeight w:val="190"/>
        </w:trPr>
        <w:tc>
          <w:tcPr>
            <w:tcW w:w="2640" w:type="dxa"/>
            <w:vAlign w:val="bottom"/>
          </w:tcPr>
          <w:p>
            <w:pPr>
              <w:spacing w:after="0"/>
              <w:rPr>
                <w:sz w:val="16"/>
                <w:szCs w:val="16"/>
                <w:color w:val="auto"/>
              </w:rPr>
            </w:pPr>
          </w:p>
        </w:tc>
        <w:tc>
          <w:tcPr>
            <w:tcW w:w="5100" w:type="dxa"/>
            <w:vAlign w:val="bottom"/>
          </w:tcPr>
          <w:p>
            <w:pPr>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34"/>
        </w:trPr>
        <w:tc>
          <w:tcPr>
            <w:tcW w:w="7740" w:type="dxa"/>
            <w:vAlign w:val="bottom"/>
            <w:gridSpan w:val="2"/>
          </w:tcPr>
          <w:p>
            <w:pPr>
              <w:jc w:val="right"/>
              <w:ind w:right="864"/>
              <w:spacing w:after="0"/>
              <w:rPr>
                <w:sz w:val="20"/>
                <w:szCs w:val="20"/>
                <w:color w:val="auto"/>
              </w:rPr>
            </w:pPr>
            <w:r>
              <w:rPr>
                <w:rFonts w:ascii="Arial" w:cs="Arial" w:eastAsia="Arial" w:hAnsi="Arial"/>
                <w:sz w:val="18"/>
                <w:szCs w:val="18"/>
                <w:b w:val="1"/>
                <w:bCs w:val="1"/>
                <w:color w:val="auto"/>
              </w:rPr>
              <w:t>________________________________________________________</w:t>
            </w:r>
          </w:p>
        </w:tc>
      </w:tr>
    </w:tbl>
    <w:p>
      <w:pPr>
        <w:spacing w:after="0" w:line="44" w:lineRule="exact"/>
        <w:rPr>
          <w:sz w:val="24"/>
          <w:szCs w:val="24"/>
          <w:color w:val="auto"/>
        </w:rPr>
      </w:pPr>
    </w:p>
    <w:p>
      <w:pPr>
        <w:jc w:val="both"/>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445" w:right="259" w:bottom="1440" w:gutter="0" w:footer="0" w:header="0"/>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200" w:space="720"/>
            <w:col w:w="4560" w:space="720"/>
            <w:col w:w="1900" w:space="720"/>
            <w:col w:w="580"/>
          </w:cols>
          <w:pgMar w:left="240" w:top="445" w:right="25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2200" w:space="720"/>
            <w:col w:w="4560" w:space="720"/>
            <w:col w:w="1900" w:space="720"/>
            <w:col w:w="580"/>
          </w:cols>
          <w:pgMar w:left="240" w:top="445" w:right="259" w:bottom="1440" w:gutter="0" w:footer="0" w:header="0"/>
          <w:type w:val="continuous"/>
        </w:sectPr>
      </w:pPr>
    </w:p>
    <w:p>
      <w:pPr>
        <w:ind w:left="340"/>
        <w:spacing w:after="0" w:line="173" w:lineRule="exact"/>
        <w:tabs>
          <w:tab w:leader="none" w:pos="78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sectPr>
          <w:pgSz w:w="11900" w:h="16838" w:orient="portrait"/>
          <w:cols w:equalWidth="0" w:num="2">
            <w:col w:w="8320" w:space="160"/>
            <w:col w:w="2920"/>
          </w:cols>
          <w:pgMar w:left="240" w:top="445" w:right="25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As of April 25, 2016, there were 33,472,670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ITEM</w:t>
            </w:r>
          </w:p>
        </w:tc>
        <w:tc>
          <w:tcPr>
            <w:tcW w:w="2000" w:type="dxa"/>
            <w:vAlign w:val="bottom"/>
            <w:gridSpan w:val="9"/>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1. Finacial Information</w:t>
              </w:r>
            </w:hyperlink>
          </w:p>
        </w:tc>
        <w:tc>
          <w:tcPr>
            <w:tcW w:w="7200" w:type="dxa"/>
            <w:vAlign w:val="bottom"/>
            <w:gridSpan w:val="11"/>
            <w:vMerge w:val="restart"/>
          </w:tcPr>
          <w:p>
            <w:pPr>
              <w:spacing w:after="0"/>
              <w:rPr>
                <w:sz w:val="19"/>
                <w:szCs w:val="19"/>
                <w:color w:val="auto"/>
              </w:rPr>
            </w:pPr>
          </w:p>
        </w:tc>
        <w:tc>
          <w:tcPr>
            <w:tcW w:w="660" w:type="dxa"/>
            <w:vAlign w:val="bottom"/>
            <w:vMerge w:val="restart"/>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0" w:type="dxa"/>
            <w:vAlign w:val="bottom"/>
            <w:tcBorders>
              <w:bottom w:val="single" w:sz="8" w:color="0000EE"/>
            </w:tcBorders>
            <w:gridSpan w:val="9"/>
            <w:vMerge w:val="continue"/>
          </w:tcPr>
          <w:p>
            <w:pPr>
              <w:spacing w:after="0"/>
              <w:rPr>
                <w:sz w:val="21"/>
                <w:szCs w:val="21"/>
                <w:color w:val="auto"/>
              </w:rPr>
            </w:pPr>
          </w:p>
        </w:tc>
        <w:tc>
          <w:tcPr>
            <w:tcW w:w="7200" w:type="dxa"/>
            <w:vAlign w:val="bottom"/>
            <w:gridSpan w:val="11"/>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2016 (Unaudited) and December 31, 2015</w:t>
              </w:r>
            </w:hyperlink>
          </w:p>
        </w:tc>
        <w:tc>
          <w:tcPr>
            <w:tcW w:w="6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(Unaudited) for the Three Months Ended March 31, 2016 and 2015</w:t>
              </w:r>
            </w:hyperlink>
          </w:p>
        </w:tc>
        <w:tc>
          <w:tcPr>
            <w:tcW w:w="66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Comprehensive Income (Unaudited) for the Three Months Ended March 31, 2016 and 2015</w:t>
              </w:r>
            </w:hyperlink>
          </w:p>
        </w:tc>
        <w:tc>
          <w:tcPr>
            <w:tcW w:w="320" w:type="dxa"/>
            <w:vAlign w:val="bottom"/>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Three Months Ended March 31, 2016 and 2015</w:t>
              </w:r>
            </w:hyperlink>
          </w:p>
        </w:tc>
        <w:tc>
          <w:tcPr>
            <w:tcW w:w="660" w:type="dxa"/>
            <w:vAlign w:val="bottom"/>
          </w:tcPr>
          <w:p>
            <w:pPr>
              <w:ind w:lef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76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1200" w:type="dxa"/>
            <w:vAlign w:val="bottom"/>
            <w:gridSpan w:val="2"/>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4840" w:type="dxa"/>
            <w:vAlign w:val="bottom"/>
            <w:gridSpan w:val="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7420" w:type="dxa"/>
            <w:vAlign w:val="bottom"/>
            <w:gridSpan w:val="13"/>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Part II. Other Information</w:t>
              </w:r>
            </w:hyperlink>
          </w:p>
        </w:tc>
        <w:tc>
          <w:tcPr>
            <w:tcW w:w="7340" w:type="dxa"/>
            <w:vAlign w:val="bottom"/>
            <w:gridSpan w:val="12"/>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6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6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440" w:type="dxa"/>
            <w:vAlign w:val="bottom"/>
            <w:gridSpan w:val="14"/>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7900" w:type="dxa"/>
            <w:vAlign w:val="bottom"/>
            <w:gridSpan w:val="1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2"/>
          </w:tcPr>
          <w:p>
            <w:pPr>
              <w:ind w:left="4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March 31, 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205,323</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97,079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13,676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107,601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92,650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8,027</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337,754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339,199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47,540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47,991</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50,013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52,733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171,535</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22,384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22,257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642,280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3,146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13,667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11,518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44,526</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37,901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34,250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89,644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107,079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17,655</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158,487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185,012</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16)</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ExlService Holdings, Inc.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860" w:type="dxa"/>
            <w:vAlign w:val="bottom"/>
          </w:tcPr>
          <w:p>
            <w:pPr>
              <w:ind w:left="380"/>
              <w:spacing w:after="0"/>
              <w:rPr>
                <w:sz w:val="20"/>
                <w:szCs w:val="20"/>
                <w:color w:val="auto"/>
              </w:rPr>
            </w:pPr>
            <w:r>
              <w:rPr>
                <w:rFonts w:ascii="Arial" w:cs="Arial" w:eastAsia="Arial" w:hAnsi="Arial"/>
                <w:sz w:val="16"/>
                <w:szCs w:val="16"/>
                <w:color w:val="auto"/>
                <w:w w:val="90"/>
              </w:rPr>
              <w:t>Common stock, $0.001 par value; 100,000,000 shares authorized, 35,252,413 shares issued and 33,409,249 shares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380"/>
              <w:spacing w:after="0"/>
              <w:rPr>
                <w:sz w:val="20"/>
                <w:szCs w:val="20"/>
                <w:color w:val="auto"/>
              </w:rPr>
            </w:pPr>
            <w:r>
              <w:rPr>
                <w:rFonts w:ascii="Arial" w:cs="Arial" w:eastAsia="Arial" w:hAnsi="Arial"/>
                <w:sz w:val="16"/>
                <w:szCs w:val="16"/>
                <w:color w:val="auto"/>
                <w:w w:val="99"/>
              </w:rPr>
              <w:t>outstanding as of March 31, 2016 and 34,781,201 shares issued and 33,091,223 shares outstanding as of</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6"/>
                <w:szCs w:val="16"/>
                <w:color w:val="auto"/>
              </w:rPr>
              <w:t>December 31, 2015</w:t>
            </w:r>
          </w:p>
        </w:tc>
        <w:tc>
          <w:tcPr>
            <w:tcW w:w="24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254,052</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334,809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320,989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(67,325)</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532,628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507,751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Less: 1,843,164 shares as of March 31, 2016 and 1,689,978 shares as of December 31, 2015, held in treasury, at cost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(42,159)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483,614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465,592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483,793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465,771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642,280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00"/>
          </w:cols>
          <w:pgMar w:left="240" w:top="337" w:right="259" w:bottom="962"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37" w:right="259" w:bottom="962"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167,036</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143,510</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108,379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93,125</w:t>
            </w:r>
          </w:p>
        </w:tc>
      </w:tr>
      <w:tr>
        <w:trPr>
          <w:trHeight w:val="27"/>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58,657</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50,385</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7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20,618</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18,621</w:t>
            </w: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13,454</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11,243</w:t>
            </w: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8,133</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7,053</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42,205</w:t>
            </w: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36,917</w:t>
            </w:r>
          </w:p>
        </w:tc>
      </w:tr>
      <w:tr>
        <w:trPr>
          <w:trHeight w:val="27"/>
        </w:trPr>
        <w:tc>
          <w:tcPr>
            <w:tcW w:w="78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16,452</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13,468</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Foreign exchange gain</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1,134</w:t>
            </w: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2,794</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19,715</w:t>
            </w:r>
          </w:p>
        </w:tc>
        <w:tc>
          <w:tcPr>
            <w:tcW w:w="1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15,780</w:t>
            </w: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5,895</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13,820</w:t>
            </w:r>
          </w:p>
        </w:tc>
        <w:tc>
          <w:tcPr>
            <w:tcW w:w="1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9,567</w:t>
            </w:r>
          </w:p>
        </w:tc>
      </w:tr>
      <w:tr>
        <w:trPr>
          <w:trHeight w:val="67"/>
        </w:trPr>
        <w:tc>
          <w:tcPr>
            <w:tcW w:w="78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78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0.29</w:t>
            </w: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33,380,028</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33,236,259</w:t>
            </w:r>
          </w:p>
        </w:tc>
      </w:tr>
      <w:tr>
        <w:trPr>
          <w:trHeight w:val="243"/>
        </w:trPr>
        <w:tc>
          <w:tcPr>
            <w:tcW w:w="7800" w:type="dxa"/>
            <w:vAlign w:val="bottom"/>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34,351,657</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34,051,971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37"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comprehensive income/(loss):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Unrealized gain on effective cash flow hedges, net of taxes $403 and $453,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1,806</w:t>
            </w:r>
          </w:p>
        </w:tc>
      </w:tr>
      <w:tr>
        <w:trPr>
          <w:trHeight w:val="243"/>
        </w:trPr>
        <w:tc>
          <w:tcPr>
            <w:tcW w:w="8800" w:type="dxa"/>
            <w:vAlign w:val="bottom"/>
          </w:tcPr>
          <w:p>
            <w:pPr>
              <w:ind w:left="5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Retirement benefits, net of taxes $5 and $6,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43"/>
        </w:trPr>
        <w:tc>
          <w:tcPr>
            <w:tcW w:w="8800" w:type="dxa"/>
            <w:vAlign w:val="bottom"/>
          </w:tcPr>
          <w:p>
            <w:pPr>
              <w:ind w:left="300"/>
              <w:spacing w:after="0"/>
              <w:rPr>
                <w:sz w:val="20"/>
                <w:szCs w:val="20"/>
                <w:color w:val="auto"/>
              </w:rPr>
            </w:pPr>
            <w:r>
              <w:rPr>
                <w:rFonts w:ascii="Arial" w:cs="Arial" w:eastAsia="Arial" w:hAnsi="Arial"/>
                <w:sz w:val="18"/>
                <w:szCs w:val="18"/>
                <w:color w:val="auto"/>
              </w:rPr>
              <w:t>Reclassification adjustments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shd w:val="clear" w:color="auto" w:fill="CCEEFF"/>
          </w:tcPr>
          <w:p>
            <w:pPr>
              <w:ind w:left="580"/>
              <w:spacing w:after="0" w:line="270" w:lineRule="exact"/>
              <w:rPr>
                <w:sz w:val="20"/>
                <w:szCs w:val="20"/>
                <w:color w:val="auto"/>
              </w:rPr>
            </w:pPr>
            <w:r>
              <w:rPr>
                <w:rFonts w:ascii="Arial" w:cs="Arial" w:eastAsia="Arial" w:hAnsi="Arial"/>
                <w:sz w:val="18"/>
                <w:szCs w:val="18"/>
                <w:color w:val="auto"/>
              </w:rPr>
              <w:t>Realized (gain)/loss on cash flow hedges, net of taxes ($25) and $126, respectively</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70"/>
        </w:trPr>
        <w:tc>
          <w:tcPr>
            <w:tcW w:w="8800" w:type="dxa"/>
            <w:vAlign w:val="bottom"/>
            <w:tcBorders>
              <w:bottom w:val="single" w:sz="8" w:color="CCEEFF"/>
            </w:tcBorders>
          </w:tcPr>
          <w:p>
            <w:pPr>
              <w:ind w:left="580"/>
              <w:spacing w:after="0" w:line="270" w:lineRule="exact"/>
              <w:rPr>
                <w:sz w:val="20"/>
                <w:szCs w:val="20"/>
                <w:color w:val="auto"/>
              </w:rPr>
            </w:pPr>
            <w:r>
              <w:rPr>
                <w:rFonts w:ascii="Arial" w:cs="Arial" w:eastAsia="Arial" w:hAnsi="Arial"/>
                <w:sz w:val="18"/>
                <w:szCs w:val="18"/>
                <w:color w:val="auto"/>
              </w:rPr>
              <w:t>Retirement benefits, net of taxes $1 and $3, respectively</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r>
      <w:tr>
        <w:trPr>
          <w:trHeight w:val="264"/>
        </w:trPr>
        <w:tc>
          <w:tcPr>
            <w:tcW w:w="8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17,058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12,061</w:t>
            </w:r>
          </w:p>
        </w:tc>
      </w:tr>
      <w:tr>
        <w:trPr>
          <w:trHeight w:val="27"/>
        </w:trPr>
        <w:tc>
          <w:tcPr>
            <w:tcW w:w="8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right="580" w:hanging="532"/>
        <w:spacing w:after="0" w:line="25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foreign exchange gain/(loss) in the unaudited consolidated statements of income. See Note 7 to the consolidated financial statements.</w:t>
      </w:r>
    </w:p>
    <w:p>
      <w:pPr>
        <w:spacing w:after="0" w:line="1" w:lineRule="exact"/>
        <w:rPr>
          <w:rFonts w:ascii="Arial" w:cs="Arial" w:eastAsia="Arial" w:hAnsi="Arial"/>
          <w:sz w:val="16"/>
          <w:szCs w:val="16"/>
          <w:i w:val="1"/>
          <w:iCs w:val="1"/>
          <w:color w:val="auto"/>
        </w:rPr>
      </w:pPr>
    </w:p>
    <w:p>
      <w:pPr>
        <w:ind w:left="540" w:right="60" w:hanging="532"/>
        <w:spacing w:after="0" w:line="257"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computation of net periodic pension costs in the unaudited consolidated statements of income. See Note 11 to the consolidated financial statements</w:t>
      </w:r>
      <w:r>
        <w:rPr>
          <w:rFonts w:ascii="Arial" w:cs="Arial" w:eastAsia="Arial" w:hAnsi="Arial"/>
          <w:sz w:val="16"/>
          <w:szCs w:val="16"/>
          <w:color w:val="auto"/>
          <w:shd w:val="clear" w:color="auto" w:fill="CCEE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9,567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7,053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gain on short term investments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earn-out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Unrealized foreign exchange (gain)/loss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Others, net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3,834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employee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income tax,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 provided by operating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64"/>
        </w:trPr>
        <w:tc>
          <w:tcPr>
            <w:tcW w:w="79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fixed assets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(8,845)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acquisition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short-term investments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(101,327)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(5,995)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redemption of short-term investments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(89,780)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(56,180)</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capital lease obligations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borrowings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30,000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treasury stock</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1,883</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for)/provided by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205,323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176,499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151,319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37"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(collectively, the “Company”), is a leading Operations Management and Analytics company that helps businesses enhance growth and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U.S. and the 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2015.</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other operating segments have been aggregated into the Operations Management reportable segment.</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reportable segments are as follows:</w:t>
      </w:r>
    </w:p>
    <w:p>
      <w:pPr>
        <w:spacing w:after="0" w:line="90"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Operations Management, and</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segment information for all prior periods presented herein has been restated to conform to the current presentation. This change in segment presentation does not affect the Company’s consolidated statements of income, balance sheets or statements of cash flows.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Principles of Consolidation</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non-controlling interest at March 31, 2016 represents the minority partner’s interest in the operations of ExlService Colombia S.A.S. ("Exl Colombia") and the profits associated with the minority partner’s interest in those operations, in the consolidated balance sheets and consolidated statements of income, respectively. The non-controlling interest in such operations for the three months ended March 31, 2016 was insignificant and is included under general and administrative expenses in the unaudited consolidated statements of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Other current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5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March 31, 2016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December 31, 2015</w:t>
            </w:r>
          </w:p>
        </w:tc>
        <w:tc>
          <w:tcPr>
            <w:tcW w:w="5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560" w:type="dxa"/>
            <w:vAlign w:val="bottom"/>
            <w:tcBorders>
              <w:bottom w:val="single" w:sz="8" w:color="CCEEFF"/>
              <w:right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Advances to suppliers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1,545</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Receivables from statutory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1,989</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19,746</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right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15,219</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(d) Accrued expenses and other current liabilities</w:t>
            </w: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10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Accrued expenses and other current liabilities consists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w w:val="98"/>
              </w:rPr>
              <w:t>March 31, 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CCEEFF"/>
            </w:tcBorders>
            <w:gridSpan w:val="4"/>
            <w:shd w:val="clear" w:color="auto" w:fill="CCEEFF"/>
          </w:tcPr>
          <w:p>
            <w:pPr>
              <w:jc w:val="right"/>
              <w:ind w:right="39"/>
              <w:spacing w:after="0"/>
              <w:rPr>
                <w:sz w:val="20"/>
                <w:szCs w:val="20"/>
                <w:color w:val="auto"/>
              </w:rPr>
            </w:pPr>
            <w:r>
              <w:rPr>
                <w:rFonts w:ascii="Arial" w:cs="Arial" w:eastAsia="Arial" w:hAnsi="Arial"/>
                <w:sz w:val="18"/>
                <w:szCs w:val="18"/>
                <w:color w:val="auto"/>
              </w:rPr>
              <w:t>25,264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87"/>
              </w:rPr>
              <w:t>26,238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gridSpan w:val="3"/>
          </w:tcPr>
          <w:p>
            <w:pPr>
              <w:jc w:val="right"/>
              <w:ind w:right="39"/>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w w:val="88"/>
              </w:rPr>
              <w:t>1,226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Client liability account</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93"/>
              </w:rPr>
              <w:t>2,972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88"/>
              </w:rPr>
              <w:t>2,217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gridSpan w:val="3"/>
          </w:tcPr>
          <w:p>
            <w:pPr>
              <w:jc w:val="right"/>
              <w:ind w:right="39"/>
              <w:spacing w:after="0"/>
              <w:rPr>
                <w:sz w:val="20"/>
                <w:szCs w:val="20"/>
                <w:color w:val="auto"/>
              </w:rPr>
            </w:pPr>
            <w:r>
              <w:rPr>
                <w:rFonts w:ascii="Arial" w:cs="Arial" w:eastAsia="Arial" w:hAnsi="Arial"/>
                <w:sz w:val="18"/>
                <w:szCs w:val="18"/>
                <w:color w:val="auto"/>
                <w:w w:val="93"/>
              </w:rPr>
              <w:t>9,252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w w:val="88"/>
              </w:rPr>
              <w:t>4,569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CCEEFF"/>
            </w:tcBorders>
            <w:gridSpan w:val="4"/>
            <w:shd w:val="clear" w:color="auto" w:fill="CCEEFF"/>
          </w:tcPr>
          <w:p>
            <w:pPr>
              <w:jc w:val="right"/>
              <w:ind w:right="39"/>
              <w:spacing w:after="0"/>
              <w:rPr>
                <w:sz w:val="20"/>
                <w:szCs w:val="20"/>
                <w:color w:val="auto"/>
              </w:rPr>
            </w:pPr>
            <w:r>
              <w:rPr>
                <w:rFonts w:ascii="Arial" w:cs="Arial" w:eastAsia="Arial" w:hAnsi="Arial"/>
                <w:sz w:val="18"/>
                <w:szCs w:val="18"/>
                <w:color w:val="auto"/>
              </w:rPr>
              <w:t>37,901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87"/>
              </w:rPr>
              <w:t>34,250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(e) Non-current liabilities</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10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 w:type="dxa"/>
            <w:vAlign w:val="bottom"/>
          </w:tcPr>
          <w:p>
            <w:pPr>
              <w:spacing w:after="0"/>
              <w:rPr>
                <w:sz w:val="24"/>
                <w:szCs w:val="24"/>
                <w:color w:val="auto"/>
              </w:rPr>
            </w:pPr>
          </w:p>
        </w:tc>
        <w:tc>
          <w:tcPr>
            <w:tcW w:w="6680" w:type="dxa"/>
            <w:vAlign w:val="bottom"/>
            <w:gridSpan w:val="3"/>
          </w:tcPr>
          <w:p>
            <w:pPr>
              <w:ind w:left="20"/>
              <w:spacing w:after="0"/>
              <w:rPr>
                <w:sz w:val="20"/>
                <w:szCs w:val="20"/>
                <w:color w:val="auto"/>
              </w:rPr>
            </w:pPr>
            <w:r>
              <w:rPr>
                <w:rFonts w:ascii="Arial" w:cs="Arial" w:eastAsia="Arial" w:hAnsi="Arial"/>
                <w:sz w:val="18"/>
                <w:szCs w:val="18"/>
                <w:color w:val="auto"/>
              </w:rPr>
              <w:t>Non-current liabilities consists of the following:</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gridSpan w:val="3"/>
          </w:tcPr>
          <w:p>
            <w:pPr>
              <w:jc w:val="right"/>
              <w:ind w:right="19"/>
              <w:spacing w:after="0"/>
              <w:rPr>
                <w:sz w:val="20"/>
                <w:szCs w:val="20"/>
                <w:color w:val="auto"/>
              </w:rPr>
            </w:pPr>
            <w:r>
              <w:rPr>
                <w:rFonts w:ascii="Arial" w:cs="Arial" w:eastAsia="Arial" w:hAnsi="Arial"/>
                <w:sz w:val="18"/>
                <w:szCs w:val="18"/>
                <w:color w:val="auto"/>
                <w:w w:val="97"/>
              </w:rPr>
              <w:t>3,112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3,066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right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7"/>
              </w:rPr>
              <w:t>6,864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6,515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gridSpan w:val="3"/>
          </w:tcPr>
          <w:p>
            <w:pPr>
              <w:jc w:val="right"/>
              <w:ind w:right="19"/>
              <w:spacing w:after="0"/>
              <w:rPr>
                <w:sz w:val="20"/>
                <w:szCs w:val="20"/>
                <w:color w:val="auto"/>
              </w:rPr>
            </w:pPr>
            <w:r>
              <w:rPr>
                <w:rFonts w:ascii="Arial" w:cs="Arial" w:eastAsia="Arial" w:hAnsi="Arial"/>
                <w:sz w:val="18"/>
                <w:szCs w:val="18"/>
                <w:color w:val="auto"/>
                <w:w w:val="97"/>
              </w:rPr>
              <w:t>1,472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7"/>
              </w:rPr>
              <w:t>1,549</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5,501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56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4"/>
          </w:tcPr>
          <w:p>
            <w:pPr>
              <w:jc w:val="right"/>
              <w:ind w:right="19"/>
              <w:spacing w:after="0"/>
              <w:rPr>
                <w:sz w:val="20"/>
                <w:szCs w:val="20"/>
                <w:color w:val="auto"/>
              </w:rPr>
            </w:pPr>
            <w:r>
              <w:rPr>
                <w:rFonts w:ascii="Arial" w:cs="Arial" w:eastAsia="Arial" w:hAnsi="Arial"/>
                <w:sz w:val="18"/>
                <w:szCs w:val="18"/>
                <w:color w:val="auto"/>
              </w:rPr>
              <w:t>13,565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tcPr>
          <w:p>
            <w:pPr>
              <w:ind w:left="820"/>
              <w:spacing w:after="0"/>
              <w:rPr>
                <w:sz w:val="20"/>
                <w:szCs w:val="20"/>
                <w:color w:val="auto"/>
              </w:rPr>
            </w:pPr>
            <w:r>
              <w:rPr>
                <w:rFonts w:ascii="Arial" w:cs="Arial" w:eastAsia="Arial" w:hAnsi="Arial"/>
                <w:sz w:val="18"/>
                <w:szCs w:val="18"/>
                <w:color w:val="auto"/>
              </w:rPr>
              <w:t>17,655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Accumulated Other Comprehensive Loss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Company, 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"Derivatives and Hedging" ("ASC 815"). Changes in the fair values of contracts that are deemed effective are recorded as a component of accumulated other comprehensive loss until the settlement of those contracts. The balances as of March 31, 2016 and December 31, 2015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currency translation adjustments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Unrealized gain on cash flow hedges, net of taxes of $1,035 and $657</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824</w:t>
            </w:r>
          </w:p>
        </w:tc>
      </w:tr>
      <w:tr>
        <w:trPr>
          <w:trHeight w:val="27"/>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 net of taxes of ($194) and ($201)</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(67,325)</w:t>
            </w:r>
          </w:p>
        </w:tc>
      </w:tr>
      <w:tr>
        <w:trPr>
          <w:trHeight w:val="27"/>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Other Income, net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of the following:</w:t>
      </w:r>
    </w:p>
    <w:p>
      <w:pPr>
        <w:spacing w:after="0" w:line="338"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280" w:type="dxa"/>
        <w:tblCellMar>
          <w:top w:w="0" w:type="dxa"/>
          <w:left w:w="0" w:type="dxa"/>
          <w:bottom w:w="0" w:type="dxa"/>
          <w:right w:w="0" w:type="dxa"/>
        </w:tblCellMar>
      </w:tblPr>
      <w:tr>
        <w:trPr>
          <w:trHeight w:val="256"/>
        </w:trPr>
        <w:tc>
          <w:tcPr>
            <w:tcW w:w="77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2,222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1,402</w:t>
            </w:r>
          </w:p>
        </w:tc>
      </w:tr>
      <w:tr>
        <w:trPr>
          <w:trHeight w:val="27"/>
        </w:trPr>
        <w:tc>
          <w:tcPr>
            <w:tcW w:w="7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96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57"/>
        </w:trPr>
        <w:tc>
          <w:tcPr>
            <w:tcW w:w="77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2,794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1,178</w:t>
            </w: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163195</wp:posOffset>
            </wp:positionV>
            <wp:extent cx="2152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344" w:lineRule="exact"/>
        <w:rPr>
          <w:sz w:val="20"/>
          <w:szCs w:val="20"/>
          <w:color w:val="auto"/>
        </w:rPr>
      </w:pPr>
    </w:p>
    <w:p>
      <w:pPr>
        <w:ind w:right="20" w:firstLine="413"/>
        <w:spacing w:after="0" w:line="277" w:lineRule="auto"/>
        <w:tabs>
          <w:tab w:leader="none" w:pos="5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unrealized gain of $1,525 and $42 on investments carried under ASC topic 825, "Financial Instruments" ("ASC 825"), fair value option for the three months ended March 31, 2016 and 2015 respectively.</w:t>
      </w:r>
    </w:p>
    <w:p>
      <w:pPr>
        <w:spacing w:after="0" w:line="62" w:lineRule="exact"/>
        <w:rPr>
          <w:sz w:val="20"/>
          <w:szCs w:val="20"/>
          <w:color w:val="auto"/>
        </w:rPr>
      </w:pPr>
    </w:p>
    <w:p>
      <w:pPr>
        <w:ind w:right="20" w:firstLine="413"/>
        <w:spacing w:after="0" w:line="277" w:lineRule="auto"/>
        <w:tabs>
          <w:tab w:leader="none" w:pos="647"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Reduction in the Company's liability of earn-out consideration related to its acquisition of RPM Direct, LLC and RPM Data Solutions, LLC (the "RPM Acquisition") from $4,060 as of December 31, 2015 to $3,810 as of March 31, 2016 recognized as other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No. 2014-09 is effective for the Company in the first quarter of fiscal 2018 using either one of two methods: (i) retrospectively to each prior reporting period presented with the option to elect certain practical expedients as defined within ASU No. 2014-09; or (ii) retrospectively with the cumulative effect of initially applying ASU No. 2014-09 recognized at the date of initial application and providing certain additional disclosures as defined per ASU No. 2014-09. The Company is currently evaluating the impact of adoption and the implementation approach to be used.</w:t>
      </w:r>
    </w:p>
    <w:p>
      <w:pPr>
        <w:spacing w:after="0" w:line="7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January 2016, FASB issued ASU No. 2016-01, "Financial Instruments - Overall (Subtopic 825-10): Recognition and Measurement of Financial Assets and Financial Liabilities". This guidance makes targeted improvements to existing US GAAP for financial instruments, including requiring equity investments (except those accounted for under the equity method of accounting, or those that result in consolidation of the investee) to be measured at fair value with changes in fair value recognized in net income; requiring entities to use the exit price notion when measuring the fair value of financial instruments for disclosure purposes; requiring separate presentation of financial assets and financial liabilities by measurement category and form of financial asset and requiring entities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The new guidance is effective for public companies for fiscal years beginning after December 15, 2017. Early adoption of the own credit provision is permitted. The Company is currently evaluating the impact that the adoption of this guidance will have on its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February 2016, the FASB issued ASU No. 2016-02, Leases (Topic 842). ASU No. 2016-02 requires the identification of arrangements that should be accounted for as leases by lessees. In general, for lease arrangements exceeding a twelve month term, these arrangements must now be recognized as assets and liabilities on the balance sheet of the lessee. Under ASU No. 2016-02, a right-of-use asset and lease obligation will be recorded for all leases, whether operating or financing, while the income statement will reflect lease expense for operating leases and amortization/interest expense for financing leases. The balance sheet amount recorded for existing leases at the date of adoption of ASU No. 2016-02 must be calculated using the applicable incremental borrowing rate at the date of adoption. In addition, ASU No. 2016-02 requires the use of the modified retrospective method, which will require adjustment to all comparative periods presented in the consolidated financial statements.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March 2016, FASB issued ASU No. 2016-05, Derivatives and Hedging: Effect of Derivative Contract Novations on Existing Hedge Accounting Relationships, which clarifies that a change in the counterparty to a derivative instrument that has been designated as a hedging instrument does not, in and of itself, require de-designation of that hedging relationship provided that all other hedge accounting criteria continue to be met. The new guidance is effective for fiscal years beginning after December 15, 2016, including interim periods within those fiscal years. An entity has the option to apply ASU No. 2016-05 on either a prospective basis or a modified retrospective basis. Early adoption is permitted. The adoption of ASU No. 2016-05 is not expected to have a material effect on the Company's consolidated financial statements.</w:t>
      </w:r>
    </w:p>
    <w:p>
      <w:pPr>
        <w:spacing w:after="0" w:line="8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March 2016, the FASB issued ASU No. 2016-07, “Investments – Equity Method and Joint Ventures (Topic 323): Simplifying the Transition to the Equity Method of Accounting.” Among other things, the amendments in ASU No. 2016-07 eliminate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Early adoption is permitted. The Company is currently evaluating the impact that the adoption of this guidance will have on its consolidated financial statements.</w:t>
      </w:r>
    </w:p>
    <w:p>
      <w:pPr>
        <w:spacing w:after="0" w:line="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March 2016, the FASB issued ASU No. 2016-08, Revenue from Contracts with Customers (Topic 606): Principal versus Agent Considerations (Reporting Revenue Gross versus Net). ASU No. 2016-08 clarifies the implementation guidance on principal versus agent considerations. The guidance includes indicators to assist an entity in determining whether it controls a specified good or service before it is transferred to the customers. The amendments are effective for all entities for fiscal years, and interim periods within those fiscal years, beginning after December 15, 2018. The Company is currently evaluating the impact that the adoption of this guidance will have on its consolidated financial statements.</w:t>
      </w:r>
    </w:p>
    <w:p>
      <w:pPr>
        <w:spacing w:after="0" w:line="6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Early adoption is permitted but all of the guidance must be adopted in the same period. The Company is currently evaluating the impact that the adoption of this guidance will have on its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Earnings Per Share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treasury stock method. Stock options, restricted stock and restricted stock units that are anti-dilutive are excluded from the computation of weighted average shares outstanding.</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9,567</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w w:val="99"/>
              </w:rPr>
              <w:t>33,380,028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33,236,259</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971,629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815,712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9"/>
              </w:rPr>
              <w:t>34,351,657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34,051,971</w:t>
            </w:r>
          </w:p>
        </w:tc>
      </w:tr>
      <w:tr>
        <w:trPr>
          <w:trHeight w:val="67"/>
        </w:trPr>
        <w:tc>
          <w:tcPr>
            <w:tcW w:w="88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8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0.29</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Weighted average common shares considered anti-dilutive in computing diluted earnings per share</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200,752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188,044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operating segments are significant strategic business units that align its products and services with how it manages its business, approach the key markets and interacts with its clients. 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the other operating segments have been aggregated into the Operations Management reportable segment.</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new reportable segments are as follows:</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Operations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has restated the segment information for the all prior periods presented herein to conform to the current presentation. This change in segment presentation does not affect the Company's consolidated statements of income, balance sheets or statements of cash flows.</w:t>
      </w:r>
    </w:p>
    <w:p>
      <w:pPr>
        <w:spacing w:after="0" w:line="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chief operating decision maker (“CODM”) generally reviews operating segment revenues and cost of revenues. The Company does not allocate and therefore the CODM does not evaluate operating expenses, interest expense and income taxes by segment. The Company’s operating assets are shared by multiple segments. The Company manages assets on a total company basis, not by operating segment, and therefore asset information and capital expenditures by operating segment are not presented.</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Revenues and cost of revenues for the three months ended March 31, 2016 and 2015 for Operations Management and Analytics segments, respectively, are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2016</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2015</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9"/>
                <w:szCs w:val="19"/>
                <w:color w:val="auto"/>
              </w:rPr>
            </w:pPr>
          </w:p>
        </w:tc>
        <w:tc>
          <w:tcPr>
            <w:tcW w:w="12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Analytics</w:t>
            </w:r>
          </w:p>
        </w:tc>
        <w:tc>
          <w:tcPr>
            <w:tcW w:w="100" w:type="dxa"/>
            <w:vAlign w:val="bottom"/>
            <w:vMerge w:val="restart"/>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Operations</w:t>
            </w:r>
          </w:p>
        </w:tc>
        <w:tc>
          <w:tcPr>
            <w:tcW w:w="180" w:type="dxa"/>
            <w:vAlign w:val="bottom"/>
          </w:tcPr>
          <w:p>
            <w:pPr>
              <w:spacing w:after="0"/>
              <w:rPr>
                <w:sz w:val="19"/>
                <w:szCs w:val="19"/>
                <w:color w:val="auto"/>
              </w:rPr>
            </w:pPr>
          </w:p>
        </w:tc>
        <w:tc>
          <w:tcPr>
            <w:tcW w:w="118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Analytics</w:t>
            </w:r>
          </w:p>
        </w:tc>
        <w:tc>
          <w:tcPr>
            <w:tcW w:w="120" w:type="dxa"/>
            <w:vAlign w:val="bottom"/>
            <w:vMerge w:val="restart"/>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128,070</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38,966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167,036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123,853</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19,657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143,510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83,608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24,771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79,729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93,125</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44,462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14,195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58,657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44,124</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6,261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50,385</w:t>
            </w:r>
          </w:p>
        </w:tc>
        <w:tc>
          <w:tcPr>
            <w:tcW w:w="0" w:type="dxa"/>
            <w:vAlign w:val="bottom"/>
          </w:tcPr>
          <w:p>
            <w:pPr>
              <w:spacing w:after="0"/>
              <w:rPr>
                <w:sz w:val="1"/>
                <w:szCs w:val="1"/>
                <w:color w:val="auto"/>
              </w:rPr>
            </w:pPr>
          </w:p>
        </w:tc>
      </w:tr>
      <w:tr>
        <w:trPr>
          <w:trHeight w:val="67"/>
        </w:trPr>
        <w:tc>
          <w:tcPr>
            <w:tcW w:w="26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36,917</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w w:val="97"/>
              </w:rPr>
              <w:t>Foreign exchange gain and other</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income, net</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details of the Company’s goodwill balance as of March 31, 2016:</w:t>
      </w:r>
    </w:p>
    <w:p>
      <w:pPr>
        <w:spacing w:after="0" w:line="338"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Operations Management</w:t>
            </w:r>
          </w:p>
        </w:tc>
        <w:tc>
          <w:tcPr>
            <w:tcW w:w="36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Analytics</w:t>
            </w:r>
          </w:p>
        </w:tc>
        <w:tc>
          <w:tcPr>
            <w:tcW w:w="560" w:type="dxa"/>
            <w:vAlign w:val="bottom"/>
          </w:tcPr>
          <w:p>
            <w:pPr>
              <w:spacing w:after="0"/>
              <w:rPr>
                <w:sz w:val="16"/>
                <w:szCs w:val="16"/>
                <w:color w:val="auto"/>
              </w:rPr>
            </w:pPr>
          </w:p>
        </w:tc>
        <w:tc>
          <w:tcPr>
            <w:tcW w:w="1140" w:type="dxa"/>
            <w:vAlign w:val="bottom"/>
          </w:tcPr>
          <w:p>
            <w:pPr>
              <w:jc w:val="right"/>
              <w:ind w:right="13"/>
              <w:spacing w:after="0"/>
              <w:rPr>
                <w:sz w:val="20"/>
                <w:szCs w:val="20"/>
                <w:color w:val="auto"/>
              </w:rPr>
            </w:pPr>
            <w:r>
              <w:rPr>
                <w:rFonts w:ascii="Arial" w:cs="Arial" w:eastAsia="Arial" w:hAnsi="Arial"/>
                <w:sz w:val="14"/>
                <w:szCs w:val="14"/>
                <w:b w:val="1"/>
                <w:bCs w:val="1"/>
                <w:color w:val="auto"/>
              </w:rPr>
              <w:t>Total</w:t>
            </w:r>
          </w:p>
        </w:tc>
      </w:tr>
      <w:tr>
        <w:trPr>
          <w:trHeight w:val="250"/>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2015</w:t>
            </w:r>
          </w:p>
        </w:tc>
        <w:tc>
          <w:tcPr>
            <w:tcW w:w="560" w:type="dxa"/>
            <w:vAlign w:val="bottom"/>
            <w:tcBorders>
              <w:top w:val="single" w:sz="8" w:color="auto"/>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139,599</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Goodwill arising from RPM acquisition</w:t>
            </w:r>
          </w:p>
        </w:tc>
        <w:tc>
          <w:tcPr>
            <w:tcW w:w="5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33,155</w:t>
            </w:r>
          </w:p>
        </w:tc>
      </w:tr>
      <w:tr>
        <w:trPr>
          <w:trHeight w:val="27"/>
        </w:trPr>
        <w:tc>
          <w:tcPr>
            <w:tcW w:w="3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translation adjustments</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Balance at December 31, 2015</w:t>
            </w:r>
          </w:p>
        </w:tc>
        <w:tc>
          <w:tcPr>
            <w:tcW w:w="56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121,595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171,535</w:t>
            </w:r>
          </w:p>
        </w:tc>
      </w:tr>
      <w:tr>
        <w:trPr>
          <w:trHeight w:val="27"/>
        </w:trPr>
        <w:tc>
          <w:tcPr>
            <w:tcW w:w="3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translation adjustments</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Balance at March 31, 2016</w:t>
            </w:r>
          </w:p>
        </w:tc>
        <w:tc>
          <w:tcPr>
            <w:tcW w:w="56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121,558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49,940</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171,498</w:t>
            </w:r>
          </w:p>
        </w:tc>
      </w:tr>
      <w:tr>
        <w:trPr>
          <w:trHeight w:val="27"/>
        </w:trPr>
        <w:tc>
          <w:tcPr>
            <w:tcW w:w="3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March 31, 2016</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534"/>
              <w:spacing w:after="0" w:line="153"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Carrying 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64,815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38,622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12,234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87,549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50,013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780" w:type="dxa"/>
            <w:vAlign w:val="bottom"/>
            <w:vMerge w:val="restart"/>
          </w:tcPr>
          <w:p>
            <w:pPr>
              <w:jc w:val="right"/>
              <w:ind w:right="15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34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As of December 31, 2015</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Carrying</w:t>
            </w:r>
          </w:p>
        </w:tc>
      </w:tr>
      <w:tr>
        <w:trPr>
          <w:trHeight w:val="192"/>
        </w:trPr>
        <w:tc>
          <w:tcPr>
            <w:tcW w:w="5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Carrying Amount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40,601</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7,871</w:t>
            </w:r>
          </w:p>
        </w:tc>
      </w:tr>
      <w:tr>
        <w:trPr>
          <w:trHeight w:val="27"/>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2,987</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680</w:t>
            </w:r>
          </w:p>
        </w:tc>
      </w:tr>
      <w:tr>
        <w:trPr>
          <w:trHeight w:val="27"/>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r>
      <w:tr>
        <w:trPr>
          <w:trHeight w:val="237"/>
        </w:trPr>
        <w:tc>
          <w:tcPr>
            <w:tcW w:w="5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87,554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52,733</w:t>
            </w:r>
          </w:p>
        </w:tc>
      </w:tr>
      <w:tr>
        <w:trPr>
          <w:trHeight w:val="27"/>
        </w:trPr>
        <w:tc>
          <w:tcPr>
            <w:tcW w:w="5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Amortization expense for the three months ended March 31, 2016 and 2015 was $2,715 and $2,059, respectively. The remaining weighted average life of intangible assets was 6.2 years for customer relationships, 3.2 years for leasehold benefits, 4.5 years for developed technology, 3.3 years for non-compete agreements and 6.0 years for trade names and trademarks excluding indefinite life trade names and trademarks. The Company has $900 of indefinite lived trade names and trademarks as of March 31, 2016 and December 31, 2015.</w:t>
      </w:r>
    </w:p>
    <w:p>
      <w:pPr>
        <w:spacing w:after="0" w:line="125"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Estimated amortization of intangible assets during the year ending March 31,</w:t>
            </w:r>
          </w:p>
        </w:tc>
        <w:tc>
          <w:tcPr>
            <w:tcW w:w="18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2018</w:t>
            </w:r>
          </w:p>
        </w:tc>
        <w:tc>
          <w:tcPr>
            <w:tcW w:w="18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10,731</w:t>
            </w:r>
          </w:p>
        </w:tc>
      </w:tr>
      <w:tr>
        <w:trPr>
          <w:trHeight w:val="27"/>
        </w:trPr>
        <w:tc>
          <w:tcPr>
            <w:tcW w:w="6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2020</w:t>
            </w:r>
          </w:p>
        </w:tc>
        <w:tc>
          <w:tcPr>
            <w:tcW w:w="18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8,354</w:t>
            </w:r>
          </w:p>
        </w:tc>
      </w:tr>
      <w:tr>
        <w:trPr>
          <w:trHeight w:val="27"/>
        </w:trPr>
        <w:tc>
          <w:tcPr>
            <w:tcW w:w="6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r>
      <w:tr>
        <w:trPr>
          <w:trHeight w:val="27"/>
        </w:trPr>
        <w:tc>
          <w:tcPr>
            <w:tcW w:w="6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Company’s assets and liabilities that were accounted for at fair value as of March 31, 2016 and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excludes accounts receivable, accounts payable and accrued expenses for which fair values approximate their carrying amounts.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2016</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50"/>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102,686</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102,686</w:t>
            </w: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5,003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5,003</w:t>
            </w: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102,686</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5,003</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107,689</w:t>
            </w: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1"/>
                <w:szCs w:val="21"/>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981</w:t>
            </w: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earn-out consideration</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3,810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3,810</w:t>
            </w: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3,810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4,791</w:t>
            </w: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51"/>
        </w:trPr>
        <w:tc>
          <w:tcPr>
            <w:tcW w:w="200" w:type="dxa"/>
            <w:vAlign w:val="bottom"/>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44"/>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tcPr>
          <w:p>
            <w:pPr>
              <w:spacing w:after="0"/>
              <w:rPr>
                <w:sz w:val="21"/>
                <w:szCs w:val="21"/>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250"/>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118,478</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118,478</w:t>
            </w: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4,184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4,184</w:t>
            </w: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118,478</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4,184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122,662</w:t>
            </w: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2,358</w:t>
            </w:r>
          </w:p>
        </w:tc>
        <w:tc>
          <w:tcPr>
            <w:tcW w:w="120" w:type="dxa"/>
            <w:vAlign w:val="bottom"/>
          </w:tcPr>
          <w:p>
            <w:pPr>
              <w:spacing w:after="0"/>
              <w:rPr>
                <w:sz w:val="21"/>
                <w:szCs w:val="21"/>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2,358</w:t>
            </w: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04"/>
        </w:trPr>
        <w:tc>
          <w:tcPr>
            <w:tcW w:w="200" w:type="dxa"/>
            <w:vAlign w:val="bottom"/>
          </w:tcPr>
          <w:p>
            <w:pPr>
              <w:spacing w:after="0"/>
              <w:rPr>
                <w:sz w:val="24"/>
                <w:szCs w:val="24"/>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earn-out consideration</w:t>
            </w:r>
          </w:p>
        </w:tc>
        <w:tc>
          <w:tcPr>
            <w:tcW w:w="3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4,060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4,060</w:t>
            </w:r>
          </w:p>
        </w:tc>
      </w:tr>
      <w:tr>
        <w:trPr>
          <w:trHeight w:val="230"/>
        </w:trPr>
        <w:tc>
          <w:tcPr>
            <w:tcW w:w="200" w:type="dxa"/>
            <w:vAlign w:val="bottom"/>
          </w:tcPr>
          <w:p>
            <w:pPr>
              <w:spacing w:after="0"/>
              <w:rPr>
                <w:sz w:val="20"/>
                <w:szCs w:val="20"/>
                <w:color w:val="auto"/>
              </w:rPr>
            </w:pPr>
          </w:p>
        </w:tc>
        <w:tc>
          <w:tcPr>
            <w:tcW w:w="386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2,358</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4,060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6,418</w:t>
            </w: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Includes short-term investments carried on fair value option under ASC 825 of $82,536 as of March 31, 2016.</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for derivative financial instruments are based on independent sources including highly rated financial institutions and are classified as Level 2. See Note 7 to our unaudited consolidated financial statements contained herein for further details on Derivatives and Hedge Accounting.</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Fair value of earn-out consideration: </w:t>
      </w:r>
      <w:r>
        <w:rPr>
          <w:rFonts w:ascii="Arial" w:cs="Arial" w:eastAsia="Arial" w:hAnsi="Arial"/>
          <w:sz w:val="18"/>
          <w:szCs w:val="18"/>
          <w:color w:val="auto"/>
        </w:rPr>
        <w:t>The fair value measurement of earn-out consideration is determined using Level 3 inputs. The Company’s earn-out consideration represents a component of the total purchase consideration for its March 2015 acquisition of RPM Direct, LLC and RPM Data Solutions, LLC (together "RPM"). The measurement is calculated using unobservable inputs based on the Company’s own assessment of achievement of certain performance goals by RPM during the 2015 and 2016 calendar years. As of March 31, 2016 and December 31, 2015, the Company estimated the fair value of the earn out consideration to be $3,810 and $4,060, respectively, utilizing a Monte Carlo simulation. The Monte-Carlo simulation model simulates a range of possible performance levels and estimates the probabilities of the potential payouts. This model also incorporates a range of assumptions like discount rate, risk-free rate, assumed cost of debt, etc.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ASC 815. The Company had outstanding cash flow hedges totaling $218,365 as of March 31, 2016 and $230,894 as of December 31, 2015. The fair value of these cash flow hedges is included in the other comprehensive loss on the Company's unaudited consolidated balance sheet.</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No. 815. Changes in the fair value of these derivatives are recognized in the consolidated statements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income and are included in foreign exchange gain/loss. The Company’s primary exchange rate exposure is with the Indian Rupee, the U.K. pound sterling and the Philippine peso. The Company also has exposure to Colombian pesos, Czech Koruna, Euro, South African ZAR and other local currencies in which it operates. Outstanding foreign currency forward contracts amounted to $59,290 and GBP 14,147 as of March 31, 2016 and amounted to $61,641 and GBP 13,256 as of December 31, 2015.</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estimates that approximately $3,257 of net derivative gains included in accumulated other comprehensive loss (“AOCI”) could be reclassified into earnings within the next twelve months based on exchange rates prevailing as of March 31, 2016. At March 31, 2016, the maximum outstanding term of the cash flow hedges was forty-five months.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hedging positions that are discontinued because the forecasted transaction is not expected to occur by the end of the originally specified period, any related derivative amounts recorded in equity are reclassified to earnings. There were no such significant amounts of gains or losses that were reclassified from AOCI into earnings during the three months ended March 31, 2016 and 2015.</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unaudited consolidated financial statements: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Pr>
          <w:p>
            <w:pPr>
              <w:spacing w:after="0"/>
              <w:rPr>
                <w:sz w:val="16"/>
                <w:szCs w:val="16"/>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80" w:type="dxa"/>
            <w:vAlign w:val="bottom"/>
            <w:tcBorders>
              <w:right w:val="single" w:sz="8" w:color="CCEEFF"/>
            </w:tcBorders>
          </w:tcPr>
          <w:p>
            <w:pPr>
              <w:spacing w:after="0"/>
              <w:rPr>
                <w:sz w:val="21"/>
                <w:szCs w:val="21"/>
                <w:color w:val="auto"/>
              </w:rPr>
            </w:pPr>
          </w:p>
        </w:tc>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5"/>
              <w:spacing w:after="0"/>
              <w:rPr>
                <w:sz w:val="20"/>
                <w:szCs w:val="20"/>
                <w:color w:val="auto"/>
              </w:rPr>
            </w:pPr>
            <w:r>
              <w:rPr>
                <w:rFonts w:ascii="Arial" w:cs="Arial" w:eastAsia="Arial" w:hAnsi="Arial"/>
                <w:sz w:val="18"/>
                <w:szCs w:val="18"/>
                <w:color w:val="auto"/>
              </w:rPr>
              <w:t>3,670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5"/>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5"/>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 current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40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5"/>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21"/>
                <w:szCs w:val="21"/>
                <w:color w:val="auto"/>
              </w:rPr>
            </w:pPr>
          </w:p>
        </w:tc>
      </w:tr>
      <w:tr>
        <w:trPr>
          <w:trHeight w:val="567"/>
        </w:trPr>
        <w:tc>
          <w:tcPr>
            <w:tcW w:w="6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5"/>
        </w:trPr>
        <w:tc>
          <w:tcPr>
            <w:tcW w:w="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Pr>
          <w:p>
            <w:pPr>
              <w:spacing w:after="0"/>
              <w:rPr>
                <w:sz w:val="24"/>
                <w:szCs w:val="24"/>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80" w:type="dxa"/>
            <w:vAlign w:val="bottom"/>
          </w:tcPr>
          <w:p>
            <w:pPr>
              <w:spacing w:after="0"/>
              <w:rPr>
                <w:sz w:val="21"/>
                <w:szCs w:val="21"/>
                <w:color w:val="auto"/>
              </w:rPr>
            </w:pPr>
          </w:p>
        </w:tc>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400" w:type="dxa"/>
            <w:vAlign w:val="bottom"/>
          </w:tcPr>
          <w:p>
            <w:pPr>
              <w:ind w:left="480"/>
              <w:spacing w:after="0"/>
              <w:rPr>
                <w:sz w:val="20"/>
                <w:szCs w:val="20"/>
                <w:color w:val="auto"/>
              </w:rPr>
            </w:pPr>
            <w:r>
              <w:rPr>
                <w:rFonts w:ascii="Arial" w:cs="Arial" w:eastAsia="Arial" w:hAnsi="Arial"/>
                <w:sz w:val="18"/>
                <w:szCs w:val="18"/>
                <w:color w:val="auto"/>
              </w:rPr>
              <w:t>Foreign currency exchange contracts</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5"/>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21"/>
                <w:szCs w:val="21"/>
                <w:color w:val="auto"/>
              </w:rPr>
            </w:pPr>
          </w:p>
        </w:tc>
      </w:tr>
    </w:tbl>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March 31, 2016 and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4"/>
              </w:rPr>
              <w:t>Amount of</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jc w:val="center"/>
              <w:ind w:left="165"/>
              <w:spacing w:after="0"/>
              <w:rPr>
                <w:sz w:val="20"/>
                <w:szCs w:val="20"/>
                <w:color w:val="auto"/>
              </w:rPr>
            </w:pPr>
            <w:r>
              <w:rPr>
                <w:rFonts w:ascii="Arial" w:cs="Arial" w:eastAsia="Arial" w:hAnsi="Arial"/>
                <w:sz w:val="14"/>
                <w:szCs w:val="14"/>
                <w:b w:val="1"/>
                <w:bCs w:val="1"/>
                <w:color w:val="auto"/>
                <w:w w:val="92"/>
              </w:rPr>
              <w:t>Location of</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Gain/(Loss)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9"/>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left="145"/>
              <w:spacing w:after="0" w:line="149" w:lineRule="exact"/>
              <w:rPr>
                <w:sz w:val="20"/>
                <w:szCs w:val="20"/>
                <w:color w:val="auto"/>
              </w:rPr>
            </w:pPr>
            <w:r>
              <w:rPr>
                <w:rFonts w:ascii="Arial" w:cs="Arial" w:eastAsia="Arial" w:hAnsi="Arial"/>
                <w:sz w:val="14"/>
                <w:szCs w:val="14"/>
                <w:b w:val="1"/>
                <w:bCs w:val="1"/>
                <w:color w:val="auto"/>
                <w:w w:val="93"/>
              </w:rPr>
              <w:t>Gain/(Loss)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Income on</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left="165"/>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4"/>
            <w:vMerge w:val="restart"/>
          </w:tcPr>
          <w:p>
            <w:pPr>
              <w:jc w:val="center"/>
              <w:ind w:left="165"/>
              <w:spacing w:after="0"/>
              <w:rPr>
                <w:sz w:val="20"/>
                <w:szCs w:val="20"/>
                <w:color w:val="auto"/>
              </w:rPr>
            </w:pPr>
            <w:r>
              <w:rPr>
                <w:rFonts w:ascii="Arial" w:cs="Arial" w:eastAsia="Arial" w:hAnsi="Arial"/>
                <w:sz w:val="14"/>
                <w:szCs w:val="14"/>
                <w:b w:val="1"/>
                <w:bCs w:val="1"/>
                <w:color w:val="auto"/>
                <w:w w:val="94"/>
              </w:rPr>
              <w:t>Amount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left="145"/>
              <w:spacing w:after="0" w:line="149" w:lineRule="exact"/>
              <w:rPr>
                <w:sz w:val="20"/>
                <w:szCs w:val="20"/>
                <w:color w:val="auto"/>
              </w:rPr>
            </w:pPr>
            <w:r>
              <w:rPr>
                <w:rFonts w:ascii="Arial" w:cs="Arial" w:eastAsia="Arial" w:hAnsi="Arial"/>
                <w:sz w:val="14"/>
                <w:szCs w:val="14"/>
                <w:b w:val="1"/>
                <w:bCs w:val="1"/>
                <w:color w:val="auto"/>
                <w:w w:val="91"/>
              </w:rPr>
              <w:t>Income 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Location of</w:t>
            </w:r>
          </w:p>
        </w:tc>
        <w:tc>
          <w:tcPr>
            <w:tcW w:w="600" w:type="dxa"/>
            <w:vAlign w:val="bottom"/>
          </w:tcPr>
          <w:p>
            <w:pPr>
              <w:spacing w:after="0"/>
              <w:rPr>
                <w:sz w:val="12"/>
                <w:szCs w:val="12"/>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left="145"/>
              <w:spacing w:after="0" w:line="149" w:lineRule="exact"/>
              <w:rPr>
                <w:sz w:val="20"/>
                <w:szCs w:val="20"/>
                <w:color w:val="auto"/>
              </w:rPr>
            </w:pPr>
            <w:r>
              <w:rPr>
                <w:rFonts w:ascii="Arial" w:cs="Arial" w:eastAsia="Arial" w:hAnsi="Arial"/>
                <w:sz w:val="14"/>
                <w:szCs w:val="14"/>
                <w:b w:val="1"/>
                <w:bCs w:val="1"/>
                <w:color w:val="auto"/>
                <w:w w:val="95"/>
              </w:rPr>
              <w:t>Derivative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Portion and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4"/>
          </w:tcPr>
          <w:p>
            <w:pPr>
              <w:jc w:val="center"/>
              <w:ind w:left="185"/>
              <w:spacing w:after="0" w:line="149" w:lineRule="exact"/>
              <w:rPr>
                <w:sz w:val="20"/>
                <w:szCs w:val="20"/>
                <w:color w:val="auto"/>
              </w:rPr>
            </w:pPr>
            <w:r>
              <w:rPr>
                <w:rFonts w:ascii="Arial" w:cs="Arial" w:eastAsia="Arial" w:hAnsi="Arial"/>
                <w:sz w:val="14"/>
                <w:szCs w:val="14"/>
                <w:b w:val="1"/>
                <w:bCs w:val="1"/>
                <w:color w:val="auto"/>
                <w:w w:val="93"/>
              </w:rPr>
              <w:t>Gain/(Loss)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left="145"/>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380" w:type="dxa"/>
            <w:vAlign w:val="bottom"/>
          </w:tcPr>
          <w:p>
            <w:pPr>
              <w:spacing w:after="0"/>
              <w:rPr>
                <w:sz w:val="12"/>
                <w:szCs w:val="12"/>
                <w:color w:val="auto"/>
              </w:rPr>
            </w:pPr>
          </w:p>
        </w:tc>
        <w:tc>
          <w:tcPr>
            <w:tcW w:w="980" w:type="dxa"/>
            <w:vAlign w:val="bottom"/>
            <w:gridSpan w:val="4"/>
          </w:tcPr>
          <w:p>
            <w:pPr>
              <w:jc w:val="center"/>
              <w:ind w:left="165"/>
              <w:spacing w:after="0" w:line="149" w:lineRule="exact"/>
              <w:rPr>
                <w:sz w:val="20"/>
                <w:szCs w:val="20"/>
                <w:color w:val="auto"/>
              </w:rPr>
            </w:pPr>
            <w:r>
              <w:rPr>
                <w:rFonts w:ascii="Arial" w:cs="Arial" w:eastAsia="Arial" w:hAnsi="Arial"/>
                <w:sz w:val="14"/>
                <w:szCs w:val="14"/>
                <w:b w:val="1"/>
                <w:bCs w:val="1"/>
                <w:color w:val="auto"/>
                <w:w w:val="89"/>
              </w:rPr>
              <w:t>Recognized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Gain/(Loss)</w:t>
            </w:r>
          </w:p>
        </w:tc>
        <w:tc>
          <w:tcPr>
            <w:tcW w:w="19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0"/>
              </w:rPr>
              <w:t>Gain/(Loss) Reclassified</w:t>
            </w:r>
          </w:p>
        </w:tc>
        <w:tc>
          <w:tcPr>
            <w:tcW w:w="100" w:type="dxa"/>
            <w:vAlign w:val="bottom"/>
          </w:tcPr>
          <w:p>
            <w:pPr>
              <w:spacing w:after="0"/>
              <w:rPr>
                <w:sz w:val="12"/>
                <w:szCs w:val="12"/>
                <w:color w:val="auto"/>
              </w:rPr>
            </w:pPr>
          </w:p>
        </w:tc>
        <w:tc>
          <w:tcPr>
            <w:tcW w:w="1460" w:type="dxa"/>
            <w:vAlign w:val="bottom"/>
            <w:gridSpan w:val="3"/>
          </w:tcPr>
          <w:p>
            <w:pPr>
              <w:jc w:val="center"/>
              <w:ind w:left="145"/>
              <w:spacing w:after="0" w:line="149" w:lineRule="exact"/>
              <w:rPr>
                <w:sz w:val="20"/>
                <w:szCs w:val="20"/>
                <w:color w:val="auto"/>
              </w:rPr>
            </w:pPr>
            <w:r>
              <w:rPr>
                <w:rFonts w:ascii="Arial" w:cs="Arial" w:eastAsia="Arial" w:hAnsi="Arial"/>
                <w:sz w:val="14"/>
                <w:szCs w:val="14"/>
                <w:b w:val="1"/>
                <w:bCs w:val="1"/>
                <w:color w:val="auto"/>
                <w:w w:val="93"/>
              </w:rPr>
              <w:t>and 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Excluded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4"/>
          </w:tcPr>
          <w:p>
            <w:pPr>
              <w:jc w:val="center"/>
              <w:ind w:left="185"/>
              <w:spacing w:after="0" w:line="149" w:lineRule="exact"/>
              <w:rPr>
                <w:sz w:val="20"/>
                <w:szCs w:val="20"/>
                <w:color w:val="auto"/>
              </w:rPr>
            </w:pPr>
            <w:r>
              <w:rPr>
                <w:rFonts w:ascii="Arial" w:cs="Arial" w:eastAsia="Arial" w:hAnsi="Arial"/>
                <w:sz w:val="14"/>
                <w:szCs w:val="14"/>
                <w:b w:val="1"/>
                <w:bCs w:val="1"/>
                <w:color w:val="auto"/>
                <w:w w:val="99"/>
              </w:rPr>
              <w:t>in AOCI 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9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8"/>
              </w:rPr>
              <w:t>from AOCI into</w:t>
            </w:r>
          </w:p>
        </w:tc>
        <w:tc>
          <w:tcPr>
            <w:tcW w:w="100" w:type="dxa"/>
            <w:vAlign w:val="bottom"/>
          </w:tcPr>
          <w:p>
            <w:pPr>
              <w:spacing w:after="0"/>
              <w:rPr>
                <w:sz w:val="12"/>
                <w:szCs w:val="12"/>
                <w:color w:val="auto"/>
              </w:rPr>
            </w:pPr>
          </w:p>
        </w:tc>
        <w:tc>
          <w:tcPr>
            <w:tcW w:w="1460" w:type="dxa"/>
            <w:vAlign w:val="bottom"/>
            <w:gridSpan w:val="3"/>
          </w:tcPr>
          <w:p>
            <w:pPr>
              <w:jc w:val="center"/>
              <w:ind w:left="145"/>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Hedging</w:t>
            </w:r>
          </w:p>
        </w:tc>
        <w:tc>
          <w:tcPr>
            <w:tcW w:w="380" w:type="dxa"/>
            <w:vAlign w:val="bottom"/>
          </w:tcPr>
          <w:p>
            <w:pPr>
              <w:spacing w:after="0"/>
              <w:rPr>
                <w:sz w:val="12"/>
                <w:szCs w:val="12"/>
                <w:color w:val="auto"/>
              </w:rPr>
            </w:pPr>
          </w:p>
        </w:tc>
        <w:tc>
          <w:tcPr>
            <w:tcW w:w="980" w:type="dxa"/>
            <w:vAlign w:val="bottom"/>
            <w:gridSpan w:val="4"/>
          </w:tcPr>
          <w:p>
            <w:pPr>
              <w:jc w:val="center"/>
              <w:ind w:left="185"/>
              <w:spacing w:after="0" w:line="149" w:lineRule="exact"/>
              <w:rPr>
                <w:sz w:val="20"/>
                <w:szCs w:val="20"/>
                <w:color w:val="auto"/>
              </w:rPr>
            </w:pPr>
            <w:r>
              <w:rPr>
                <w:rFonts w:ascii="Arial" w:cs="Arial" w:eastAsia="Arial" w:hAnsi="Arial"/>
                <w:sz w:val="14"/>
                <w:szCs w:val="14"/>
                <w:b w:val="1"/>
                <w:bCs w:val="1"/>
                <w:color w:val="auto"/>
                <w:w w:val="95"/>
              </w:rPr>
              <w:t>Derivative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AOCI into Income</w:t>
            </w:r>
          </w:p>
        </w:tc>
        <w:tc>
          <w:tcPr>
            <w:tcW w:w="19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100" w:type="dxa"/>
            <w:vAlign w:val="bottom"/>
          </w:tcPr>
          <w:p>
            <w:pPr>
              <w:spacing w:after="0"/>
              <w:rPr>
                <w:sz w:val="12"/>
                <w:szCs w:val="12"/>
                <w:color w:val="auto"/>
              </w:rPr>
            </w:pPr>
          </w:p>
        </w:tc>
        <w:tc>
          <w:tcPr>
            <w:tcW w:w="1460" w:type="dxa"/>
            <w:vAlign w:val="bottom"/>
            <w:gridSpan w:val="3"/>
          </w:tcPr>
          <w:p>
            <w:pPr>
              <w:jc w:val="center"/>
              <w:ind w:left="145"/>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7"/>
          </w:tcPr>
          <w:p>
            <w:pPr>
              <w:jc w:val="center"/>
              <w:ind w:left="468"/>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Relationships</w:t>
            </w: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ind w:right="299"/>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jc w:val="center"/>
              <w:ind w:left="145"/>
              <w:spacing w:after="0"/>
              <w:rPr>
                <w:sz w:val="20"/>
                <w:szCs w:val="20"/>
                <w:color w:val="auto"/>
              </w:rPr>
            </w:pPr>
            <w:r>
              <w:rPr>
                <w:rFonts w:ascii="Arial" w:cs="Arial" w:eastAsia="Arial" w:hAnsi="Arial"/>
                <w:sz w:val="14"/>
                <w:szCs w:val="14"/>
                <w:b w:val="1"/>
                <w:bCs w:val="1"/>
                <w:color w:val="auto"/>
                <w:w w:val="88"/>
              </w:rPr>
              <w:t>Testing)</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1"/>
              </w:rPr>
              <w:t>Testing)</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gridSpan w:val="3"/>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80" w:type="dxa"/>
            <w:vAlign w:val="bottom"/>
            <w:tcBorders>
              <w:right w:val="single" w:sz="8" w:color="CCEEFF"/>
            </w:tcBorders>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w w:val="93"/>
              </w:rPr>
              <w:t>2,437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2,259</w:t>
            </w:r>
          </w:p>
        </w:tc>
        <w:tc>
          <w:tcPr>
            <w:tcW w:w="1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600" w:type="dxa"/>
            <w:vAlign w:val="bottom"/>
            <w:shd w:val="clear" w:color="auto" w:fill="CCEEFF"/>
          </w:tcPr>
          <w:p>
            <w:pPr>
              <w:jc w:val="right"/>
              <w:ind w:right="40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Foreign exchange</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 w:type="dxa"/>
            <w:vAlign w:val="bottom"/>
            <w:tcBorders>
              <w:right w:val="single" w:sz="8" w:color="CCEEFF"/>
            </w:tcBorders>
          </w:tcPr>
          <w:p>
            <w:pPr>
              <w:spacing w:after="0"/>
              <w:rPr>
                <w:sz w:val="20"/>
                <w:szCs w:val="20"/>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contracts</w:t>
            </w:r>
          </w:p>
        </w:tc>
        <w:tc>
          <w:tcPr>
            <w:tcW w:w="3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gain/(loss)</w:t>
            </w:r>
          </w:p>
        </w:tc>
        <w:tc>
          <w:tcPr>
            <w:tcW w:w="6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gain/(loss)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4"/>
              </w:rPr>
              <w:t>Amount of Gain/(Loss)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9"/>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Recognized in Income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7"/>
          </w:tcPr>
          <w:p>
            <w:pPr>
              <w:jc w:val="center"/>
              <w:ind w:left="108"/>
              <w:spacing w:after="0"/>
              <w:rPr>
                <w:sz w:val="20"/>
                <w:szCs w:val="20"/>
                <w:color w:val="auto"/>
              </w:rPr>
            </w:pPr>
            <w:r>
              <w:rPr>
                <w:rFonts w:ascii="Arial" w:cs="Arial" w:eastAsia="Arial" w:hAnsi="Arial"/>
                <w:sz w:val="14"/>
                <w:szCs w:val="14"/>
                <w:b w:val="1"/>
                <w:bCs w:val="1"/>
                <w:color w:val="auto"/>
                <w:w w:val="91"/>
              </w:rPr>
              <w:t>on Derivatives</w:t>
            </w: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16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2"/>
              </w:rPr>
              <w:t>Derivatives not designated</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0" w:type="dxa"/>
            <w:vAlign w:val="bottom"/>
            <w:gridSpan w:val="12"/>
          </w:tcPr>
          <w:p>
            <w:pPr>
              <w:ind w:left="1280"/>
              <w:spacing w:after="0" w:line="139" w:lineRule="exact"/>
              <w:rPr>
                <w:sz w:val="20"/>
                <w:szCs w:val="20"/>
                <w:color w:val="auto"/>
              </w:rPr>
            </w:pPr>
            <w:r>
              <w:rPr>
                <w:rFonts w:ascii="Arial" w:cs="Arial" w:eastAsia="Arial" w:hAnsi="Arial"/>
                <w:sz w:val="14"/>
                <w:szCs w:val="14"/>
                <w:b w:val="1"/>
                <w:bCs w:val="1"/>
                <w:color w:val="auto"/>
              </w:rPr>
              <w:t>Location of Gain or (Loss) Recognized in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2016</w:t>
            </w:r>
          </w:p>
        </w:tc>
        <w:tc>
          <w:tcPr>
            <w:tcW w:w="6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120" w:type="dxa"/>
            <w:vAlign w:val="bottom"/>
            <w:gridSpan w:val="5"/>
            <w:vMerge w:val="restart"/>
          </w:tcPr>
          <w:p>
            <w:pPr>
              <w:jc w:val="right"/>
              <w:ind w:right="33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Hedging Instruments</w:t>
            </w: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rPr>
              <w:t>Income on Derivatives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0"/>
              </w:rPr>
              <w:t>Foreign exchange contracts</w:t>
            </w: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3"/>
            <w:shd w:val="clear" w:color="auto" w:fill="CCEEFF"/>
          </w:tcPr>
          <w:p>
            <w:pPr>
              <w:jc w:val="right"/>
              <w:ind w:right="125"/>
              <w:spacing w:after="0"/>
              <w:rPr>
                <w:sz w:val="20"/>
                <w:szCs w:val="20"/>
                <w:color w:val="auto"/>
              </w:rPr>
            </w:pPr>
            <w:r>
              <w:rPr>
                <w:rFonts w:ascii="Arial" w:cs="Arial" w:eastAsia="Arial" w:hAnsi="Arial"/>
                <w:sz w:val="18"/>
                <w:szCs w:val="18"/>
                <w:color w:val="auto"/>
                <w:w w:val="90"/>
              </w:rPr>
              <w:t>Foreign exchange gain/(loss)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2,096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8. Fixed Assets</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3040" w:type="dxa"/>
            <w:vAlign w:val="bottom"/>
            <w:gridSpan w:val="7"/>
          </w:tcPr>
          <w:p>
            <w:pPr>
              <w:ind w:left="360"/>
              <w:spacing w:after="0"/>
              <w:rPr>
                <w:sz w:val="20"/>
                <w:szCs w:val="20"/>
                <w:color w:val="auto"/>
              </w:rPr>
            </w:pPr>
            <w:r>
              <w:rPr>
                <w:rFonts w:ascii="Arial" w:cs="Arial" w:eastAsia="Arial" w:hAnsi="Arial"/>
                <w:sz w:val="18"/>
                <w:szCs w:val="18"/>
                <w:color w:val="auto"/>
                <w:w w:val="91"/>
              </w:rPr>
              <w:t>Fixed assets consist of the following:</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31, 2016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 2015</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980" w:type="dxa"/>
            <w:vAlign w:val="bottom"/>
            <w:gridSpan w:val="11"/>
          </w:tcPr>
          <w:p>
            <w:pPr>
              <w:ind w:left="380"/>
              <w:spacing w:after="0"/>
              <w:rPr>
                <w:sz w:val="20"/>
                <w:szCs w:val="20"/>
                <w:color w:val="auto"/>
              </w:rPr>
            </w:pPr>
            <w:r>
              <w:rPr>
                <w:rFonts w:ascii="Arial" w:cs="Arial" w:eastAsia="Arial" w:hAnsi="Arial"/>
                <w:sz w:val="18"/>
                <w:szCs w:val="18"/>
                <w:color w:val="auto"/>
              </w:rPr>
              <w:t>Network equipment, computers and software</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98,600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gridSpan w:val="5"/>
          </w:tcPr>
          <w:p>
            <w:pPr>
              <w:jc w:val="right"/>
              <w:ind w:right="28"/>
              <w:spacing w:after="0"/>
              <w:rPr>
                <w:sz w:val="20"/>
                <w:szCs w:val="20"/>
                <w:color w:val="auto"/>
              </w:rPr>
            </w:pPr>
            <w:r>
              <w:rPr>
                <w:rFonts w:ascii="Arial" w:cs="Arial" w:eastAsia="Arial" w:hAnsi="Arial"/>
                <w:sz w:val="18"/>
                <w:szCs w:val="18"/>
                <w:color w:val="auto"/>
              </w:rPr>
              <w:t>95,245</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8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w w:val="88"/>
              </w:rPr>
              <w:t>Leasehold improvements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29,037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28,603</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80" w:type="dxa"/>
            <w:vAlign w:val="bottom"/>
            <w:gridSpan w:val="7"/>
          </w:tcPr>
          <w:p>
            <w:pPr>
              <w:ind w:left="380"/>
              <w:spacing w:after="0"/>
              <w:rPr>
                <w:sz w:val="20"/>
                <w:szCs w:val="20"/>
                <w:color w:val="auto"/>
              </w:rPr>
            </w:pPr>
            <w:r>
              <w:rPr>
                <w:rFonts w:ascii="Arial" w:cs="Arial" w:eastAsia="Arial" w:hAnsi="Arial"/>
                <w:sz w:val="18"/>
                <w:szCs w:val="18"/>
                <w:color w:val="auto"/>
              </w:rPr>
              <w:t>Office furniture and equipment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14,283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gridSpan w:val="5"/>
          </w:tcPr>
          <w:p>
            <w:pPr>
              <w:jc w:val="right"/>
              <w:ind w:right="28"/>
              <w:spacing w:after="0"/>
              <w:rPr>
                <w:sz w:val="20"/>
                <w:szCs w:val="20"/>
                <w:color w:val="auto"/>
              </w:rPr>
            </w:pPr>
            <w:r>
              <w:rPr>
                <w:rFonts w:ascii="Arial" w:cs="Arial" w:eastAsia="Arial" w:hAnsi="Arial"/>
                <w:sz w:val="18"/>
                <w:szCs w:val="18"/>
                <w:color w:val="auto"/>
              </w:rPr>
              <w:t>14,000</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8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w w:val="92"/>
              </w:rPr>
              <w:t>Capital work in progress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3,140</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w w:val="95"/>
              </w:rPr>
              <w:t>Buildings</w:t>
            </w: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gridSpan w:val="5"/>
          </w:tcPr>
          <w:p>
            <w:pPr>
              <w:jc w:val="right"/>
              <w:ind w:right="28"/>
              <w:spacing w:after="0"/>
              <w:rPr>
                <w:sz w:val="20"/>
                <w:szCs w:val="20"/>
                <w:color w:val="auto"/>
              </w:rPr>
            </w:pPr>
            <w:r>
              <w:rPr>
                <w:rFonts w:ascii="Arial" w:cs="Arial" w:eastAsia="Arial" w:hAnsi="Arial"/>
                <w:sz w:val="18"/>
                <w:szCs w:val="18"/>
                <w:color w:val="auto"/>
              </w:rPr>
              <w:t>1,202</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787</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w w:val="93"/>
              </w:rPr>
              <w:t>Motor vehicles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gridSpan w:val="5"/>
          </w:tcPr>
          <w:p>
            <w:pPr>
              <w:jc w:val="right"/>
              <w:ind w:right="28"/>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5"/>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148,639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w w:val="92"/>
              </w:rPr>
              <w:t>143,517</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980" w:type="dxa"/>
            <w:vAlign w:val="bottom"/>
            <w:gridSpan w:val="11"/>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(101,583)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w w:val="98"/>
              </w:rPr>
              <w:t>(96,079)</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5"/>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47,056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47,438</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8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Assets under capital leases: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8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gridSpan w:val="5"/>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w w:val="88"/>
              </w:rPr>
              <w:t>Leasehold improvements</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877</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80" w:type="dxa"/>
            <w:vAlign w:val="bottom"/>
            <w:gridSpan w:val="7"/>
          </w:tcPr>
          <w:p>
            <w:pPr>
              <w:ind w:left="380"/>
              <w:spacing w:after="0"/>
              <w:rPr>
                <w:sz w:val="20"/>
                <w:szCs w:val="20"/>
                <w:color w:val="auto"/>
              </w:rPr>
            </w:pPr>
            <w:r>
              <w:rPr>
                <w:rFonts w:ascii="Arial" w:cs="Arial" w:eastAsia="Arial" w:hAnsi="Arial"/>
                <w:sz w:val="18"/>
                <w:szCs w:val="18"/>
                <w:color w:val="auto"/>
              </w:rPr>
              <w:t>Office furniture and equipment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gridSpan w:val="5"/>
          </w:tcPr>
          <w:p>
            <w:pPr>
              <w:jc w:val="right"/>
              <w:ind w:right="28"/>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Motor vehicles</w:t>
            </w:r>
          </w:p>
        </w:tc>
        <w:tc>
          <w:tcPr>
            <w:tcW w:w="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1,821</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5"/>
          </w:tcPr>
          <w:p>
            <w:pPr>
              <w:jc w:val="right"/>
              <w:ind w:right="28"/>
              <w:spacing w:after="0"/>
              <w:rPr>
                <w:sz w:val="20"/>
                <w:szCs w:val="20"/>
                <w:color w:val="auto"/>
              </w:rPr>
            </w:pPr>
            <w:r>
              <w:rPr>
                <w:rFonts w:ascii="Arial" w:cs="Arial" w:eastAsia="Arial" w:hAnsi="Arial"/>
                <w:sz w:val="18"/>
                <w:szCs w:val="18"/>
                <w:color w:val="auto"/>
              </w:rPr>
              <w:t>1,819</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980" w:type="dxa"/>
            <w:vAlign w:val="bottom"/>
            <w:gridSpan w:val="11"/>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gridSpan w:val="5"/>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980" w:type="dxa"/>
            <w:vAlign w:val="bottom"/>
            <w:tcBorders>
              <w:bottom w:val="single" w:sz="8" w:color="CCEEFF"/>
            </w:tcBorders>
            <w:gridSpan w:val="11"/>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484</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5"/>
          </w:tcPr>
          <w:p>
            <w:pPr>
              <w:jc w:val="right"/>
              <w:ind w:right="28"/>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80" w:type="dxa"/>
            <w:vAlign w:val="bottom"/>
            <w:tcBorders>
              <w:bottom w:val="single" w:sz="8" w:color="CCEEFF"/>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5"/>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1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Fixed assets, net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47,991</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Depreciation and amortization expense excluding amortization of acquisition-related intangibles for the three months ended March 31, 2016 and 2015 was $5,418, and $4,994,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1"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fixed assets and cost of fixed assets and internally generated software costs not yet ready to be placed in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March 31, 2016 and 2015, the Company acquired 14,548 and 12,866 shares of common stock, respectively from employees in connection with withholding tax payments related to the vesting of restricted stock for a total consideration of $652 and $397, respectively. The weighted average purchase price of $44.83 and $30.83, respectively, was the average of the high and low price of a share of the Company’s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up to an annual $20,000 common stock repurchase program (the “2014 Repurchase Program”), under which shares may be purchased by the Company from time to time from the open market and through private transactions during each of the fiscal years 2015 to 2017.</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2016, the Company purchased 138,638 shares of its common stock for an aggregate purchase price of approximately $6,202 including commissions, representing an average purchase price per share of $44.74 under the 2014 Repurchase program. There were no such shares of common stock purchased during the three months ended March 31, 2015.</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24, 2014, the Company entered into a credit agreement (as amended, the “Credit Agreement”) with certain lenders and JPMorgan Chase Bank, N.A., as Administrative Agent. The Credit Agreement provided for a $50,000 revolving credit facility (the “Credit Facility”), including a letter of credit sub-facility, for a period of five years. The Company had an option to increase the commitments under the Credit Facility by up to an additional $50,000, subject to certain approvals and conditions as set forth in the Credit Agreement. On February 23, 2015, via an amendment to the Credit Agreement, the Company exercised its option to increase credit commitments by another $50,000 upon the same terms and conditions which were available in the Credit Agreement. The Credit Facility has a maturity date of October 24, 2019 and is voluntarily pre-payable from time to time without premium or penalty. The Company entered into a second amendment to the Credit Agreement effective as of September 28, 2015 to address a minor clarification to the definition of change of control.</w:t>
      </w:r>
    </w:p>
    <w:p>
      <w:pPr>
        <w:spacing w:after="0" w:line="19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Facility may be used for working capital, general corporate purposes and for acquisitions. The Company has an outstanding debt of $65,000 and $70,000 as of March 31, 2016 and December 31, 2015, respectively, of which $10,000 is expected to be repaid within next twelve months and is included under “short-term borrowings” in the unaudited consolidated balance sheets. The Credit Facility carried an effective interest rate of 1.90% per annum and 1.56% per annum, respectively during the three months ended March 31, 2016 and 2015.</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financing, the Company incurred certain debt issuance costs, which are deferred and amortized as an adjustment to interest expense over the term of the Credit Facility. The unamortized debt issuance costs as of March 31, 2016 and December 31, 2015 was $344 and $368, respectively and is included under "other current assets" and "other assets" in the unaudited consolidated balance sheets.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obligations under the Credit Agreement are secured by all or substantially all of the assets of the Company and its material domestic subsidiaries. The Credit Agreement contains certain covenants including a restriction on indebtedness of the Company. As of March 31, 2016, the Company was in compliance with all covenants.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and the Philippines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gratuity cost includes the following components:</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264"/>
        </w:trPr>
        <w:tc>
          <w:tcPr>
            <w:tcW w:w="69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6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9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Gratuity Plan in India is partially 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9.0% on these Gratuity Plans for the year ended March 31, 2016.</w:t>
      </w:r>
    </w:p>
    <w:p>
      <w:pPr>
        <w:spacing w:after="0" w:line="96"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2016</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Actual return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March 31, 2016</w:t>
            </w:r>
          </w:p>
        </w:tc>
        <w:tc>
          <w:tcPr>
            <w:tcW w:w="7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maintains the Exl Service 401(k) Plan (the “401(k) Plan”) under Section 401(k) of the Internal Revenue Code of 1986 (the “Code”), covering all eligible employees, as defined. The Company may make discretionary contributions of up to a maximum of 3% of employee compensation within certain limits. The Company has made provisions for contributions to the 401(k) Plan amounting to $932 and $768 during the three months ended March 31, 2016 and 2015, respectively.</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2016 and 2015, the Company contributed $1,466 and $1,465, respectively for various defined contribution plans on behalf of its employees in India, the Philippines, Romania, Bulgaria, Colombia and the Czech Republic.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finances its use of certain leasehold improvements, furniture, fixtures, office equipment and motor vehicles under various lease arrangements provided by financial institutions. Future minimum lease payments under these capital leases as of March 31, 2016 are as follows:</w:t>
      </w:r>
    </w:p>
    <w:p>
      <w:pPr>
        <w:spacing w:after="0" w:line="201"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Year ending March 31,</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March 31, 2016 are set forth below:</w:t>
      </w:r>
    </w:p>
    <w:p>
      <w:pPr>
        <w:sectPr>
          <w:pgSz w:w="11900" w:h="16838" w:orient="portrait"/>
          <w:cols w:equalWidth="0" w:num="1">
            <w:col w:w="11420"/>
          </w:cols>
          <w:pgMar w:left="240" w:top="121" w:right="239" w:bottom="501"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501"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Year ending March 31,</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5,642</w:t>
            </w: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3,303</w:t>
            </w: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2022 and thereafter</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7"/>
        </w:trPr>
        <w:tc>
          <w:tcPr>
            <w:tcW w:w="6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recognizes rent on such leases on a straight line basis over the non-cancelable lease period determined under ASC topic 840, “Leases”. Rent expense under both cancelable and non-cancelable operating leases was $5,148 and $4,985 for the three months ended March 31, 2016 and 2015, respectively. Deferred rent as of March 31, 2016 and December 31, 2015 was $7,419 and $7,066, respectively, and is included under “Accrued expenses and other current liabilities” and “Non-current liabilities” in the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7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recorded income tax expense of $5,895 and $6,213 for the three months ended March 31, 2016 and 2015, respectively. The effective tax rate decreased from 39.4% during the three months ended March 31, 2015 to 29.9% during the three months ended March 31, 2016. The decrease was the result of a higher income tax expense during the three months ended March 31, 2015, primarily due to income tax expense of $1,818 related to immaterial errors for prior years. This decrease is partially offset by lower tax holiday benefits and an increase in the corporate tax rate applicable to certain foreign subsidiaries of the Company during the three months ended March 31, 2016 compared to the three months ended March 31, 2015.</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2016 through March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January 1, 2016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current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Effect of exchange rate changes</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9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2016</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The unrecognized tax benefits as of March 31, 2016 of $2,793, if recognized, would impact the effective tax rate.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7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2016 and 2015, the Company has recognized interest of $50 and $99, respectively, which are included in the income tax expense in the unaudited consolidated statements of income. As of March 31, 2016 and December 31, 2015, the Company has accrued approximately $1,319 and $1,269, respectively in interest relating to unrecognized tax benefits.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9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1,483</w:t>
            </w:r>
          </w:p>
        </w:tc>
      </w:tr>
      <w:tr>
        <w:trPr>
          <w:trHeight w:val="27"/>
        </w:trPr>
        <w:tc>
          <w:tcPr>
            <w:tcW w:w="6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2,172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w:t>
            </w: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5,809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4,255</w:t>
            </w:r>
          </w:p>
        </w:tc>
      </w:tr>
      <w:tr>
        <w:trPr>
          <w:trHeight w:val="27"/>
        </w:trPr>
        <w:tc>
          <w:tcPr>
            <w:tcW w:w="6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2016, the Company had 1,968,977 shares available for grant under the 2015 Amendment and Restatement of the 2006 Omnibus Award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Intrinsic</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1,210,141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2016</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1,046,353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36,477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March 31, 2016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1,046,353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36,477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unrecognized compensation cost for unvested options as of March 31, 2016 is nil. The Company did not grant any options during the three months ended March 31, 2016 and 2015. The total grant date fair value of options vested during the three months ended March 31, 2016 and 2015 was $706 and $1,126,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Intrinsic Value</w:t>
            </w: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129,638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1,228,287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377,294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117,426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35.49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1,276,416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2" w:lineRule="exact"/>
        <w:rPr>
          <w:sz w:val="20"/>
          <w:szCs w:val="20"/>
          <w:color w:val="auto"/>
        </w:rPr>
      </w:pPr>
    </w:p>
    <w:p>
      <w:pPr>
        <w:ind w:right="800" w:firstLine="8"/>
        <w:spacing w:after="0" w:line="275" w:lineRule="auto"/>
        <w:tabs>
          <w:tab w:leader="none" w:pos="281"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31, 2016 and December 31, 2015 restricted stock units vested for which the underlying common stock is yet to be issued are 154,973 and 149,364, respectively.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2016, unrecognized compensation cost of $43,496 is expected to be expensed over a weighted average period of 3.01 years.</w:t>
      </w:r>
    </w:p>
    <w:p>
      <w:pPr>
        <w:sectPr>
          <w:pgSz w:w="11900" w:h="16838" w:orient="portrait"/>
          <w:cols w:equalWidth="0" w:num="1">
            <w:col w:w="11420"/>
          </w:cols>
          <w:pgMar w:left="240" w:top="121"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restricted stock unit (the "PRSU's") activity under the Company’s stock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Weighted Avg</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8"/>
              </w:rPr>
              <w:t>Weighted Avg</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59,861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2016</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163,324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2016, unrecognized compensation cost of $13,326 is expected to be expensed over a weighted average period of 2.18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attributes the revenues to regions based upon location of its customers.</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160" w:type="dxa"/>
            <w:vAlign w:val="bottom"/>
            <w:tcBorders>
              <w:bottom w:val="single" w:sz="8" w:color="CCEEFF"/>
            </w:tcBorders>
          </w:tcPr>
          <w:p>
            <w:pPr>
              <w:spacing w:after="0"/>
              <w:rPr>
                <w:sz w:val="22"/>
                <w:szCs w:val="22"/>
                <w:color w:val="auto"/>
              </w:rPr>
            </w:pPr>
          </w:p>
        </w:tc>
        <w:tc>
          <w:tcPr>
            <w:tcW w:w="6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22"/>
                <w:szCs w:val="22"/>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134,074</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111,865</w:t>
            </w:r>
          </w:p>
        </w:tc>
      </w:tr>
      <w:tr>
        <w:trPr>
          <w:trHeight w:val="27"/>
        </w:trPr>
        <w:tc>
          <w:tcPr>
            <w:tcW w:w="1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w:t>
            </w:r>
          </w:p>
        </w:tc>
      </w:tr>
      <w:tr>
        <w:trPr>
          <w:trHeight w:val="243"/>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Rest of World</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5,534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5,810</w:t>
            </w:r>
          </w:p>
        </w:tc>
      </w:tr>
      <w:tr>
        <w:trPr>
          <w:trHeight w:val="27"/>
        </w:trPr>
        <w:tc>
          <w:tcPr>
            <w:tcW w:w="16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9"/>
        </w:trPr>
        <w:tc>
          <w:tcPr>
            <w:tcW w:w="160" w:type="dxa"/>
            <w:vAlign w:val="bottom"/>
            <w:tcBorders>
              <w:bottom w:val="single" w:sz="8" w:color="CCEEFF"/>
            </w:tcBorders>
            <w:shd w:val="clear" w:color="auto" w:fill="CCEEFF"/>
          </w:tcPr>
          <w:p>
            <w:pPr>
              <w:spacing w:after="0"/>
              <w:rPr>
                <w:sz w:val="22"/>
                <w:szCs w:val="22"/>
                <w:color w:val="auto"/>
              </w:rPr>
            </w:pPr>
          </w:p>
        </w:tc>
        <w:tc>
          <w:tcPr>
            <w:tcW w:w="6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167,036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143,510</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1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54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160" w:type="dxa"/>
            <w:vAlign w:val="bottom"/>
          </w:tcPr>
          <w:p>
            <w:pPr>
              <w:spacing w:after="0"/>
              <w:rPr>
                <w:sz w:val="21"/>
                <w:szCs w:val="21"/>
                <w:color w:val="auto"/>
              </w:rPr>
            </w:pPr>
          </w:p>
        </w:tc>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assets, net</w:t>
            </w: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120" w:type="dxa"/>
            <w:vAlign w:val="bottom"/>
          </w:tcPr>
          <w:p>
            <w:pPr>
              <w:ind w:left="40"/>
              <w:spacing w:after="0"/>
              <w:rPr>
                <w:sz w:val="20"/>
                <w:szCs w:val="20"/>
                <w:color w:val="auto"/>
              </w:rPr>
            </w:pPr>
            <w:r>
              <w:rPr>
                <w:rFonts w:ascii="Arial" w:cs="Arial" w:eastAsia="Arial" w:hAnsi="Arial"/>
                <w:sz w:val="18"/>
                <w:szCs w:val="18"/>
                <w:color w:val="auto"/>
              </w:rPr>
              <w:t>India</w:t>
            </w:r>
          </w:p>
        </w:tc>
        <w:tc>
          <w:tcPr>
            <w:tcW w:w="660" w:type="dxa"/>
            <w:vAlign w:val="bottom"/>
          </w:tcPr>
          <w:p>
            <w:pPr>
              <w:jc w:val="right"/>
              <w:ind w:right="454"/>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23,511</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23,415</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10,680</w:t>
            </w:r>
          </w:p>
        </w:tc>
        <w:tc>
          <w:tcPr>
            <w:tcW w:w="18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61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11,285</w:t>
            </w:r>
          </w:p>
        </w:tc>
        <w:tc>
          <w:tcPr>
            <w:tcW w:w="18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2,611</w:t>
            </w:r>
          </w:p>
        </w:tc>
        <w:tc>
          <w:tcPr>
            <w:tcW w:w="180" w:type="dxa"/>
            <w:vAlign w:val="bottom"/>
          </w:tcPr>
          <w:p>
            <w:pPr>
              <w:spacing w:after="0"/>
              <w:rPr>
                <w:sz w:val="23"/>
                <w:szCs w:val="23"/>
                <w:color w:val="auto"/>
              </w:rPr>
            </w:pPr>
          </w:p>
        </w:tc>
      </w:tr>
      <w:tr>
        <w:trPr>
          <w:trHeight w:val="237"/>
        </w:trPr>
        <w:tc>
          <w:tcPr>
            <w:tcW w:w="16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660" w:type="dxa"/>
            <w:vAlign w:val="bottom"/>
            <w:tcBorders>
              <w:top w:val="single" w:sz="8" w:color="auto"/>
            </w:tcBorders>
          </w:tcPr>
          <w:p>
            <w:pPr>
              <w:jc w:val="right"/>
              <w:ind w:right="454"/>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47,540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47,991</w:t>
            </w:r>
          </w:p>
        </w:tc>
        <w:tc>
          <w:tcPr>
            <w:tcW w:w="18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At March 31, 2016, the Company has committed to spend approximately $6,510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7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w:t>
      </w:r>
    </w:p>
    <w:p>
      <w:pPr>
        <w:spacing w:after="0" w:line="1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aggregate disputed amount demanded by Indian tax authorities from the Company related to its transfer pricing issues for years ranging from tax years 2003 to 2013 and its permanent establishment issues ranging from tax years 2003 to 2007 as of March 31, 2016 and December 31, 2015 is $20,835 and $21,360, respectively, of which the Company has made payments or provided bank guarantee to the extent $14,342 and $14,668, respectively. Amounts paid as deposits in respect of such assessments aggregating to $12,342 and $12,665 as of March 31, 2016 and December 31, 2015, respectively, are included in “Other assets” and amounts deposited for bank guarantees aggregating to $2,000 and $2,003 as of March 31, 2016 and December 31, 2015, respectively, are included in “Restricted cash” in the non-current assets section of the Company’s consolidated balance sheets as of March 31, 2016 and December 31, 2015.</w:t>
      </w:r>
    </w:p>
    <w:p>
      <w:pPr>
        <w:spacing w:after="0" w:line="16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2015. Some of the statements in the following discussion are forward looking statements. See “Forward Looking Statements.” Dollar amounts within Item 2 are presented as actual, approximated, dollar amounts.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101" w:lineRule="exact"/>
        <w:rPr>
          <w:sz w:val="20"/>
          <w:szCs w:val="20"/>
          <w:color w:val="auto"/>
        </w:rPr>
      </w:pPr>
    </w:p>
    <w:p>
      <w:pPr>
        <w:ind w:left="720" w:hanging="388"/>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 ;</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a leading Operations Management and Analytics company that helps businesses enhance growth and profitability. Using our proprietary platforms, methodologies and tools we look deeper to help companies improve global operations, enhance data-driven insights, increase customer satisfaction, and manage risk and compliance. We serve the insurance, healthcare, banking and financial services, utilities, travel, transportation and logistics industries, among others.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operating segments are significant strategic business units that align our products and services with how we manage our business, approach our key markets and interact with our clients. Effective for the quarter and year ended December 31, 2015, we merged two of our operating segments (Operations Consulting and Finance Transformation, previously part of the Analytics and Business Transformation reportable segment) into the Consulting operating segment to reflect recent organizational changes. We have also revised our reportable segments to reflect management’s focus on the Analytics operating segment. All our other operating segments have been aggregated into the Operations Management reportable segment.</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new reportable segments are as follows:</w:t>
      </w:r>
    </w:p>
    <w:p>
      <w:pPr>
        <w:spacing w:after="0" w:line="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Operations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restated the segment information for all prior periods presented herein to conform to the current presentation. This change in segment presentation does not affect our consolidated statements of income, balance sheets or statements of cash flows. For further descriptions of our operating segments, see Note 4 to the unaudited consolidated financial statements contained herein.</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2016, we had revenues of $167.0 million compared to revenues of $143.5 million for the three months ended March 31, 2015, an increase of $23.5 million, or 16.4%. Revenues from operations management services were $128.1 million for the three months ended March 31, 2016 compared to $123.9 million for the three months ended March 31, 2015. Revenues from analytics services were $39.0 million for the three months ended March 31, 2016 compared to $19.7 million for the three months ended March 31, 2015.</w:t>
      </w:r>
    </w:p>
    <w:p>
      <w:pPr>
        <w:spacing w:after="0" w:line="18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serve clients mainly in the U.S. and the U.K., with these two regions generating approximately 80.3% and 16.4%, respectively, of our total revenues for the three months ended March 31, 2016 and approximately 78.0% and 18.0%, respectively, of our revenues for the three months ended March 31, 2015.</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2016 and 2015, our total revenues from our top ten clients accounted for 40.5% and 43.9% of our total revenues, respectively. None of our clients accounted for more than 10% of our total revenues during the three months ended March 31, 2016 and 2015. Although we are continually increasing and diversifying our customer base, we expect in the near future that a significant portion of our revenue will continue to be contributed by a limited number of large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business is divided into two reporting segments: Operations Management and Analytics.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Operations Management: We provide our clients with a range of operations management solutions principally in the insurance, healthcare, utilities, banking and financial services, and travel, transportation and logistics sectors, among others, as well as cross-industry operations management solutions, such as finance and accounting services.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been observing a shift in industry pricing models toward transaction-based pricing, outcome-based pricing and other pricing models. We believe this trend will continue and we have begun to use transaction-based, outcome-based and other pricing models with some of our current clients and are seeking to move certain other clients from a billing rate model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37"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 transaction-based or other pricing model. These transaction-based pricing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 to meet competition.</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 term.</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Operations Management as part of a comprehensive solution for our clients.</w:t>
      </w:r>
    </w:p>
    <w:p>
      <w:pPr>
        <w:spacing w:after="0" w:line="15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 – Critical Accounting Policies and Estimates” and Note 1 to the Consolidated Financial Statements included in our 2015 Annual Report on Form 10-K for the year ended December 31, 2015.</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2016 and 2015:</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20" w:type="dxa"/>
            <w:vAlign w:val="bottom"/>
            <w:tcBorders>
              <w:bottom w:val="single" w:sz="8" w:color="CCEEFF"/>
            </w:tcBorders>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167.0</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108.3</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9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9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9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9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Foreign exchange gain</w:t>
            </w:r>
          </w:p>
        </w:tc>
        <w:tc>
          <w:tcPr>
            <w:tcW w:w="1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9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9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9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20"/>
                <w:szCs w:val="20"/>
                <w:color w:val="auto"/>
              </w:rPr>
            </w:pP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80" w:type="dxa"/>
            <w:vAlign w:val="bottom"/>
            <w:vMerge w:val="restart"/>
          </w:tcPr>
          <w:p>
            <w:pPr>
              <w:jc w:val="right"/>
              <w:ind w:right="1396"/>
              <w:spacing w:after="0"/>
              <w:rPr>
                <w:sz w:val="20"/>
                <w:szCs w:val="20"/>
                <w:color w:val="auto"/>
              </w:rPr>
            </w:pPr>
            <w:r>
              <w:rPr>
                <w:rFonts w:ascii="Arial" w:cs="Arial" w:eastAsia="Arial" w:hAnsi="Arial"/>
                <w:sz w:val="18"/>
                <w:szCs w:val="18"/>
                <w:color w:val="auto"/>
              </w:rPr>
              <w:t>26</w:t>
            </w: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37"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to Three Months Ended March 31, 2015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28"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34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4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6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Management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128.1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167.0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Revenues for the three months ended March 31, 2016 were $167.0 million, up $23.5 million or 16.4% compared to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03" w:lineRule="exact"/>
        <w:rPr>
          <w:sz w:val="20"/>
          <w:szCs w:val="20"/>
          <w:color w:val="auto"/>
        </w:rPr>
      </w:pPr>
    </w:p>
    <w:p>
      <w:pPr>
        <w:jc w:val="both"/>
        <w:ind w:firstLine="554"/>
        <w:spacing w:after="0" w:line="286" w:lineRule="auto"/>
        <w:rPr>
          <w:sz w:val="20"/>
          <w:szCs w:val="20"/>
          <w:color w:val="auto"/>
        </w:rPr>
      </w:pPr>
      <w:r>
        <w:rPr>
          <w:rFonts w:ascii="Arial" w:cs="Arial" w:eastAsia="Arial" w:hAnsi="Arial"/>
          <w:sz w:val="17"/>
          <w:szCs w:val="17"/>
          <w:color w:val="auto"/>
        </w:rPr>
        <w:t>Revenue growth in Operations Management of $4.2 million was driven by net volume increases from our new and existing clients of $6.9 million. This increase in revenues was offset by a $2.7 million impact due to the depreciation of the Indian rupee, the U.K. pound sterling and the Philippine peso against the U.S. dollar during the three months ended March 31, 2016 compared to the three months ended March 31, 2015.</w:t>
      </w:r>
    </w:p>
    <w:p>
      <w:pPr>
        <w:spacing w:after="0" w:line="57"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Analytics of $19.3 million was driven by an incremental revenue of $11.9 million from our RPM acquisition and net volume increases in our recurring and project based engagements from our existing clients of $7.2 million and new client wins of $0.5 million. The increase was offset by a decrease of $0.3 million due to the depreciation of the U.K. pound sterling against the U.S. dollar during the three months ended March 31, 2016 compared to the three months ended March 31, 2015.</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340" w:type="dxa"/>
        <w:tblCellMar>
          <w:top w:w="0" w:type="dxa"/>
          <w:left w:w="0" w:type="dxa"/>
          <w:bottom w:w="0" w:type="dxa"/>
          <w:right w:w="0" w:type="dxa"/>
        </w:tblCellMar>
      </w:tblPr>
      <w:tr>
        <w:trPr>
          <w:trHeight w:val="47"/>
        </w:trPr>
        <w:tc>
          <w:tcPr>
            <w:tcW w:w="46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7"/>
          <w:szCs w:val="17"/>
          <w:color w:val="auto"/>
        </w:rPr>
        <w:t>The increase in cost of revenues was primarily due to an increase in employee-related costs of $11.2 million (including $1.3 million of incremental employee-related costs related to our RPM acquisition). The remaining increase of $9.9 million in employee-related cost was primarily due to annual wage increases and an increase in our average headcount of personnel directly involved in providing services to our clients. We also experienced an increase in facilities, technology and other operating expenses of $7.8 million (including incremental cost of revenues of $6.5 million related to our RPM acquisition) and in reimbursable expenses of $0.8 million, resulting in a corresponding increase in revenues. These increases were partially offset by a decrease of $4.6 million due to the impact of depreciation of the Indian rupee, the U.K pound sterling and the Philippine peso against the U.S. dollar during the three months ended March 31, 2016 compared to the three months ended March 31, 2015.</w:t>
      </w:r>
    </w:p>
    <w:p>
      <w:pPr>
        <w:spacing w:after="0" w:line="174"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by $8.3 million, or 16.4%, from $50.4 million for the three months ended March 31, 2015 to $58.7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2016. The increase was primarily due to higher revenues in our Analytics services and depreciation of the Indian rupee, the Philippine peso and the U.K. pound sterling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340" w:type="dxa"/>
        <w:tblCellMar>
          <w:top w:w="0" w:type="dxa"/>
          <w:left w:w="0" w:type="dxa"/>
          <w:bottom w:w="0" w:type="dxa"/>
          <w:right w:w="0" w:type="dxa"/>
        </w:tblCellMar>
      </w:tblPr>
      <w:tr>
        <w:trPr>
          <w:trHeight w:val="47"/>
        </w:trPr>
        <w:tc>
          <w:tcPr>
            <w:tcW w:w="4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88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20.4%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20.8%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SG&amp;A expenses was primarily due to an increase in employee-related costs of $5.0 million (including $2.1 million of incremental employee-related costs related to our RPM acquisition). The remaining increase of $2.9 million in employee-related cost was primarily due to annual wage increments and an increase in our average headcount to support the increased business volumes. This increase was partially offset by a decrease of $0.7 million due to the impact of depreciation of the Indian rupee, the U.K. pound sterling and the Philippine peso against the U.S. dollar during the three months ended March 31, 2016 compared to the three months ended March 31, 2015.</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340" w:type="dxa"/>
        <w:tblCellMar>
          <w:top w:w="0" w:type="dxa"/>
          <w:left w:w="0" w:type="dxa"/>
          <w:bottom w:w="0" w:type="dxa"/>
          <w:right w:w="0" w:type="dxa"/>
        </w:tblCellMar>
      </w:tblPr>
      <w:tr>
        <w:trPr>
          <w:trHeight w:val="47"/>
        </w:trPr>
        <w:tc>
          <w:tcPr>
            <w:tcW w:w="46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8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w w:val="97"/>
              </w:rPr>
              <w:t>4.9%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97"/>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Depreciation and amortization expense increased by $1.0 million, or 15.3%, from $7.1 million for the three months ended March 31, 2015 to $8.1 million for the three months ended March 31, 2016. The increase in amortization of intangibles of $0.6 million was primarily due to amortization of intangibles associated with our RPM acquisition. Further, there was an increase in our depreciation expense of $0.7 million, due to depreciation related to our new capital investments in India, South Africa and the Philippines to support the business growth. These increases were partially offset by a decrease of $0.3 million due to depreciation of Indian rupee and the Philippine peso against the U.S. dollar during the three months ended March 31, 2016 compared to the three months ended March 31, 2015.</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$3.0 million, or 22.1%, from $13.5 million for the three months ended March 31, 2015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$16.5 million for the three months ended March 31, 2016. As a percentage of revenues, income from operations increased from 9.4% for the three months ended March 31, 2015 to 9.8% for the three months ended March 31, 2016.</w:t>
      </w:r>
    </w:p>
    <w:p>
      <w:pPr>
        <w:spacing w:after="0" w:line="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Foreign Exchange Gain /( Loss). </w:t>
      </w:r>
      <w:r>
        <w:rPr>
          <w:rFonts w:ascii="Arial" w:cs="Arial" w:eastAsia="Arial" w:hAnsi="Arial"/>
          <w:sz w:val="17"/>
          <w:szCs w:val="17"/>
          <w:color w:val="auto"/>
        </w:rPr>
        <w:t>Net foreign exchange gains and losses are primarily attributable to movement of the U.S. dollar against the Indian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rupee, the U.K. pound sterling and the Philippine peso during the three months ended March 31, 2016. The average exchange rate of the Indian rupee against the U.S. dollar increased from 62.06 during the three months ended March 31, 2015 to 67.51 during the three months ended March 31, 2016. The average exchange rate of the U.K. pound sterling against the U.S. dollar increased from 0.66 during the three months ended March 31, 2015 to 0.71 during the three months ended March 31, 2016. The average exchange rate of the Philippine peso against the U.S. dollar increased from 44.29 during the three months ended March 31, 2015 to 47.09 during the three months ended March 31, 2016.</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$0.4 million for the three months ended March 31, 2016 compared to $1.1 million for the three months ended March 31,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Three months ended March 31,</w:t>
      </w:r>
    </w:p>
    <w:tbl>
      <w:tblPr>
        <w:tblLayout w:type="fixed"/>
        <w:tblInd w:w="0" w:type="dxa"/>
        <w:tblCellMar>
          <w:top w:w="0" w:type="dxa"/>
          <w:left w:w="0" w:type="dxa"/>
          <w:bottom w:w="0" w:type="dxa"/>
          <w:right w:w="0" w:type="dxa"/>
        </w:tblCellMar>
      </w:tblPr>
      <w:tr>
        <w:trPr>
          <w:trHeight w:val="47"/>
        </w:trPr>
        <w:tc>
          <w:tcPr>
            <w:tcW w:w="47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right"/>
              <w:ind w:right="3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8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w w:val="83"/>
              </w:rPr>
              <w:t>2015</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57.1 %</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earn-out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600.0 %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Increase in interest and dividend income was primarily due to higher cash balances in our foreign susbsidiaries and higher yield on our investments during the three months ended March 31, 2016 compared to the three months ended March 31, 2015. Other income further increased by $0.7 million due to interest on deposits received from income tax authorities in India on completion of a tax assessment. This increase in interest and other income was partially offset by an increase in interest expense of $0.1 million related to the Credit Facility and the amortization of related deferred financing cost.</w:t>
      </w:r>
    </w:p>
    <w:p>
      <w:pPr>
        <w:spacing w:after="0" w:line="1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39.4% during the three months ended March 31, 2015 to 29.9%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2016. The decrease was a result of higher income tax expense during the three months ended March 31, 2015, as a result of income tax expense related to immaterial errors for prior years of $1.8 million. The decrease is partially offset by lower tax holiday benefits and an increase in the corporate tax rate applicable to certain of our foreign subsidiaries during the three months ended March 31, 2016 compared to the three months ended March 31, 2015.</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$9.6 million for the three months ended March 31, 2015 to $13.8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primarily due to higher income from operations of $3.0 million and increase in other income and foreign exchange gain of $0.9 million and a lower income tax expense of $0.3 million. As a percentage of revenues, net income increased from 6.7% for the three months ended March 31, 2015 to 8.3% for the three months ended March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684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r>
      <w:tr>
        <w:trPr>
          <w:trHeight w:val="196"/>
        </w:trPr>
        <w:tc>
          <w:tcPr>
            <w:tcW w:w="6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w w:val="91"/>
              </w:rPr>
              <w:t>(dollars in millions)</w:t>
            </w:r>
          </w:p>
        </w:tc>
        <w:tc>
          <w:tcPr>
            <w:tcW w:w="520" w:type="dxa"/>
            <w:vAlign w:val="bottom"/>
          </w:tcPr>
          <w:p>
            <w:pPr>
              <w:spacing w:after="0"/>
              <w:rPr>
                <w:sz w:val="17"/>
                <w:szCs w:val="17"/>
                <w:color w:val="auto"/>
              </w:rPr>
            </w:pPr>
          </w:p>
        </w:tc>
      </w:tr>
      <w:tr>
        <w:trPr>
          <w:trHeight w:val="25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and cash equivalents</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205.3</w:t>
            </w:r>
          </w:p>
        </w:tc>
        <w:tc>
          <w:tcPr>
            <w:tcW w:w="92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176.5</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cash (used for) / provided by operating activities</w:t>
            </w: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(56.2)</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cash (used for) / provided by financing activities</w:t>
            </w: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8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0.7</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Closing cash and cash equivalents</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95.8</w:t>
            </w:r>
          </w:p>
        </w:tc>
        <w:tc>
          <w:tcPr>
            <w:tcW w:w="92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151.3</w:t>
            </w:r>
          </w:p>
        </w:tc>
      </w:tr>
      <w:tr>
        <w:trPr>
          <w:trHeight w:val="27"/>
        </w:trPr>
        <w:tc>
          <w:tcPr>
            <w:tcW w:w="6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March 31, 2016 and December 31, 2015, we had $192.9 and $219.0 million, respectively in cash, cash equivalents and short-term investments (including $134.7 million and $136.0 million, respectively, held by our foreign subsidiaries). We do not intend to repatriate funds held by our foreign subsidiaries since our future growth partially depends upon continued infrastructure and technology investments, geographical expansions and acquisitions outside of the U.S. Therefore, we anticipate that we will indefinitely reinvest the earnings generated outside of the U.S. If we were to repatriate our overseas funds, we would accrue and pay applicable taxes.</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from operating activities decreased by $10.5 million from $0.1 million for the three months ended March 31, 2015 to a</w:t>
      </w:r>
      <w:r>
        <w:rPr>
          <w:rFonts w:ascii="Arial" w:cs="Arial" w:eastAsia="Arial" w:hAnsi="Arial"/>
          <w:sz w:val="18"/>
          <w:szCs w:val="18"/>
          <w:i w:val="1"/>
          <w:iCs w:val="1"/>
          <w:color w:val="auto"/>
        </w:rPr>
        <w:t xml:space="preserve"> </w:t>
      </w:r>
      <w:r>
        <w:rPr>
          <w:rFonts w:ascii="Arial" w:cs="Arial" w:eastAsia="Arial" w:hAnsi="Arial"/>
          <w:sz w:val="18"/>
          <w:szCs w:val="18"/>
          <w:color w:val="auto"/>
        </w:rPr>
        <w:t>negative cash flow from operating activities of $10.4 million for the three months ended March 31, 2016. Generally, factors that affect our earnings— including pricing, volume of services, costs and productivity—affect our cash flows provided from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decrease in cash flows from operations for the three months ended March 31, 2016 compared to the three months ended March 31, 2015 was due to an increase in working capital of $39.0 million during the three months ended March 31, 2016 compared to an increase of $23.8 million during the three months ended March 31, 2015. The increase in working capital was primarily due to an increase in accounts receivables and a decrease in accrued employee costs. This decrease in cash flows from operations was partially offset by an increase in net income adjusted for non-cash expenses of $4.6 million, primarily due to an increase in net income by $4.3 million.</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increased by $33.6 million from $56.2 million for the three months ended March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to $89.8 million for the three months ended March 31, 2016. The increase was primarily due to an increase in short-term investments of $78.4 million (net of redemption) during the three months ended March 31, 2016 compared to the three months ended March 31, 2015, partially offset by cash paid for the RPM acquisition (net of cash acquired) of $44.5 million during the three months ended March 31, 2015 and further by a decrease in capital expenditures of $0.4 million.</w:t>
      </w:r>
    </w:p>
    <w:p>
      <w:pPr>
        <w:spacing w:after="0" w:line="18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used for financing activities was $10.0 million during the three months ended March 31, 2016 compared to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of $31.2 million during the three months ended March 31, 2015. The decrease in cash flow from financing activities is primarily due to $30.0 million of borrowings under the Credit Agreement (as described below in “—Financing Arrangements”) during the three months ended March 31, 2015 and repayment of $5.0 million during the three months ended March 31, 2016. Cash flows from financing activities further decreased due to higher purchases of treasury stock of $6.2 million under the 2014 Repurchase Program during the three months ended March 31, 2016 compared to the three months ended March 31, 2015.</w:t>
      </w:r>
    </w:p>
    <w:p>
      <w:pPr>
        <w:spacing w:after="0" w:line="19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$8.5 million of capital expenditures in the three months ended March 31, 2016. We expect to incur capital expenditures of between $25 million to $30 million in 2016, primarily to meet our growth requirements, including additions to our facilities as well as investments in technology applications and infrastructure.</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16 to our unaudited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On October 24, 2014 we entered into a Credit Agreement that provides for a $50 million revolving credit facility (“Credit Facility”). We had an option to increase the commitments under the Credit Facility by up to an additional $50 million, subject to certain approvals and conditions as set forth in the Credit Agreement. On February 23, 2015, pursuant to an amendment to the Credit Agreement we exercised this option to increase credit commitments by another $50 million upon the same terms and conditions which were available in the Credit Agreement. As of March 31, 2016, we had outstanding indebtedness of $65.0 million. Borrowings under the Credit Agreement may be used for working capital and general corporate purposes of the Company and its subsidiaries and for acquisitions</w:t>
      </w:r>
    </w:p>
    <w:p>
      <w:pPr>
        <w:spacing w:after="0" w:line="193"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0.25% to 0.75% per annum with respect to loans pegged to the specified prime rate, and 1.25% to 1.75% per annum on loans pegged to the adjusted LIBO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can effective interest rate of 1.90% per annum during the three months ended March 31, 2016.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2016 and December 31, 2015, we had no off-balance sheet arrangements or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March 31, 2016:</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4"/>
          </w:tcPr>
          <w:p>
            <w:pPr>
              <w:ind w:left="360"/>
              <w:spacing w:after="0"/>
              <w:rPr>
                <w:sz w:val="20"/>
                <w:szCs w:val="20"/>
                <w:color w:val="auto"/>
              </w:rPr>
            </w:pPr>
            <w:r>
              <w:rPr>
                <w:rFonts w:ascii="Arial" w:cs="Arial" w:eastAsia="Arial" w:hAnsi="Arial"/>
                <w:sz w:val="18"/>
                <w:szCs w:val="18"/>
                <w:b w:val="1"/>
                <w:bCs w:val="1"/>
                <w:color w:val="auto"/>
                <w:w w:val="93"/>
              </w:rPr>
              <w:t>Payment Due by Period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w w:val="95"/>
              </w:rPr>
              <w:t>Less than</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4-5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After</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2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1 year</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years</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b w:val="1"/>
                <w:bCs w:val="1"/>
                <w:color w:val="auto"/>
              </w:rPr>
              <w:t>years</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w w:val="99"/>
              </w:rPr>
              <w:t>5 years</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23"/>
                <w:szCs w:val="23"/>
                <w:color w:val="auto"/>
              </w:rPr>
            </w:pPr>
          </w:p>
        </w:tc>
      </w:tr>
      <w:tr>
        <w:trPr>
          <w:trHeight w:val="27"/>
        </w:trPr>
        <w:tc>
          <w:tcPr>
            <w:tcW w:w="4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0" w:type="dxa"/>
            <w:vAlign w:val="bottom"/>
            <w:gridSpan w:val="5"/>
          </w:tcPr>
          <w:p>
            <w:pPr>
              <w:ind w:left="520"/>
              <w:spacing w:after="0"/>
              <w:rPr>
                <w:sz w:val="20"/>
                <w:szCs w:val="20"/>
                <w:color w:val="auto"/>
              </w:rPr>
            </w:pPr>
            <w:r>
              <w:rPr>
                <w:rFonts w:ascii="Arial" w:cs="Arial" w:eastAsia="Arial" w:hAnsi="Arial"/>
                <w:sz w:val="18"/>
                <w:szCs w:val="18"/>
                <w:b w:val="1"/>
                <w:bCs w:val="1"/>
                <w:color w:val="auto"/>
              </w:rPr>
              <w:t>(dollars in millions)</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8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24.2</w:t>
            </w:r>
          </w:p>
        </w:tc>
      </w:tr>
      <w:tr>
        <w:trPr>
          <w:trHeight w:val="27"/>
        </w:trPr>
        <w:tc>
          <w:tcPr>
            <w:tcW w:w="4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Fair value of earn-out consideration</w:t>
            </w:r>
          </w:p>
        </w:tc>
        <w:tc>
          <w:tcPr>
            <w:tcW w:w="8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4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(a)</w:t>
            </w: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Principal payments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r>
      <w:tr>
        <w:trPr>
          <w:trHeight w:val="270"/>
        </w:trPr>
        <w:tc>
          <w:tcPr>
            <w:tcW w:w="4280" w:type="dxa"/>
            <w:vAlign w:val="bottom"/>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(b)</w:t>
            </w:r>
          </w:p>
        </w:tc>
        <w:tc>
          <w:tcPr>
            <w:tcW w:w="84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64"/>
        </w:trPr>
        <w:tc>
          <w:tcPr>
            <w:tcW w:w="4280" w:type="dxa"/>
            <w:vAlign w:val="bottom"/>
            <w:tcBorders>
              <w:top w:val="single" w:sz="8" w:color="CCEEFF"/>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(c)</w:t>
            </w:r>
          </w:p>
        </w:tc>
        <w:tc>
          <w:tcPr>
            <w:tcW w:w="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114.5</w:t>
            </w:r>
          </w:p>
        </w:tc>
      </w:tr>
      <w:tr>
        <w:trPr>
          <w:trHeight w:val="20"/>
        </w:trPr>
        <w:tc>
          <w:tcPr>
            <w:tcW w:w="4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interest rate on the outstanding borrowings as of March 31, 2016.</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Excludes $2.8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to our unaudited consolidated financial statements contained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color w:val="auto"/>
        </w:rPr>
        <w:t>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March 31, 2016,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2015.</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2016. Based upon that evaluation, the CEO and CFO have concluded that, as of March 31, 2016,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During the three months ended March 31, 2016,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our unaudited consolidated financial statements contained herein for details regarding our tax proceedings.</w:t>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2015 a number of risks which may materially affect our business, financial condition or results of operations. You should carefully consider the “Risk Factors” set forth in our Annual Report on Form 10-K for the year ended December 31, 2015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 months ended March 31, 2016, purchases of common stock were as follows:</w:t>
      </w:r>
    </w:p>
    <w:p>
      <w:pPr>
        <w:spacing w:after="0" w:line="267"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080" w:type="dxa"/>
            <w:vAlign w:val="bottom"/>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Approximate</w:t>
            </w:r>
          </w:p>
        </w:tc>
      </w:tr>
      <w:tr>
        <w:trPr>
          <w:trHeight w:val="216"/>
        </w:trPr>
        <w:tc>
          <w:tcPr>
            <w:tcW w:w="108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Number of</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Dollar Value of</w:t>
            </w:r>
          </w:p>
        </w:tc>
      </w:tr>
      <w:tr>
        <w:trPr>
          <w:trHeight w:val="216"/>
        </w:trPr>
        <w:tc>
          <w:tcPr>
            <w:tcW w:w="108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Shares Purchased</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Shares That May</w:t>
            </w:r>
          </w:p>
        </w:tc>
      </w:tr>
      <w:tr>
        <w:trPr>
          <w:trHeight w:val="216"/>
        </w:trPr>
        <w:tc>
          <w:tcPr>
            <w:tcW w:w="108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as Part of Publicly</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Yet Be Purchased</w:t>
            </w:r>
          </w:p>
        </w:tc>
      </w:tr>
      <w:tr>
        <w:trPr>
          <w:trHeight w:val="216"/>
        </w:trPr>
        <w:tc>
          <w:tcPr>
            <w:tcW w:w="108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Number of</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Average Price</w:t>
            </w:r>
          </w:p>
        </w:tc>
        <w:tc>
          <w:tcPr>
            <w:tcW w:w="1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Announced Plans</w:t>
            </w:r>
          </w:p>
        </w:tc>
        <w:tc>
          <w:tcPr>
            <w:tcW w:w="1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Under the Plans or</w:t>
            </w:r>
          </w:p>
        </w:tc>
      </w:tr>
      <w:tr>
        <w:trPr>
          <w:trHeight w:val="261"/>
        </w:trPr>
        <w:tc>
          <w:tcPr>
            <w:tcW w:w="1080" w:type="dxa"/>
            <w:vAlign w:val="bottom"/>
          </w:tcPr>
          <w:p>
            <w:pPr>
              <w:spacing w:after="0"/>
              <w:rPr>
                <w:sz w:val="22"/>
                <w:szCs w:val="22"/>
                <w:color w:val="auto"/>
              </w:rPr>
            </w:pPr>
          </w:p>
        </w:tc>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Period</w:t>
            </w:r>
          </w:p>
        </w:tc>
        <w:tc>
          <w:tcPr>
            <w:tcW w:w="140" w:type="dxa"/>
            <w:vAlign w:val="bottom"/>
            <w:gridSpan w:val="2"/>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Shares Purchased</w:t>
            </w:r>
          </w:p>
        </w:tc>
        <w:tc>
          <w:tcPr>
            <w:tcW w:w="100" w:type="dxa"/>
            <w:vAlign w:val="bottom"/>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Paid per share</w:t>
            </w:r>
          </w:p>
        </w:tc>
        <w:tc>
          <w:tcPr>
            <w:tcW w:w="100" w:type="dxa"/>
            <w:vAlign w:val="bottom"/>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ind w:left="40"/>
              <w:spacing w:after="0" w:line="262" w:lineRule="exact"/>
              <w:rPr>
                <w:sz w:val="20"/>
                <w:szCs w:val="20"/>
                <w:color w:val="auto"/>
              </w:rPr>
            </w:pPr>
            <w:r>
              <w:rPr>
                <w:rFonts w:ascii="Arial" w:cs="Arial" w:eastAsia="Arial" w:hAnsi="Arial"/>
                <w:sz w:val="18"/>
                <w:szCs w:val="18"/>
                <w:b w:val="1"/>
                <w:bCs w:val="1"/>
                <w:color w:val="auto"/>
              </w:rPr>
              <w:t>or Programs</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Programs</w:t>
            </w:r>
          </w:p>
        </w:tc>
      </w:tr>
      <w:tr>
        <w:trPr>
          <w:trHeight w:val="222"/>
        </w:trPr>
        <w:tc>
          <w:tcPr>
            <w:tcW w:w="1080" w:type="dxa"/>
            <w:vAlign w:val="bottom"/>
          </w:tcPr>
          <w:p>
            <w:pPr>
              <w:spacing w:after="0"/>
              <w:rPr>
                <w:sz w:val="19"/>
                <w:szCs w:val="19"/>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January 1, 2016 through</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January 31, 2016</w:t>
            </w:r>
          </w:p>
        </w:tc>
        <w:tc>
          <w:tcPr>
            <w:tcW w:w="1520" w:type="dxa"/>
            <w:vAlign w:val="bottom"/>
          </w:tcPr>
          <w:p>
            <w:pPr>
              <w:jc w:val="right"/>
              <w:spacing w:after="0"/>
              <w:rPr>
                <w:sz w:val="20"/>
                <w:szCs w:val="20"/>
                <w:color w:val="auto"/>
              </w:rPr>
            </w:pPr>
            <w:r>
              <w:rPr>
                <w:rFonts w:ascii="Arial" w:cs="Arial" w:eastAsia="Arial" w:hAnsi="Arial"/>
                <w:sz w:val="18"/>
                <w:szCs w:val="18"/>
                <w:color w:val="auto"/>
              </w:rPr>
              <w:t>58,172</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58,172</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17,500,078</w:t>
            </w:r>
          </w:p>
        </w:tc>
      </w:tr>
      <w:tr>
        <w:trPr>
          <w:trHeight w:val="27"/>
        </w:trPr>
        <w:tc>
          <w:tcPr>
            <w:tcW w:w="10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1080" w:type="dxa"/>
            <w:vAlign w:val="bottom"/>
          </w:tcPr>
          <w:p>
            <w:pPr>
              <w:spacing w:after="0"/>
              <w:rPr>
                <w:sz w:val="19"/>
                <w:szCs w:val="19"/>
                <w:color w:val="auto"/>
              </w:rPr>
            </w:pP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February 1, 2016 through</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57"/>
        </w:trPr>
        <w:tc>
          <w:tcPr>
            <w:tcW w:w="1080" w:type="dxa"/>
            <w:vAlign w:val="bottom"/>
          </w:tcPr>
          <w:p>
            <w:pPr>
              <w:spacing w:after="0"/>
              <w:rPr>
                <w:sz w:val="22"/>
                <w:szCs w:val="22"/>
                <w:color w:val="auto"/>
              </w:rPr>
            </w:pPr>
          </w:p>
        </w:tc>
        <w:tc>
          <w:tcPr>
            <w:tcW w:w="2360" w:type="dxa"/>
            <w:vAlign w:val="bottom"/>
            <w:gridSpan w:val="3"/>
            <w:shd w:val="clear" w:color="auto" w:fill="CCEEFF"/>
          </w:tcPr>
          <w:p>
            <w:pPr>
              <w:ind w:left="20"/>
              <w:spacing w:after="0" w:line="257" w:lineRule="exact"/>
              <w:rPr>
                <w:sz w:val="20"/>
                <w:szCs w:val="20"/>
                <w:color w:val="auto"/>
              </w:rPr>
            </w:pPr>
            <w:r>
              <w:rPr>
                <w:rFonts w:ascii="Arial" w:cs="Arial" w:eastAsia="Arial" w:hAnsi="Arial"/>
                <w:sz w:val="18"/>
                <w:szCs w:val="18"/>
                <w:color w:val="auto"/>
              </w:rPr>
              <w:t>February 29, 2016</w:t>
            </w:r>
            <w:r>
              <w:rPr>
                <w:rFonts w:ascii="Arial" w:cs="Arial" w:eastAsia="Arial" w:hAnsi="Arial"/>
                <w:sz w:val="25"/>
                <w:szCs w:val="25"/>
                <w:color w:val="auto"/>
                <w:vertAlign w:val="superscript"/>
              </w:rPr>
              <w:t>(2)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63,484</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48,936</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15,322,647</w:t>
            </w:r>
          </w:p>
        </w:tc>
      </w:tr>
      <w:tr>
        <w:trPr>
          <w:trHeight w:val="229"/>
        </w:trPr>
        <w:tc>
          <w:tcPr>
            <w:tcW w:w="1080" w:type="dxa"/>
            <w:vAlign w:val="bottom"/>
          </w:tcPr>
          <w:p>
            <w:pPr>
              <w:spacing w:after="0"/>
              <w:rPr>
                <w:sz w:val="19"/>
                <w:szCs w:val="19"/>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w w:val="98"/>
              </w:rPr>
              <w:t>March 1, 2016 through March</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31, 2016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31,530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31,530</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13,797,601</w:t>
            </w:r>
          </w:p>
        </w:tc>
      </w:tr>
      <w:tr>
        <w:trPr>
          <w:trHeight w:val="27"/>
        </w:trPr>
        <w:tc>
          <w:tcPr>
            <w:tcW w:w="10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1080" w:type="dxa"/>
            <w:vAlign w:val="bottom"/>
          </w:tcPr>
          <w:p>
            <w:pPr>
              <w:spacing w:after="0"/>
              <w:rPr>
                <w:sz w:val="22"/>
                <w:szCs w:val="22"/>
                <w:color w:val="auto"/>
              </w:rPr>
            </w:pPr>
          </w:p>
        </w:tc>
        <w:tc>
          <w:tcPr>
            <w:tcW w:w="2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153,186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138,638</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8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02" w:lineRule="exact"/>
        <w:rPr>
          <w:sz w:val="20"/>
          <w:szCs w:val="20"/>
          <w:color w:val="auto"/>
        </w:rPr>
      </w:pPr>
    </w:p>
    <w:p>
      <w:pPr>
        <w:ind w:right="520" w:firstLine="440"/>
        <w:spacing w:after="0" w:line="277"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shares purchased under the 2014 Repurchase Program. See Note 9 to our unaudited consolidated financial statements for further information.</w:t>
      </w:r>
    </w:p>
    <w:p>
      <w:pPr>
        <w:spacing w:after="0" w:line="170" w:lineRule="exact"/>
        <w:rPr>
          <w:rFonts w:ascii="Arial" w:cs="Arial" w:eastAsia="Arial" w:hAnsi="Arial"/>
          <w:sz w:val="18"/>
          <w:szCs w:val="18"/>
          <w:color w:val="auto"/>
        </w:rPr>
      </w:pPr>
    </w:p>
    <w:p>
      <w:pPr>
        <w:ind w:firstLine="440"/>
        <w:spacing w:after="0" w:line="264"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14,548 shares of Company’s common stock acquired in connection with satisfaction of tax withholding obligations on vested restricted stock acquired at the average of the high and low price of common stock on the trading day prior to the vesting date of the shares of restricted stock (average price paid per share was 44.83).</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Exhibit Index immediately following the signature page hereto,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337"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Arial" w:cs="Arial" w:eastAsia="Arial" w:hAnsi="Arial"/>
                <w:sz w:val="18"/>
                <w:szCs w:val="18"/>
                <w:color w:val="auto"/>
              </w:rPr>
              <w:t>Date: April 28, 2016</w:t>
            </w:r>
          </w:p>
        </w:tc>
        <w:tc>
          <w:tcPr>
            <w:tcW w:w="8120" w:type="dxa"/>
            <w:vAlign w:val="bottom"/>
            <w:gridSpan w:val="2"/>
          </w:tcPr>
          <w:p>
            <w:pPr>
              <w:ind w:left="1760"/>
              <w:spacing w:after="0"/>
              <w:rPr>
                <w:sz w:val="20"/>
                <w:szCs w:val="20"/>
                <w:color w:val="auto"/>
              </w:rPr>
            </w:pPr>
            <w:r>
              <w:rPr>
                <w:rFonts w:ascii="Arial" w:cs="Arial" w:eastAsia="Arial" w:hAnsi="Arial"/>
                <w:sz w:val="18"/>
                <w:szCs w:val="18"/>
                <w:b w:val="1"/>
                <w:bCs w:val="1"/>
                <w:color w:val="auto"/>
              </w:rPr>
              <w:t>EXLSERVICE HOLDINGS, INC.</w:t>
            </w:r>
          </w:p>
        </w:tc>
      </w:tr>
      <w:tr>
        <w:trPr>
          <w:trHeight w:val="594"/>
        </w:trPr>
        <w:tc>
          <w:tcPr>
            <w:tcW w:w="3240" w:type="dxa"/>
            <w:vAlign w:val="bottom"/>
          </w:tcPr>
          <w:p>
            <w:pPr>
              <w:spacing w:after="0"/>
              <w:rPr>
                <w:sz w:val="24"/>
                <w:szCs w:val="24"/>
                <w:color w:val="auto"/>
              </w:rPr>
            </w:pPr>
          </w:p>
        </w:tc>
        <w:tc>
          <w:tcPr>
            <w:tcW w:w="8120" w:type="dxa"/>
            <w:vAlign w:val="bottom"/>
            <w:gridSpan w:val="2"/>
          </w:tcPr>
          <w:p>
            <w:pPr>
              <w:ind w:left="1760"/>
              <w:spacing w:after="0"/>
              <w:rPr>
                <w:sz w:val="20"/>
                <w:szCs w:val="20"/>
                <w:color w:val="auto"/>
              </w:rPr>
            </w:pPr>
            <w:r>
              <w:rPr>
                <w:rFonts w:ascii="Arial" w:cs="Arial" w:eastAsia="Arial" w:hAnsi="Arial"/>
                <w:sz w:val="18"/>
                <w:szCs w:val="18"/>
                <w:color w:val="auto"/>
              </w:rPr>
              <w:t>By:/</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7"/>
        </w:trPr>
        <w:tc>
          <w:tcPr>
            <w:tcW w:w="3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6"/>
        </w:trPr>
        <w:tc>
          <w:tcPr>
            <w:tcW w:w="3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Vishal Chhibbar</w:t>
            </w:r>
          </w:p>
        </w:tc>
      </w:tr>
      <w:tr>
        <w:trPr>
          <w:trHeight w:val="149"/>
        </w:trPr>
        <w:tc>
          <w:tcPr>
            <w:tcW w:w="32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r>
        <w:trPr>
          <w:trHeight w:val="687"/>
        </w:trPr>
        <w:tc>
          <w:tcPr>
            <w:tcW w:w="3240" w:type="dxa"/>
            <w:vAlign w:val="bottom"/>
          </w:tcPr>
          <w:p>
            <w:pPr>
              <w:spacing w:after="0"/>
              <w:rPr>
                <w:sz w:val="24"/>
                <w:szCs w:val="24"/>
                <w:color w:val="auto"/>
              </w:rPr>
            </w:pPr>
          </w:p>
        </w:tc>
        <w:tc>
          <w:tcPr>
            <w:tcW w:w="8120" w:type="dxa"/>
            <w:vAlign w:val="bottom"/>
            <w:gridSpan w:val="2"/>
          </w:tcPr>
          <w:p>
            <w:pPr>
              <w:ind w:left="234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00"/>
          </w:cols>
          <w:pgMar w:left="240" w:top="337"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360" w:type="dxa"/>
            <w:vAlign w:val="bottom"/>
          </w:tcPr>
          <w:p>
            <w:pPr>
              <w:jc w:val="right"/>
              <w:ind w:right="505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11280" w:type="dxa"/>
            <w:vAlign w:val="bottom"/>
            <w:gridSpan w:val="2"/>
          </w:tcPr>
          <w:p>
            <w:pPr>
              <w:jc w:val="right"/>
              <w:ind w:right="5050"/>
              <w:spacing w:after="0"/>
              <w:rPr>
                <w:sz w:val="20"/>
                <w:szCs w:val="20"/>
                <w:color w:val="auto"/>
              </w:rPr>
            </w:pPr>
            <w:r>
              <w:rPr>
                <w:rFonts w:ascii="Arial" w:cs="Arial" w:eastAsia="Arial" w:hAnsi="Arial"/>
                <w:sz w:val="18"/>
                <w:szCs w:val="18"/>
                <w:color w:val="auto"/>
                <w:w w:val="92"/>
              </w:rPr>
              <w:t>The following exhibits are being filed as part of this Quarterly Report on Form 10-Q:</w:t>
            </w:r>
          </w:p>
        </w:tc>
        <w:tc>
          <w:tcPr>
            <w:tcW w:w="0" w:type="dxa"/>
            <w:vAlign w:val="bottom"/>
          </w:tcPr>
          <w:p>
            <w:pPr>
              <w:spacing w:after="0"/>
              <w:rPr>
                <w:sz w:val="1"/>
                <w:szCs w:val="1"/>
                <w:color w:val="auto"/>
              </w:rPr>
            </w:pPr>
          </w:p>
        </w:tc>
      </w:tr>
      <w:tr>
        <w:trPr>
          <w:trHeight w:val="500"/>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0360" w:type="dxa"/>
            <w:vAlign w:val="bottom"/>
          </w:tcPr>
          <w:p>
            <w:pPr>
              <w:ind w:left="140"/>
              <w:spacing w:after="0"/>
              <w:rPr>
                <w:sz w:val="20"/>
                <w:szCs w:val="20"/>
                <w:color w:val="auto"/>
              </w:rPr>
            </w:pPr>
            <w:r>
              <w:rPr>
                <w:rFonts w:ascii="Arial" w:cs="Arial" w:eastAsia="Arial" w:hAnsi="Arial"/>
                <w:sz w:val="18"/>
                <w:szCs w:val="18"/>
                <w:color w:val="auto"/>
              </w:rPr>
              <w:t>Employment Agreement, dated as of September 15, 2014, between ExlService Holdings, Inc. and Nalin Kumar Miglani.</w:t>
            </w:r>
          </w:p>
        </w:tc>
        <w:tc>
          <w:tcPr>
            <w:tcW w:w="0" w:type="dxa"/>
            <w:vAlign w:val="bottom"/>
          </w:tcPr>
          <w:p>
            <w:pPr>
              <w:spacing w:after="0"/>
              <w:rPr>
                <w:sz w:val="1"/>
                <w:szCs w:val="1"/>
                <w:color w:val="auto"/>
              </w:rPr>
            </w:pPr>
          </w:p>
        </w:tc>
      </w:tr>
      <w:tr>
        <w:trPr>
          <w:trHeight w:val="608"/>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10360" w:type="dxa"/>
            <w:vAlign w:val="bottom"/>
          </w:tcPr>
          <w:p>
            <w:pPr>
              <w:ind w:left="140"/>
              <w:spacing w:after="0"/>
              <w:rPr>
                <w:sz w:val="20"/>
                <w:szCs w:val="20"/>
                <w:color w:val="auto"/>
              </w:rPr>
            </w:pPr>
            <w:r>
              <w:rPr>
                <w:rFonts w:ascii="Arial" w:cs="Arial" w:eastAsia="Arial" w:hAnsi="Arial"/>
                <w:sz w:val="18"/>
                <w:szCs w:val="18"/>
                <w:color w:val="auto"/>
              </w:rPr>
              <w:t>Employment Agreement, dated as of October 1, 2014 between ExlService Holdings, Inc. and Henry N. Schweppe.</w:t>
            </w:r>
          </w:p>
        </w:tc>
        <w:tc>
          <w:tcPr>
            <w:tcW w:w="0" w:type="dxa"/>
            <w:vAlign w:val="bottom"/>
          </w:tcPr>
          <w:p>
            <w:pPr>
              <w:spacing w:after="0"/>
              <w:rPr>
                <w:sz w:val="1"/>
                <w:szCs w:val="1"/>
                <w:color w:val="auto"/>
              </w:rPr>
            </w:pPr>
          </w:p>
        </w:tc>
      </w:tr>
      <w:tr>
        <w:trPr>
          <w:trHeight w:val="608"/>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10360" w:type="dxa"/>
            <w:vAlign w:val="bottom"/>
          </w:tcPr>
          <w:p>
            <w:pPr>
              <w:ind w:left="140"/>
              <w:spacing w:after="0"/>
              <w:rPr>
                <w:sz w:val="20"/>
                <w:szCs w:val="20"/>
                <w:color w:val="auto"/>
              </w:rPr>
            </w:pPr>
            <w:r>
              <w:rPr>
                <w:rFonts w:ascii="Arial" w:cs="Arial" w:eastAsia="Arial" w:hAnsi="Arial"/>
                <w:sz w:val="18"/>
                <w:szCs w:val="18"/>
                <w:color w:val="auto"/>
              </w:rPr>
              <w:t>Employment Agreement, effective as of January 1, 2016, between ExlService Holdings, Inc. and Vishal Chhibbar.</w:t>
            </w:r>
          </w:p>
        </w:tc>
        <w:tc>
          <w:tcPr>
            <w:tcW w:w="0" w:type="dxa"/>
            <w:vAlign w:val="bottom"/>
          </w:tcPr>
          <w:p>
            <w:pPr>
              <w:spacing w:after="0"/>
              <w:rPr>
                <w:sz w:val="1"/>
                <w:szCs w:val="1"/>
                <w:color w:val="auto"/>
              </w:rPr>
            </w:pPr>
          </w:p>
        </w:tc>
      </w:tr>
      <w:tr>
        <w:trPr>
          <w:trHeight w:val="593"/>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0360" w:type="dxa"/>
            <w:vAlign w:val="bottom"/>
          </w:tcPr>
          <w:p>
            <w:pPr>
              <w:ind w:left="140"/>
              <w:spacing w:after="0"/>
              <w:rPr>
                <w:sz w:val="20"/>
                <w:szCs w:val="20"/>
                <w:color w:val="auto"/>
              </w:rPr>
            </w:pPr>
            <w:r>
              <w:rPr>
                <w:rFonts w:ascii="Arial" w:cs="Arial" w:eastAsia="Arial" w:hAnsi="Arial"/>
                <w:sz w:val="18"/>
                <w:szCs w:val="18"/>
                <w:color w:val="auto"/>
                <w:w w:val="92"/>
              </w:rPr>
              <w:t>Certification of the Chief Executive Officer of ExlService Holdings, pursuant to Rule 13a-14(a) of the Exchange Act,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0360" w:type="dxa"/>
            <w:vAlign w:val="bottom"/>
          </w:tcPr>
          <w:p>
            <w:pPr>
              <w:ind w:left="140"/>
              <w:spacing w:after="0"/>
              <w:rPr>
                <w:sz w:val="20"/>
                <w:szCs w:val="20"/>
                <w:color w:val="auto"/>
              </w:rPr>
            </w:pPr>
            <w:r>
              <w:rPr>
                <w:rFonts w:ascii="Arial" w:cs="Arial" w:eastAsia="Arial" w:hAnsi="Arial"/>
                <w:sz w:val="18"/>
                <w:szCs w:val="18"/>
                <w:color w:val="auto"/>
                <w:w w:val="92"/>
              </w:rPr>
              <w:t>Certification of the Chief Financial Officer of ExlService Holdings, pursuant to Rule 13a-14(a) of the Exchange Act, as adopted pursuant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0360" w:type="dxa"/>
            <w:vAlign w:val="bottom"/>
          </w:tcPr>
          <w:p>
            <w:pPr>
              <w:ind w:left="140"/>
              <w:spacing w:after="0"/>
              <w:rPr>
                <w:sz w:val="20"/>
                <w:szCs w:val="20"/>
                <w:color w:val="auto"/>
              </w:rPr>
            </w:pPr>
            <w:r>
              <w:rPr>
                <w:rFonts w:ascii="Arial" w:cs="Arial" w:eastAsia="Arial" w:hAnsi="Arial"/>
                <w:sz w:val="18"/>
                <w:szCs w:val="18"/>
                <w:color w:val="auto"/>
                <w:w w:val="90"/>
              </w:rPr>
              <w:t>Certification of the Chief Executive Officer pursuant to Rule 13a-14(b) of the Exchange Act and 18 U.S.C. Section 1350, as adopted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0360" w:type="dxa"/>
            <w:vAlign w:val="bottom"/>
          </w:tcPr>
          <w:p>
            <w:pPr>
              <w:ind w:left="14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360" w:type="dxa"/>
            <w:vAlign w:val="bottom"/>
          </w:tcPr>
          <w:p>
            <w:pPr>
              <w:ind w:left="140"/>
              <w:spacing w:after="0"/>
              <w:rPr>
                <w:sz w:val="20"/>
                <w:szCs w:val="20"/>
                <w:color w:val="auto"/>
              </w:rPr>
            </w:pPr>
            <w:r>
              <w:rPr>
                <w:rFonts w:ascii="Arial" w:cs="Arial" w:eastAsia="Arial" w:hAnsi="Arial"/>
                <w:sz w:val="18"/>
                <w:szCs w:val="18"/>
                <w:color w:val="auto"/>
              </w:rPr>
              <w:t>to Section 906 of the Sarbanes-Oxley Act of 2002.</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10360" w:type="dxa"/>
            <w:vAlign w:val="bottom"/>
          </w:tcPr>
          <w:p>
            <w:pPr>
              <w:ind w:left="140"/>
              <w:spacing w:after="0"/>
              <w:rPr>
                <w:sz w:val="20"/>
                <w:szCs w:val="20"/>
                <w:color w:val="auto"/>
              </w:rPr>
            </w:pPr>
            <w:r>
              <w:rPr>
                <w:rFonts w:ascii="Arial" w:cs="Arial" w:eastAsia="Arial" w:hAnsi="Arial"/>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10360" w:type="dxa"/>
            <w:vAlign w:val="bottom"/>
            <w:vMerge w:val="restart"/>
          </w:tcPr>
          <w:p>
            <w:pPr>
              <w:ind w:left="47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10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337"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62"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15, 2014 is entered into by and between ExlService Holdings, Inc., a company organized under the laws of Delaware (“</w:t>
      </w:r>
      <w:r>
        <w:rPr>
          <w:rFonts w:ascii="Arial" w:cs="Arial" w:eastAsia="Arial" w:hAnsi="Arial"/>
          <w:sz w:val="18"/>
          <w:szCs w:val="18"/>
          <w:u w:val="single" w:color="auto"/>
          <w:color w:val="auto"/>
        </w:rPr>
        <w:t>Holdings</w:t>
      </w:r>
      <w:r>
        <w:rPr>
          <w:rFonts w:ascii="Arial" w:cs="Arial" w:eastAsia="Arial" w:hAnsi="Arial"/>
          <w:sz w:val="18"/>
          <w:szCs w:val="18"/>
          <w:color w:val="auto"/>
        </w:rPr>
        <w:t>”) (together with ExlService.com, Inc. (“</w:t>
      </w:r>
      <w:r>
        <w:rPr>
          <w:rFonts w:ascii="Arial" w:cs="Arial" w:eastAsia="Arial" w:hAnsi="Arial"/>
          <w:sz w:val="18"/>
          <w:szCs w:val="18"/>
          <w:u w:val="single" w:color="auto"/>
          <w:color w:val="auto"/>
        </w:rPr>
        <w:t>ExlService</w:t>
      </w:r>
      <w:r>
        <w:rPr>
          <w:rFonts w:ascii="Arial" w:cs="Arial" w:eastAsia="Arial" w:hAnsi="Arial"/>
          <w:sz w:val="18"/>
          <w:szCs w:val="18"/>
          <w:color w:val="auto"/>
        </w:rPr>
        <w:t>”), the “</w:t>
      </w:r>
      <w:r>
        <w:rPr>
          <w:rFonts w:ascii="Arial" w:cs="Arial" w:eastAsia="Arial" w:hAnsi="Arial"/>
          <w:sz w:val="18"/>
          <w:szCs w:val="18"/>
          <w:u w:val="single" w:color="auto"/>
          <w:color w:val="auto"/>
        </w:rPr>
        <w:t>Company</w:t>
      </w:r>
      <w:r>
        <w:rPr>
          <w:rFonts w:ascii="Arial" w:cs="Arial" w:eastAsia="Arial" w:hAnsi="Arial"/>
          <w:sz w:val="18"/>
          <w:szCs w:val="18"/>
          <w:color w:val="auto"/>
        </w:rPr>
        <w:t>”), and Nalin Kumar Miglani (“</w:t>
      </w:r>
      <w:r>
        <w:rPr>
          <w:rFonts w:ascii="Arial" w:cs="Arial" w:eastAsia="Arial" w:hAnsi="Arial"/>
          <w:sz w:val="18"/>
          <w:szCs w:val="18"/>
          <w:u w:val="single" w:color="auto"/>
          <w:color w:val="auto"/>
        </w:rPr>
        <w:t>Executive</w:t>
      </w:r>
      <w:r>
        <w:rPr>
          <w:rFonts w:ascii="Arial" w:cs="Arial" w:eastAsia="Arial" w:hAnsi="Arial"/>
          <w:sz w:val="18"/>
          <w:szCs w:val="18"/>
          <w:color w:val="auto"/>
        </w:rPr>
        <w:t>” or “You”).</w:t>
      </w:r>
    </w:p>
    <w:p>
      <w:pPr>
        <w:spacing w:after="0" w:line="16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WHEREAS, Executive has offered to serve the Company, and the Company desires to employ Executive, subject to the terms and conditions set forth herein.</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NOW, THEREFORE, in consideration of the mutual agreements, provisions and covenants contained herein, and intending to be legally bound hereby, the parties hereto agree as set forth below:</w:t>
      </w:r>
    </w:p>
    <w:p>
      <w:pPr>
        <w:spacing w:after="0" w:line="211" w:lineRule="exact"/>
        <w:rPr>
          <w:sz w:val="20"/>
          <w:szCs w:val="20"/>
          <w:color w:val="auto"/>
        </w:rPr>
      </w:pPr>
    </w:p>
    <w:p>
      <w:pPr>
        <w:jc w:val="both"/>
        <w:ind w:firstLine="1305"/>
        <w:spacing w:after="0" w:line="353" w:lineRule="auto"/>
        <w:tabs>
          <w:tab w:leader="none" w:pos="224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 Effectiveness.</w:t>
      </w:r>
      <w:r>
        <w:rPr>
          <w:rFonts w:ascii="Arial" w:cs="Arial" w:eastAsia="Arial" w:hAnsi="Arial"/>
          <w:sz w:val="18"/>
          <w:szCs w:val="18"/>
          <w:color w:val="auto"/>
        </w:rPr>
        <w:t xml:space="preserve"> (a) The term of Executive’s employment under this Agreement shall commence as of the later of December 1, 2014 or the Executive’s first day of active employment with the Company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continue until Executive’s employment under this Agreement is terminated pursuant to the provisions of Section 5 hereof. The period of time from the Effective Date through the termination of Executive’s employment hereunder is herein referred to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60" w:lineRule="exact"/>
        <w:rPr>
          <w:sz w:val="20"/>
          <w:szCs w:val="20"/>
          <w:color w:val="auto"/>
        </w:rPr>
      </w:pPr>
    </w:p>
    <w:p>
      <w:pPr>
        <w:jc w:val="both"/>
        <w:ind w:firstLine="1305"/>
        <w:spacing w:after="0" w:line="295" w:lineRule="auto"/>
        <w:tabs>
          <w:tab w:leader="none" w:pos="16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agrees and acknowledges that Executive is an at-will employee and the Company has no obligation to maintain the Term or to continue Executive’s employment hereunder for any specific period of time, and Executive expressly acknowledges that no promises or understandings to the contrary have been made or reached.</w:t>
      </w:r>
    </w:p>
    <w:p>
      <w:pPr>
        <w:spacing w:after="0" w:line="182" w:lineRule="exact"/>
        <w:rPr>
          <w:rFonts w:ascii="Arial" w:cs="Arial" w:eastAsia="Arial" w:hAnsi="Arial"/>
          <w:sz w:val="18"/>
          <w:szCs w:val="18"/>
          <w:color w:val="auto"/>
        </w:rPr>
      </w:pPr>
    </w:p>
    <w:p>
      <w:pPr>
        <w:ind w:left="1680" w:hanging="375"/>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Agreement shall be binding upon the parties upon the execution hereof.</w:t>
      </w:r>
    </w:p>
    <w:p>
      <w:pPr>
        <w:spacing w:after="0" w:line="279" w:lineRule="exact"/>
        <w:rPr>
          <w:sz w:val="20"/>
          <w:szCs w:val="20"/>
          <w:color w:val="auto"/>
        </w:rPr>
      </w:pPr>
    </w:p>
    <w:p>
      <w:pPr>
        <w:ind w:left="2240" w:hanging="935"/>
        <w:spacing w:after="0"/>
        <w:tabs>
          <w:tab w:leader="none" w:pos="224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this Agreement, the following terms, as used herein, shall have the definitions set forth below.</w:t>
      </w:r>
    </w:p>
    <w:p>
      <w:pPr>
        <w:spacing w:after="0" w:line="291" w:lineRule="exact"/>
        <w:rPr>
          <w:sz w:val="20"/>
          <w:szCs w:val="20"/>
          <w:color w:val="auto"/>
        </w:rPr>
      </w:pPr>
    </w:p>
    <w:p>
      <w:pPr>
        <w:jc w:val="both"/>
        <w:ind w:firstLine="1305"/>
        <w:spacing w:after="0" w:line="295" w:lineRule="auto"/>
        <w:tabs>
          <w:tab w:leader="none" w:pos="18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 provided that, in any event, any business in which the Company has any direct or indirect ownership interest shall be treated as an Affiliate of the Company.</w:t>
      </w:r>
    </w:p>
    <w:p>
      <w:pPr>
        <w:spacing w:after="0" w:line="182" w:lineRule="exact"/>
        <w:rPr>
          <w:rFonts w:ascii="Arial" w:cs="Arial" w:eastAsia="Arial" w:hAnsi="Arial"/>
          <w:sz w:val="18"/>
          <w:szCs w:val="18"/>
          <w:color w:val="auto"/>
        </w:rPr>
      </w:pPr>
    </w:p>
    <w:p>
      <w:pPr>
        <w:ind w:right="20" w:firstLine="1305"/>
        <w:spacing w:after="0" w:line="309" w:lineRule="auto"/>
        <w:tabs>
          <w:tab w:leader="none" w:pos="17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69" w:lineRule="exact"/>
        <w:rPr>
          <w:rFonts w:ascii="Arial" w:cs="Arial" w:eastAsia="Arial" w:hAnsi="Arial"/>
          <w:sz w:val="18"/>
          <w:szCs w:val="18"/>
          <w:color w:val="auto"/>
        </w:rPr>
      </w:pPr>
    </w:p>
    <w:p>
      <w:pPr>
        <w:ind w:firstLine="1305"/>
        <w:spacing w:after="0" w:line="309" w:lineRule="auto"/>
        <w:tabs>
          <w:tab w:leader="none" w:pos="18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firm, joint venture, association, joint-stock company, trust, unincorporated organization, governmental or regulatory body or other entity.</w:t>
      </w:r>
    </w:p>
    <w:p>
      <w:pPr>
        <w:spacing w:after="0" w:line="169" w:lineRule="exact"/>
        <w:rPr>
          <w:rFonts w:ascii="Arial" w:cs="Arial" w:eastAsia="Arial" w:hAnsi="Arial"/>
          <w:sz w:val="18"/>
          <w:szCs w:val="18"/>
          <w:color w:val="auto"/>
        </w:rPr>
      </w:pPr>
    </w:p>
    <w:p>
      <w:pPr>
        <w:jc w:val="both"/>
        <w:ind w:firstLine="1305"/>
        <w:spacing w:after="0" w:line="290" w:lineRule="auto"/>
        <w:tabs>
          <w:tab w:leader="none" w:pos="16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(i) any corporation of which at least a majority of the voting power with respect to the capital stock is owned, directly or indirectly, by such Person, any of its other Subsidiaries or any combination thereof or (ii) any Person other than a corporation in which such Person, any of its other Subsidiaries or any combination thereof has, directly or indirectly, at least a majority of the total equity or other ownership interest therein.</w:t>
      </w:r>
    </w:p>
    <w:p>
      <w:pPr>
        <w:spacing w:after="0" w:line="215" w:lineRule="exact"/>
        <w:rPr>
          <w:sz w:val="20"/>
          <w:szCs w:val="20"/>
          <w:color w:val="auto"/>
        </w:rPr>
      </w:pPr>
    </w:p>
    <w:p>
      <w:pPr>
        <w:ind w:right="40" w:firstLine="1305"/>
        <w:spacing w:after="0" w:line="386" w:lineRule="auto"/>
        <w:tabs>
          <w:tab w:leader="none" w:pos="224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Duties and Responsibilities.</w:t>
      </w:r>
      <w:r>
        <w:rPr>
          <w:rFonts w:ascii="Arial" w:cs="Arial" w:eastAsia="Arial" w:hAnsi="Arial"/>
          <w:sz w:val="17"/>
          <w:szCs w:val="17"/>
          <w:color w:val="auto"/>
        </w:rPr>
        <w:t xml:space="preserve"> (a) Executive agrees to be employed by the Company and be actively engaged on a full-time basis in the business and activities of the Company and its Affiliates for the entirety of the Term, and, subject to Section 3(c), to devote substantially all of Executive’s working time and attention to the Company and its Affiliates and the promotion of its business and interests and the performance of</w:t>
      </w:r>
    </w:p>
    <w:p>
      <w:pPr>
        <w:sectPr>
          <w:pgSz w:w="11900" w:h="16838" w:orient="portrait"/>
          <w:cols w:equalWidth="0" w:num="1">
            <w:col w:w="11420"/>
          </w:cols>
          <w:pgMar w:left="240" w:top="13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97" w:lineRule="exact"/>
        <w:rPr>
          <w:sz w:val="20"/>
          <w:szCs w:val="20"/>
          <w:color w:val="auto"/>
        </w:rPr>
      </w:pPr>
    </w:p>
    <w:p>
      <w:pPr>
        <w:ind w:right="80"/>
        <w:spacing w:after="0" w:line="371" w:lineRule="auto"/>
        <w:rPr>
          <w:sz w:val="20"/>
          <w:szCs w:val="20"/>
          <w:color w:val="auto"/>
        </w:rPr>
      </w:pPr>
      <w:r>
        <w:rPr>
          <w:rFonts w:ascii="Arial" w:cs="Arial" w:eastAsia="Arial" w:hAnsi="Arial"/>
          <w:sz w:val="17"/>
          <w:szCs w:val="17"/>
          <w:color w:val="auto"/>
        </w:rPr>
        <w:t>Executive’s duties and responsibilities hereunder. During the Term, Executive agrees to use his reasonable best efforts to ensure that the business and activities of the Company and its Subsidiaries, that are under his direction, are conducted in accordance with the Company’s practices and/or applicable laws, rules and regulations in all material respects and as such are interpreted by the Company’s law department and compliance professionals. Executive shall be employed hereunder as Executive Vice President Global Head of Human Resources, or such other title as agreed to between Executive and the Chief Executive Officer of Holdings with such duties and responsibilities customary for companies of comparable size to the Company in the Company’s industry and commensurate with Executive’s status and position hereunder and as directed from time to time by the Chief Executive Officer of Holdings. Executive shall report directly to the Chief Executive Officer of Holdings.</w:t>
      </w:r>
    </w:p>
    <w:p>
      <w:pPr>
        <w:spacing w:after="0" w:line="154" w:lineRule="exact"/>
        <w:rPr>
          <w:sz w:val="20"/>
          <w:szCs w:val="20"/>
          <w:color w:val="auto"/>
        </w:rPr>
      </w:pPr>
    </w:p>
    <w:p>
      <w:pPr>
        <w:ind w:left="1700" w:hanging="395"/>
        <w:spacing w:after="0"/>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Term, Executive will be available to carry out his duties as Executive Vice President Global Head of Human Resources.</w:t>
      </w:r>
    </w:p>
    <w:p>
      <w:pPr>
        <w:spacing w:after="0" w:line="275" w:lineRule="exact"/>
        <w:rPr>
          <w:rFonts w:ascii="Arial" w:cs="Arial" w:eastAsia="Arial" w:hAnsi="Arial"/>
          <w:sz w:val="16"/>
          <w:szCs w:val="16"/>
          <w:color w:val="auto"/>
        </w:rPr>
      </w:pPr>
    </w:p>
    <w:p>
      <w:pPr>
        <w:jc w:val="both"/>
        <w:ind w:firstLine="1305"/>
        <w:spacing w:after="0" w:line="304" w:lineRule="auto"/>
        <w:tabs>
          <w:tab w:leader="none" w:pos="17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the Term, Executive shall use Executive’s reasonable best efforts to faithfully and diligently serve the Company and shall not act in any capacity that is in conflict with Executive’s duties and responsibilities hereunder. For the avoidance of doubt, during the Term, Executive shall not be permitted to become employed by, engaged in or to render services for any Person other than the Company and its Affiliates, shall not be permitted to be a member of the board of directors of any Person (other than charitable or nonprofit organizations), in any case without the consent of the Board of Directors of Holdings (the “</w:t>
      </w:r>
      <w:r>
        <w:rPr>
          <w:rFonts w:ascii="Arial" w:cs="Arial" w:eastAsia="Arial" w:hAnsi="Arial"/>
          <w:sz w:val="17"/>
          <w:szCs w:val="17"/>
          <w:u w:val="single" w:color="auto"/>
          <w:color w:val="auto"/>
        </w:rPr>
        <w:t>Board</w:t>
      </w:r>
      <w:r>
        <w:rPr>
          <w:rFonts w:ascii="Arial" w:cs="Arial" w:eastAsia="Arial" w:hAnsi="Arial"/>
          <w:sz w:val="17"/>
          <w:szCs w:val="17"/>
          <w:color w:val="auto"/>
        </w:rPr>
        <w:t>”), and shall not be directly or indirectly materially engaged, or concerned or interested in any business activity, trade or occupation (other than employment with the Company and its Affiliates as contemplated by the Agreement); provided that nothing herein shall preclude Executive from engaging in charitable or community affairs and managing his personal investments to the extent that such other activities do not inhibit or, subject to Section 7, conflict in any material way with the performance of Executive’s duties hereunder.</w:t>
      </w:r>
    </w:p>
    <w:p>
      <w:pPr>
        <w:spacing w:after="0" w:line="207" w:lineRule="exact"/>
        <w:rPr>
          <w:sz w:val="20"/>
          <w:szCs w:val="20"/>
          <w:color w:val="auto"/>
        </w:rPr>
      </w:pPr>
    </w:p>
    <w:p>
      <w:pPr>
        <w:jc w:val="both"/>
        <w:ind w:firstLine="1305"/>
        <w:spacing w:after="0" w:line="353" w:lineRule="auto"/>
        <w:tabs>
          <w:tab w:leader="none" w:pos="224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Base Compensation.</w:t>
      </w:r>
      <w:r>
        <w:rPr>
          <w:rFonts w:ascii="Arial" w:cs="Arial" w:eastAsia="Arial" w:hAnsi="Arial"/>
          <w:sz w:val="18"/>
          <w:szCs w:val="18"/>
          <w:color w:val="auto"/>
        </w:rPr>
        <w:t xml:space="preserve"> During the Term, for all services rendered under this Agreement, Executive shall receive an aggregate annual base salary (“</w:t>
      </w:r>
      <w:r>
        <w:rPr>
          <w:rFonts w:ascii="Arial" w:cs="Arial" w:eastAsia="Arial" w:hAnsi="Arial"/>
          <w:sz w:val="18"/>
          <w:szCs w:val="18"/>
          <w:u w:val="single" w:color="auto"/>
          <w:color w:val="auto"/>
        </w:rPr>
        <w:t>Base Salary</w:t>
      </w:r>
      <w:r>
        <w:rPr>
          <w:rFonts w:ascii="Arial" w:cs="Arial" w:eastAsia="Arial" w:hAnsi="Arial"/>
          <w:sz w:val="18"/>
          <w:szCs w:val="18"/>
          <w:color w:val="auto"/>
        </w:rPr>
        <w:t>”) at a rate of $400,000 per annum, payable in accordance with the Company’s applicable payroll practices. The Base Salary shall be reviewed no less frequently than annually during the Term for increase, if any, in the sole discretion of the Compensation Committee of the Board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w:t>
      </w:r>
    </w:p>
    <w:p>
      <w:pPr>
        <w:spacing w:after="0" w:line="160" w:lineRule="exact"/>
        <w:rPr>
          <w:sz w:val="20"/>
          <w:szCs w:val="20"/>
          <w:color w:val="auto"/>
        </w:rPr>
      </w:pPr>
    </w:p>
    <w:p>
      <w:pPr>
        <w:ind w:firstLine="1305"/>
        <w:spacing w:after="0" w:line="286" w:lineRule="auto"/>
        <w:tabs>
          <w:tab w:leader="none" w:pos="168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During the Term, Executive shall have the opportunity to earn an annual target bonus equivalent to 60% of Executive’s Base Salary at target, with a maximum payment of no greater than 150% of Executive’s Base Salary (the “</w:t>
      </w:r>
      <w:r>
        <w:rPr>
          <w:rFonts w:ascii="Arial" w:cs="Arial" w:eastAsia="Arial" w:hAnsi="Arial"/>
          <w:sz w:val="18"/>
          <w:szCs w:val="18"/>
          <w:u w:val="single" w:color="auto"/>
          <w:color w:val="auto"/>
        </w:rPr>
        <w:t>Annual Bonus</w:t>
      </w:r>
      <w:r>
        <w:rPr>
          <w:rFonts w:ascii="Arial" w:cs="Arial" w:eastAsia="Arial" w:hAnsi="Arial"/>
          <w:sz w:val="18"/>
          <w:szCs w:val="18"/>
          <w:color w:val="auto"/>
        </w:rPr>
        <w:t>”). The actual amount of the Annual Bonus earned by the Executive shall be determined in accordance with the terms of the Company’s executive bonus plan which is administered by the Compensation Committee. Any Annual Bonus due to the Executive shall be paid in March for the performance during the preceding fiscal year. Subject to the terms of the Company’s bonus policy as in effect from time to time, in order to receive an Annual Bonus, Executive must (A) be actively employed by the Company, (B) not be serving any notice period relating to the anticipated termination of the employment relationship and (C) be performing his duties in good faith on the date such Annual Bonus is paid.</w:t>
      </w:r>
    </w:p>
    <w:p>
      <w:pPr>
        <w:spacing w:after="0" w:line="191" w:lineRule="exact"/>
        <w:rPr>
          <w:rFonts w:ascii="Arial" w:cs="Arial" w:eastAsia="Arial" w:hAnsi="Arial"/>
          <w:sz w:val="18"/>
          <w:szCs w:val="18"/>
          <w:color w:val="auto"/>
        </w:rPr>
      </w:pPr>
    </w:p>
    <w:p>
      <w:pPr>
        <w:jc w:val="both"/>
        <w:ind w:firstLine="1305"/>
        <w:spacing w:after="0" w:line="288" w:lineRule="auto"/>
        <w:tabs>
          <w:tab w:leader="none" w:pos="170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Joining Bonus</w:t>
      </w:r>
      <w:r>
        <w:rPr>
          <w:rFonts w:ascii="Arial" w:cs="Arial" w:eastAsia="Arial" w:hAnsi="Arial"/>
          <w:sz w:val="18"/>
          <w:szCs w:val="18"/>
          <w:color w:val="auto"/>
        </w:rPr>
        <w:t>. Executive shall be entitled to receive a joining bonus of $200,000 (the “Joining Bonus”). The Joining Bonus shall be payable in two equal installments. The first $100,000 shall be due upon joining and will be paid no later than the first bi-monthly payroll cycle following the Effective Date. The second $100,000 shall be due in March 2015 and will be paid in the first payroll in March 2015. In the event that Executive’s employment is terminated within one year following the Effective Date (i) by Executive other than for Good Reason or (ii) by the Company for Cause, Executive shall and hereby does agree to repay the Company in full for the Joining Bonus.</w:t>
      </w:r>
    </w:p>
    <w:p>
      <w:pPr>
        <w:sectPr>
          <w:pgSz w:w="11900" w:h="16838" w:orient="portrait"/>
          <w:cols w:equalWidth="0" w:num="1">
            <w:col w:w="11420"/>
          </w:cols>
          <w:pgMar w:left="240" w:top="13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70" w:lineRule="exact"/>
        <w:rPr>
          <w:sz w:val="20"/>
          <w:szCs w:val="20"/>
          <w:color w:val="auto"/>
        </w:rPr>
      </w:pPr>
    </w:p>
    <w:p>
      <w:pPr>
        <w:ind w:left="1700" w:hanging="395"/>
        <w:spacing w:after="0"/>
        <w:tabs>
          <w:tab w:leader="none" w:pos="170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Bonus Performance Targets for 2015 and Beyond</w:t>
      </w:r>
      <w:r>
        <w:rPr>
          <w:rFonts w:ascii="Arial" w:cs="Arial" w:eastAsia="Arial" w:hAnsi="Arial"/>
          <w:sz w:val="16"/>
          <w:szCs w:val="16"/>
          <w:color w:val="auto"/>
        </w:rPr>
        <w:t>. In consideration of the signing bonus offered to the Executive described in Section</w:t>
      </w:r>
    </w:p>
    <w:p>
      <w:pPr>
        <w:spacing w:after="0" w:line="59" w:lineRule="exact"/>
        <w:rPr>
          <w:rFonts w:ascii="Arial" w:cs="Arial" w:eastAsia="Arial" w:hAnsi="Arial"/>
          <w:sz w:val="16"/>
          <w:szCs w:val="16"/>
          <w:color w:val="auto"/>
        </w:rPr>
      </w:pPr>
    </w:p>
    <w:p>
      <w:pPr>
        <w:jc w:val="both"/>
        <w:ind w:firstLine="8"/>
        <w:spacing w:after="0" w:line="295"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above, Executive acknowledges he is not entitled to any Annual Bonus for the fiscal year ending December 31, 2014. With respect to fiscal years ending after December 31, 2014, the Compensation Committee shall determine the Company-wide objectives and personal objectives in its sole discretion upon which the Annual Bonus shall be based.</w:t>
      </w:r>
    </w:p>
    <w:p>
      <w:pPr>
        <w:spacing w:after="0" w:line="182" w:lineRule="exact"/>
        <w:rPr>
          <w:rFonts w:ascii="Arial" w:cs="Arial" w:eastAsia="Arial" w:hAnsi="Arial"/>
          <w:sz w:val="18"/>
          <w:szCs w:val="18"/>
          <w:color w:val="auto"/>
        </w:rPr>
      </w:pPr>
    </w:p>
    <w:p>
      <w:pPr>
        <w:jc w:val="both"/>
        <w:ind w:firstLine="1305"/>
        <w:spacing w:after="0" w:line="302" w:lineRule="auto"/>
        <w:tabs>
          <w:tab w:leader="none" w:pos="1798"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Equity Incentive Awards</w:t>
      </w:r>
      <w:r>
        <w:rPr>
          <w:rFonts w:ascii="Arial" w:cs="Arial" w:eastAsia="Arial" w:hAnsi="Arial"/>
          <w:sz w:val="17"/>
          <w:szCs w:val="17"/>
          <w:color w:val="auto"/>
        </w:rPr>
        <w:t>. Holdings will cause Executive to be granted Restricted Stock Units with respect to 20,000 shares of Holdings’ common stock (“RSUs”) which grant will be effected within five business days following the Effective Date (the “Initial Equity Grant”) and will be governed by the terms and conditions of the ExlService Holdings, Inc. 2006 Omnibus Award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 The terms and conditions of the Initial Equity Grant will be determined and approved by the Compensation Committee and shall be evidenced by an RSU award agreement consistent with the terms of the Plan. The Initial Equity Grant shall vest and become exercisable as to 10% of the RSUs on the first anniversary of the date of grant, 20% of the RSUs on the second anniversary of the date of grant, 30% of the RSUs on the third anniversary of the date of grant and 40% of the RSUs on the fourth anniversary of the date of grant. Beginning in 2015 and in years thereafter, Executive will also be eligible during the Term, subject to performance and other conditions considered by the Compensation Committee in its sole discretion, to receive an annual target equity award equivalent to 90% of Executive’s Base Salary. Annual equity grants may be allocated between performance based RSUs and time based vesting RSUs as determined by the Compensation Committee for each fiscal year. For the current fiscal year annual equity grants for senior management are comprised 50% of performance based RSUs and 50% of time based vesting RSUs which vest over four years in the manner set forth above. For the avoidance of doubt, the first such annual grant, if any, shall be made in 2015.</w:t>
      </w:r>
    </w:p>
    <w:p>
      <w:pPr>
        <w:spacing w:after="0" w:line="181" w:lineRule="exact"/>
        <w:rPr>
          <w:rFonts w:ascii="Arial" w:cs="Arial" w:eastAsia="Arial" w:hAnsi="Arial"/>
          <w:sz w:val="17"/>
          <w:szCs w:val="17"/>
          <w:color w:val="auto"/>
        </w:rPr>
      </w:pPr>
    </w:p>
    <w:p>
      <w:pPr>
        <w:jc w:val="both"/>
        <w:ind w:firstLine="1305"/>
        <w:spacing w:after="0" w:line="303" w:lineRule="auto"/>
        <w:tabs>
          <w:tab w:leader="none" w:pos="1670"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that a Change in Control (as defined in the Plan) occurs at a time when any portion of restricted stock units or a stock option granted to Executive remains unvested, then effective upon the consummation of the Change in Control, the vesting of the portion of the restricted stock units or stock option which is not then fully vested shall accelerate such that any portion of the restricted stock units or stock option which would have become vested during the one-year period following the Change in Control shall become vested effective as of the consummation of the Change in Control. In the event that (i) Executive’s employment with the Company is terminated without Cause (a) at any time following a Change in Control or (b) in specific contemplation of a Change in Control or (ii) Executive resigns with Good Reason at any time following a Change of Control, Executive shall, upon and subject to Executive’s execution of the release referenced in Section 5(c)(ii) below that has become effective in accordance with its terms, be entitled, in addition to the severance specified in Section 5(c)(i), to immediate full vesting as of the termination date of any portion of restricted stock units or a stock option which is unvested as of the termination date.</w:t>
      </w:r>
    </w:p>
    <w:p>
      <w:pPr>
        <w:spacing w:after="0" w:line="182" w:lineRule="exact"/>
        <w:rPr>
          <w:rFonts w:ascii="Arial" w:cs="Arial" w:eastAsia="Arial" w:hAnsi="Arial"/>
          <w:sz w:val="17"/>
          <w:szCs w:val="17"/>
          <w:color w:val="auto"/>
        </w:rPr>
      </w:pPr>
    </w:p>
    <w:p>
      <w:pPr>
        <w:ind w:left="1780" w:hanging="475"/>
        <w:spacing w:after="0"/>
        <w:tabs>
          <w:tab w:leader="none" w:pos="1780"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Relocation</w:t>
      </w:r>
      <w:r>
        <w:rPr>
          <w:rFonts w:ascii="Arial" w:cs="Arial" w:eastAsia="Arial" w:hAnsi="Arial"/>
          <w:sz w:val="17"/>
          <w:szCs w:val="17"/>
          <w:color w:val="auto"/>
        </w:rPr>
        <w:t>: Executive will be entitled to receive $100,000 in connection with his relocation to New York which shall be paid as</w:t>
      </w:r>
    </w:p>
    <w:p>
      <w:pPr>
        <w:spacing w:after="0" w:line="47" w:lineRule="exact"/>
        <w:rPr>
          <w:rFonts w:ascii="Arial" w:cs="Arial" w:eastAsia="Arial" w:hAnsi="Arial"/>
          <w:sz w:val="17"/>
          <w:szCs w:val="17"/>
          <w:color w:val="auto"/>
        </w:rPr>
      </w:pPr>
    </w:p>
    <w:p>
      <w:pPr>
        <w:jc w:val="both"/>
        <w:spacing w:after="0" w:line="285" w:lineRule="auto"/>
        <w:rPr>
          <w:rFonts w:ascii="Arial" w:cs="Arial" w:eastAsia="Arial" w:hAnsi="Arial"/>
          <w:sz w:val="17"/>
          <w:szCs w:val="17"/>
          <w:color w:val="auto"/>
        </w:rPr>
      </w:pPr>
      <w:r>
        <w:rPr>
          <w:rFonts w:ascii="Arial" w:cs="Arial" w:eastAsia="Arial" w:hAnsi="Arial"/>
          <w:sz w:val="18"/>
          <w:szCs w:val="18"/>
          <w:color w:val="auto"/>
        </w:rPr>
        <w:t>follows: Actual Relocation Expenses (as defined below) incurred shall be properly documented and submitted for reimbursement in accordance with the Company’s Travel and Expense Policy. If the amount of Executive’s actual Relocation Expenses incurred and reimbursed is less than $100,000, Executive shall be entitled to a lump sum payment equal to the difference between $100,000 and the amount of incurred and reimbursed Relocation Expenses. Any lump sum payment due to Executive shall be paid within 30 days following Executive notifying the Company in writing that he has submitted his final reimbursement request for Relocation Expenses. Relocation Expenses means those expenses actually incurred by You (i) for packing and transporting the furniture and contents of your primary residence to a residence near your principal office location which is in Manhattan, NY, (ii) the monthly rent or lease payment for any temporary housing You may use while searching for a permanent residence, (iii) storage of any furniture or personal belongings while You live in a temporary residence, (iv) air and ground transportation to the New York metropolitan area for You and your immediate family (spouse and children living at</w:t>
      </w:r>
    </w:p>
    <w:p>
      <w:pPr>
        <w:sectPr>
          <w:pgSz w:w="11900" w:h="16838" w:orient="portrait"/>
          <w:cols w:equalWidth="0" w:num="1">
            <w:col w:w="11420"/>
          </w:cols>
          <w:pgMar w:left="240" w:top="13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7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home), and (v) other reasonable relocation expenses consistent with the Company’s Travel and Expense Policy. Executive is solely responsible for any individual income or other taxes due or related to the reimbursement of Relocation Expenses.</w:t>
      </w:r>
    </w:p>
    <w:p>
      <w:pPr>
        <w:spacing w:after="0" w:line="169" w:lineRule="exact"/>
        <w:rPr>
          <w:sz w:val="20"/>
          <w:szCs w:val="20"/>
          <w:color w:val="auto"/>
        </w:rPr>
      </w:pPr>
    </w:p>
    <w:p>
      <w:pPr>
        <w:ind w:left="1700" w:hanging="395"/>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Visa</w:t>
      </w:r>
      <w:r>
        <w:rPr>
          <w:rFonts w:ascii="Arial" w:cs="Arial" w:eastAsia="Arial" w:hAnsi="Arial"/>
          <w:sz w:val="17"/>
          <w:szCs w:val="17"/>
          <w:color w:val="auto"/>
        </w:rPr>
        <w:t>: The Company will pay the legal fees and costs associated with obtaining an E3 or other suitable work visa for Executive.</w:t>
      </w:r>
    </w:p>
    <w:p>
      <w:pPr>
        <w:spacing w:after="0" w:line="263" w:lineRule="exact"/>
        <w:rPr>
          <w:rFonts w:ascii="Arial" w:cs="Arial" w:eastAsia="Arial" w:hAnsi="Arial"/>
          <w:sz w:val="17"/>
          <w:szCs w:val="17"/>
          <w:color w:val="auto"/>
        </w:rPr>
      </w:pPr>
    </w:p>
    <w:p>
      <w:pPr>
        <w:jc w:val="both"/>
        <w:ind w:firstLine="1305"/>
        <w:spacing w:after="0" w:line="295" w:lineRule="auto"/>
        <w:tabs>
          <w:tab w:leader="none" w:pos="167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Benefits and Perquisites.</w:t>
      </w:r>
      <w:r>
        <w:rPr>
          <w:rFonts w:ascii="Arial" w:cs="Arial" w:eastAsia="Arial" w:hAnsi="Arial"/>
          <w:sz w:val="18"/>
          <w:szCs w:val="18"/>
          <w:color w:val="auto"/>
        </w:rPr>
        <w:t xml:space="preserve"> During the Term, Executive shall be entitled to participate in the benefit plans and programs commensurate with Executive’s position that are provided by the Company from time to time for its senior executives generally, subject to the terms and conditions of such plans.</w:t>
      </w:r>
    </w:p>
    <w:p>
      <w:pPr>
        <w:spacing w:after="0" w:line="182" w:lineRule="exact"/>
        <w:rPr>
          <w:rFonts w:ascii="Arial" w:cs="Arial" w:eastAsia="Arial" w:hAnsi="Arial"/>
          <w:sz w:val="18"/>
          <w:szCs w:val="18"/>
          <w:color w:val="auto"/>
        </w:rPr>
      </w:pPr>
    </w:p>
    <w:p>
      <w:pPr>
        <w:ind w:firstLine="1305"/>
        <w:spacing w:after="0" w:line="341" w:lineRule="auto"/>
        <w:tabs>
          <w:tab w:leader="none" w:pos="164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Business Expense Reimbursements.</w:t>
      </w:r>
      <w:r>
        <w:rPr>
          <w:rFonts w:ascii="Arial" w:cs="Arial" w:eastAsia="Arial" w:hAnsi="Arial"/>
          <w:sz w:val="17"/>
          <w:szCs w:val="17"/>
          <w:color w:val="auto"/>
        </w:rPr>
        <w:t xml:space="preserve"> During the Term, the Company shall reimburse Executive for reasonable and properly documented business expenses in accordance with the Company’s then-prevailing policies and procedures for expense reimbursement.</w:t>
      </w:r>
    </w:p>
    <w:p>
      <w:pPr>
        <w:spacing w:after="0" w:line="146" w:lineRule="exact"/>
        <w:rPr>
          <w:rFonts w:ascii="Arial" w:cs="Arial" w:eastAsia="Arial" w:hAnsi="Arial"/>
          <w:sz w:val="17"/>
          <w:szCs w:val="17"/>
          <w:color w:val="auto"/>
        </w:rPr>
      </w:pPr>
    </w:p>
    <w:p>
      <w:pPr>
        <w:ind w:firstLine="1305"/>
        <w:spacing w:after="0" w:line="309" w:lineRule="auto"/>
        <w:tabs>
          <w:tab w:leader="none" w:pos="172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xml:space="preserve"> During the Term, Executive shall be entitled to annual paid vacation of no less than four (4) weeks and to reasonable sick leave in accordance with Company policy.</w:t>
      </w:r>
    </w:p>
    <w:p>
      <w:pPr>
        <w:spacing w:after="0" w:line="196" w:lineRule="exact"/>
        <w:rPr>
          <w:sz w:val="20"/>
          <w:szCs w:val="20"/>
          <w:color w:val="auto"/>
        </w:rPr>
      </w:pPr>
    </w:p>
    <w:p>
      <w:pPr>
        <w:ind w:left="2240" w:hanging="935"/>
        <w:spacing w:after="0"/>
        <w:tabs>
          <w:tab w:leader="none" w:pos="22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of the Term.</w:t>
      </w:r>
    </w:p>
    <w:p>
      <w:pPr>
        <w:spacing w:after="0" w:line="279" w:lineRule="exact"/>
        <w:rPr>
          <w:sz w:val="20"/>
          <w:szCs w:val="20"/>
          <w:color w:val="auto"/>
        </w:rPr>
      </w:pPr>
    </w:p>
    <w:p>
      <w:pPr>
        <w:jc w:val="both"/>
        <w:ind w:firstLine="1305"/>
        <w:spacing w:after="0" w:line="317" w:lineRule="auto"/>
        <w:tabs>
          <w:tab w:leader="none" w:pos="1784"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Executive’s employment may be terminated by either party at any time and for any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that the Company shall be required to give Executive at least 30 days advanced written notice if the termination is </w:t>
      </w:r>
      <w:r>
        <w:rPr>
          <w:rFonts w:ascii="Arial" w:cs="Arial" w:eastAsia="Arial" w:hAnsi="Arial"/>
          <w:sz w:val="16"/>
          <w:szCs w:val="16"/>
          <w:u w:val="single" w:color="auto"/>
          <w:color w:val="auto"/>
        </w:rPr>
        <w:t>without</w:t>
      </w:r>
      <w:r>
        <w:rPr>
          <w:rFonts w:ascii="Arial" w:cs="Arial" w:eastAsia="Arial" w:hAnsi="Arial"/>
          <w:sz w:val="16"/>
          <w:szCs w:val="16"/>
          <w:color w:val="auto"/>
        </w:rPr>
        <w:t xml:space="preserve"> Cause and (ii) Executive shall be required to give the Company at least 90 days advance written notice of any resignation of Executive’s employment hereunder. For the avoidance of doubt, the Company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required to give Executive any notice if the termination is for Cause. The Employment terminates at the end of the applicable notice period, if any. During the notice period, the Company reserves the right, in its sole discretion, to (i) alter, reduce, or eliminate any of the Executive’s duties,</w:t>
      </w:r>
    </w:p>
    <w:p>
      <w:pPr>
        <w:jc w:val="both"/>
        <w:ind w:firstLine="8"/>
        <w:spacing w:after="0" w:line="307" w:lineRule="auto"/>
        <w:tabs>
          <w:tab w:leader="none" w:pos="283"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the Executive to remain away from the Company’s premises (and/or restrict the Executive’s access to the Company’s network, computers and email systems), and/or (iii) take any such other action as may be necessary to facilitate the transition process associated with the termination of the Executive’s employment. During the notice period, the Executive acknowledges and agrees that he will remain employed by the Company and, as a Company employee, shall continue to act in a manner consistent with the Executive’s contractual, common law and other legal obligations to the Company, including adhering to the Company’s policies and, if requested to do so by the Company, shall assist in the transition of his duties as reasonably requested by the Company. Notwithstanding the foregoing, Executive’s employment shall automatically terminate upon Executive’s death.</w:t>
      </w:r>
    </w:p>
    <w:p>
      <w:pPr>
        <w:spacing w:after="0" w:line="174" w:lineRule="exact"/>
        <w:rPr>
          <w:rFonts w:ascii="Arial" w:cs="Arial" w:eastAsia="Arial" w:hAnsi="Arial"/>
          <w:sz w:val="17"/>
          <w:szCs w:val="17"/>
          <w:color w:val="auto"/>
        </w:rPr>
      </w:pPr>
    </w:p>
    <w:p>
      <w:pPr>
        <w:jc w:val="both"/>
        <w:ind w:firstLine="1305"/>
        <w:spacing w:after="0" w:line="325" w:lineRule="auto"/>
        <w:tabs>
          <w:tab w:leader="none" w:pos="1846" w:val="left"/>
        </w:tabs>
        <w:numPr>
          <w:ilvl w:val="1"/>
          <w:numId w:val="26"/>
        </w:numPr>
        <w:rPr>
          <w:rFonts w:ascii="Arial" w:cs="Arial" w:eastAsia="Arial" w:hAnsi="Arial"/>
          <w:sz w:val="16"/>
          <w:szCs w:val="16"/>
          <w:color w:val="auto"/>
        </w:rPr>
      </w:pPr>
      <w:r>
        <w:rPr>
          <w:rFonts w:ascii="Arial" w:cs="Arial" w:eastAsia="Arial" w:hAnsi="Arial"/>
          <w:sz w:val="16"/>
          <w:szCs w:val="16"/>
          <w:color w:val="auto"/>
        </w:rPr>
        <w:t>Following any termination of Executive’s employment, notwithstanding any provision to the contrary in this Agreement,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vacation time and for payment of any accrued obligations and unreimbursed expenses under Section 4(j) accrued or incurred through the date of termination of employment, (ii) as explicitly set forth in any other benefit plans, programs or arrangements applicable to terminated employees in which Executive participates, other than severance plans or policies and (iii) as otherwise expressly required by applicable statute. For the avoidance of doubt, (x) any unpaid Annual Bonus is forfeited if Executive’s employment is terminated for any reason and (y) the date of termination shall mean the last date of actual and active employment, whether such day is selected by mutual agreement with the Executive or unilaterally by the Company and whether with or without advance notice.</w:t>
      </w:r>
    </w:p>
    <w:p>
      <w:pPr>
        <w:sectPr>
          <w:pgSz w:w="11900" w:h="16838" w:orient="portrait"/>
          <w:cols w:equalWidth="0" w:num="1">
            <w:col w:w="11420"/>
          </w:cols>
          <w:pgMar w:left="240" w:top="13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70" w:lineRule="exact"/>
        <w:rPr>
          <w:sz w:val="20"/>
          <w:szCs w:val="20"/>
          <w:color w:val="auto"/>
        </w:rPr>
      </w:pPr>
    </w:p>
    <w:p>
      <w:pPr>
        <w:ind w:right="80" w:firstLine="1305"/>
        <w:spacing w:after="0" w:line="286" w:lineRule="auto"/>
        <w:tabs>
          <w:tab w:leader="none" w:pos="16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If Executive’s employment is terminated by the Company without Cause (other than due to death or Disability), or by Executive for Good Reason, Executive shall be entitled to receive severance payments in an aggregate amount equal to 12 months Base Salary, payable as follows: (i) a lump sum payment equal to three months’ Base Salary shall be paid in the first payroll that is as least 10 days after the termination date, and (ii) a continuing payment (per the Company’s payroll policies and practices) of Executive’s Base Salary for a consecutive nine-month period commencing on the third month anniversary of the termination date.. The amounts payable under this Section 5(c)(i) are inclusive of any statutory notice, pay in lieu of notice and statutory severance entitlements, if any, and any amounts required to be paid to Executive in the event a court of competent jurisdiction determines Executive has been constructively dismissed from employment.</w:t>
      </w:r>
    </w:p>
    <w:p>
      <w:pPr>
        <w:spacing w:after="0" w:line="191" w:lineRule="exact"/>
        <w:rPr>
          <w:sz w:val="20"/>
          <w:szCs w:val="20"/>
          <w:color w:val="auto"/>
        </w:rPr>
      </w:pPr>
    </w:p>
    <w:p>
      <w:pPr>
        <w:jc w:val="both"/>
        <w:ind w:left="880" w:hanging="877"/>
        <w:spacing w:after="0" w:line="329" w:lineRule="auto"/>
        <w:rPr>
          <w:sz w:val="20"/>
          <w:szCs w:val="20"/>
          <w:color w:val="auto"/>
        </w:rPr>
      </w:pPr>
      <w:r>
        <w:rPr>
          <w:rFonts w:ascii="Arial" w:cs="Arial" w:eastAsia="Arial" w:hAnsi="Arial"/>
          <w:sz w:val="16"/>
          <w:szCs w:val="16"/>
          <w:color w:val="auto"/>
        </w:rPr>
        <w:t>(ii)Any severance payments or benefits under Section 5(b)(ii) and 5(c)(i) shall be (A) conditioned upon Executive having provided within 30 days following Executive’s separation from service an irrevocable waiver and general release of claims in favor of the Company and its respective Affiliates, their respective predecessors and successors, and all of the respective current or former directors, officers, employees, shareholders, partners, members, agents or representatives of any of the foregoing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in a form reasonably satisfactory to the Company, that has become effective in accordance with its terms, (B) subject to Executive’s continued compliance with the terms of the restrictive covenants in Sections 7, 8, 9 and 10 of this Agreement and (C) subject to the provisions of Section 19(d) of this Agreement.</w:t>
      </w:r>
    </w:p>
    <w:p>
      <w:pPr>
        <w:spacing w:after="0" w:line="161" w:lineRule="exact"/>
        <w:rPr>
          <w:sz w:val="20"/>
          <w:szCs w:val="20"/>
          <w:color w:val="auto"/>
        </w:rPr>
      </w:pPr>
    </w:p>
    <w:p>
      <w:pPr>
        <w:jc w:val="both"/>
        <w:ind w:left="880" w:hanging="877"/>
        <w:spacing w:after="0" w:line="300" w:lineRule="auto"/>
        <w:rPr>
          <w:sz w:val="20"/>
          <w:szCs w:val="20"/>
          <w:color w:val="auto"/>
        </w:rPr>
      </w:pPr>
      <w:r>
        <w:rPr>
          <w:rFonts w:ascii="Arial" w:cs="Arial" w:eastAsia="Arial" w:hAnsi="Arial"/>
          <w:sz w:val="17"/>
          <w:szCs w:val="17"/>
          <w:color w:val="auto"/>
        </w:rPr>
        <w:t>(ii)For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Executive of any material Company policy applicable to Executive; (D) 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 (E) Executive’s failure to reasonably cooperate in an investigation involving the Company by any governmental authority; (F) 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w:t>
      </w:r>
      <w:r>
        <w:rPr>
          <w:rFonts w:ascii="Arial" w:cs="Arial" w:eastAsia="Arial" w:hAnsi="Arial"/>
          <w:sz w:val="17"/>
          <w:szCs w:val="17"/>
          <w:u w:val="single" w:color="auto"/>
          <w:color w:val="auto"/>
        </w:rPr>
        <w:t>provided</w:t>
      </w:r>
      <w:r>
        <w:rPr>
          <w:rFonts w:ascii="Arial" w:cs="Arial" w:eastAsia="Arial" w:hAnsi="Arial"/>
          <w:sz w:val="17"/>
          <w:szCs w:val="17"/>
          <w:color w:val="auto"/>
        </w:rPr>
        <w:t>, that, if all of the following conditions exist, there will be a presumption that Executive have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 (G) Executive’s failure to follow the lawful directives of Executive’s supervisor which is not remedied within fifteen (15) days after Executive’s receipt of written notice from the Company specifying such failure; or (H) Executive’s use of alcohol or drugs which materially interferes with the performance of Executive’s duties.</w:t>
      </w:r>
    </w:p>
    <w:p>
      <w:pPr>
        <w:spacing w:after="0" w:line="192" w:lineRule="exact"/>
        <w:rPr>
          <w:sz w:val="20"/>
          <w:szCs w:val="20"/>
          <w:color w:val="auto"/>
        </w:rPr>
      </w:pPr>
    </w:p>
    <w:p>
      <w:pPr>
        <w:ind w:left="660" w:hanging="652"/>
        <w:spacing w:after="0" w:line="30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 Reason” shall mean the occurrence, without Executive’s prior written consent, of any of the following events: (A) a substantial reduction of Executive’s duties or responsibilities or change in reporting relationship</w:t>
      </w:r>
    </w:p>
    <w:p>
      <w:pPr>
        <w:sectPr>
          <w:pgSz w:w="11900" w:h="16838" w:orient="portrait"/>
          <w:cols w:equalWidth="0" w:num="1">
            <w:col w:w="11420"/>
          </w:cols>
          <w:pgMar w:left="240" w:top="13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97" w:lineRule="exact"/>
        <w:rPr>
          <w:sz w:val="20"/>
          <w:szCs w:val="20"/>
          <w:color w:val="auto"/>
        </w:rPr>
      </w:pPr>
    </w:p>
    <w:p>
      <w:pPr>
        <w:jc w:val="both"/>
        <w:ind w:left="660"/>
        <w:spacing w:after="0" w:line="370" w:lineRule="auto"/>
        <w:rPr>
          <w:sz w:val="20"/>
          <w:szCs w:val="20"/>
          <w:color w:val="auto"/>
        </w:rPr>
      </w:pPr>
      <w:r>
        <w:rPr>
          <w:rFonts w:ascii="Arial" w:cs="Arial" w:eastAsia="Arial" w:hAnsi="Arial"/>
          <w:sz w:val="17"/>
          <w:szCs w:val="17"/>
          <w:color w:val="auto"/>
        </w:rPr>
        <w:t>to anyone other than the Board or the Chief Executive Officer, (B) Executive’s job title and authority as an officer of the Company is adversely changed, provided that if there is a “Change of Control” (as defined in the Plan) and Executive retains similar title and similar authority with the Company or any entity that acquires the Company (or any affiliate or subsidiary of such entity) following such Change of Control, the parties agree that any change in Executive’s title shall not constitute a significant reduction of Executive’s duties and authorities hereunder; or (C) a change in the office or location where Executive is based of more than fifty (50) miles which new location is more than fifty (50) miles from Executive’s primary residence, or (D) a breach by the Company of any material term of this Agreement; provided that, a termination by Executive with Good Reason shall be effective only if, within 30 days following Executive’s first becoming aware of the circumstances giving rise to Good Reason, Executive delivers a “Notice of Termination” for Good Reason by Executive to the Company, and the Company within 30 days following its receipt of such notification has failed to cure the circumstances giving rise to Good Reason.</w:t>
      </w:r>
    </w:p>
    <w:p>
      <w:pPr>
        <w:spacing w:after="0" w:line="151" w:lineRule="exact"/>
        <w:rPr>
          <w:sz w:val="20"/>
          <w:szCs w:val="20"/>
          <w:color w:val="auto"/>
        </w:rPr>
      </w:pPr>
    </w:p>
    <w:p>
      <w:pPr>
        <w:ind w:left="920" w:hanging="917"/>
        <w:spacing w:after="0" w:line="309" w:lineRule="auto"/>
        <w:rPr>
          <w:sz w:val="20"/>
          <w:szCs w:val="20"/>
          <w:color w:val="auto"/>
        </w:rPr>
      </w:pPr>
      <w:r>
        <w:rPr>
          <w:rFonts w:ascii="Arial" w:cs="Arial" w:eastAsia="Arial" w:hAnsi="Arial"/>
          <w:sz w:val="18"/>
          <w:szCs w:val="18"/>
          <w:color w:val="auto"/>
        </w:rPr>
        <w:t>(iv)For purposes of this Agreement, “Disability” means Executive’s incapacity, due to mental, physical or emotional injury or illness, such that Executive is substantially unable to perform his duties hereunder for a period of six (6) consecutive months.</w:t>
      </w:r>
    </w:p>
    <w:p>
      <w:pPr>
        <w:spacing w:after="0" w:line="169" w:lineRule="exact"/>
        <w:rPr>
          <w:sz w:val="20"/>
          <w:szCs w:val="20"/>
          <w:color w:val="auto"/>
        </w:rPr>
      </w:pPr>
    </w:p>
    <w:p>
      <w:pPr>
        <w:jc w:val="both"/>
        <w:ind w:firstLine="1305"/>
        <w:spacing w:after="0" w:line="319" w:lineRule="auto"/>
        <w:tabs>
          <w:tab w:leader="none" w:pos="175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Upon termination of Executive’s employment for any reason, and regardless of whether Executive continues as a consultant to the Company, upon the Company’s request Executive agrees to resign, as of the date of such termination of employment or such other date requested, from any applicable board of directors (and any committees thereof) of any Affiliate of the Company to the extent Executive is then serving thereon.</w:t>
      </w:r>
    </w:p>
    <w:p>
      <w:pPr>
        <w:spacing w:after="0" w:line="165" w:lineRule="exact"/>
        <w:rPr>
          <w:rFonts w:ascii="Arial" w:cs="Arial" w:eastAsia="Arial" w:hAnsi="Arial"/>
          <w:sz w:val="17"/>
          <w:szCs w:val="17"/>
          <w:color w:val="auto"/>
        </w:rPr>
      </w:pPr>
    </w:p>
    <w:p>
      <w:pPr>
        <w:jc w:val="both"/>
        <w:ind w:firstLine="1305"/>
        <w:spacing w:after="0" w:line="347" w:lineRule="auto"/>
        <w:tabs>
          <w:tab w:leader="none" w:pos="168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payment of any amounts accrued under any benefit plan, program or arrangement in which Executive participates shall be subject to the terms of the applicable plan, program or arrangement, and any elections Executive has made thereunder. Subject to Section 19, the Company may offset any amounts due and payable by Executive to the Company or its Subsidiaries against any amounts the Company owes Executive hereunder.</w:t>
      </w:r>
    </w:p>
    <w:p>
      <w:pPr>
        <w:spacing w:after="0" w:line="147" w:lineRule="exact"/>
        <w:rPr>
          <w:sz w:val="20"/>
          <w:szCs w:val="20"/>
          <w:color w:val="auto"/>
        </w:rPr>
      </w:pPr>
    </w:p>
    <w:p>
      <w:pPr>
        <w:jc w:val="both"/>
        <w:ind w:firstLine="1305"/>
        <w:spacing w:after="0" w:line="302" w:lineRule="auto"/>
        <w:tabs>
          <w:tab w:leader="none" w:pos="165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Acknowledgments</w:t>
      </w:r>
      <w:r>
        <w:rPr>
          <w:rFonts w:ascii="Arial" w:cs="Arial" w:eastAsia="Arial" w:hAnsi="Arial"/>
          <w:sz w:val="17"/>
          <w:szCs w:val="17"/>
          <w:color w:val="auto"/>
        </w:rPr>
        <w:t>. (a) Executive acknowledges that the Company has expended and shall continue to expend substantial amounts of time, money and effort to develop business strategies, employee and customer relationships and goodwill and build an effective organization. Executive acknowledges that Executive is and shall become familiar with the Company’s Confidential Information (as defined below), including trade secrets, and that Executive’s services are of special, unique and extraordinary value to the Company, its Subsidiaries and Affiliates.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 goodwill. Executive acknowledges that Executive’s agreement to enter into this Agreement and be bound by the service commitments set forth herein and the restrictive covenants and agreements set forth in Sections 7, 8, 9 and 10 hereof, is a material inducement to the Company’s willingness to enter into this Agreement, and the Company would not otherwise enter into this Agreement if Executive did not agree to be bound by the commitments set forth herein and the restrictive covenants and agreements set forth in Sections 7, 8, 9 and 10 hereof, and make the commitments to the Company set forth herein.</w:t>
      </w:r>
    </w:p>
    <w:p>
      <w:pPr>
        <w:spacing w:after="0" w:line="184" w:lineRule="exact"/>
        <w:rPr>
          <w:sz w:val="20"/>
          <w:szCs w:val="20"/>
          <w:color w:val="auto"/>
        </w:rPr>
      </w:pPr>
    </w:p>
    <w:p>
      <w:pPr>
        <w:jc w:val="both"/>
        <w:ind w:firstLine="1305"/>
        <w:spacing w:after="0" w:line="290" w:lineRule="auto"/>
        <w:tabs>
          <w:tab w:leader="none" w:pos="16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acknowledges (i) that the business of the Company and its Affiliates is global in scope, without geographical limitation, and capable of being performed from anywhere in the world, and (ii) notwithstanding the jurisdiction of formation or principal office of the Company, or the location of any of their respective executives or employees (including, without limitation, Executive), the Company and its Affiliates have business activities and have valuable business relationships within their respective industries throughout the world.</w:t>
      </w:r>
    </w:p>
    <w:p>
      <w:pPr>
        <w:sectPr>
          <w:pgSz w:w="11900" w:h="16838" w:orient="portrait"/>
          <w:cols w:equalWidth="0" w:num="1">
            <w:col w:w="11420"/>
          </w:cols>
          <w:pgMar w:left="240" w:top="13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70" w:lineRule="exact"/>
        <w:rPr>
          <w:sz w:val="20"/>
          <w:szCs w:val="20"/>
          <w:color w:val="auto"/>
        </w:rPr>
      </w:pPr>
    </w:p>
    <w:p>
      <w:pPr>
        <w:jc w:val="both"/>
        <w:ind w:firstLine="1305"/>
        <w:spacing w:after="0" w:line="322" w:lineRule="auto"/>
        <w:tabs>
          <w:tab w:leader="none" w:pos="18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Executive acknowledges that Executive has carefully read this Agreement and has given careful consideration to the restraints imposed upon Executive by this Agreement, and is in full accord as to the necessity of such restraints for the reasonable and proper protection of the Confidential Information, business strategies, employee and customer relationships and goodwill of the Company and its Affiliates now existing or to be developed in the future. Executive expressly acknowledges and agrees that each and every commitment and restraint imposed by this Agreement is reasonable with respect to subject matter, time period and geographical area, in light of (i) the scope of the business of the Company and its Affiliates, (ii) the importance of Executive to the business of the Company and its Affiliates, (iii) Executive’s status as an officer of the Company business, (iv) Executive’s knowledge of the business of the Company and its Affiliates and (v) Executive’s relationships with the Company’s clients or customers. Accordingly, Executive agrees (x) to be bound by the provisions of Sections 7, 8, 9 and 10, it being the intent and spirit that such provisions be valid and enforceable in all respects and (y) acknowledges and agrees that Executive shall not object to the Company, or any of its successors in interest enforcing Sections 7, 8, 9 and 10 of this Agreement. Executive further acknowledges that although Executive’s compliance with the covenants contained in Sections 7, 8, 9 and 10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171" w:lineRule="exact"/>
        <w:rPr>
          <w:sz w:val="20"/>
          <w:szCs w:val="20"/>
          <w:color w:val="auto"/>
        </w:rPr>
      </w:pPr>
    </w:p>
    <w:p>
      <w:pPr>
        <w:jc w:val="both"/>
        <w:ind w:firstLine="1305"/>
        <w:spacing w:after="0" w:line="320" w:lineRule="auto"/>
        <w:tabs>
          <w:tab w:leader="none" w:pos="166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Noncompetition and Nonsolicitation</w:t>
      </w:r>
      <w:r>
        <w:rPr>
          <w:rFonts w:ascii="Arial" w:cs="Arial" w:eastAsia="Arial" w:hAnsi="Arial"/>
          <w:sz w:val="16"/>
          <w:szCs w:val="16"/>
          <w:color w:val="auto"/>
        </w:rPr>
        <w:t>. (a) Executive acknowledges that the services Executive are to render to the Company are of a special and unusual character, with a unique value to the Company, the loss of which cannot adequately be compensated by damages or an action at law. In view of the unique value to the Company, its Subsidiaries and Affiliates (collectively, the “</w:t>
      </w:r>
      <w:r>
        <w:rPr>
          <w:rFonts w:ascii="Arial" w:cs="Arial" w:eastAsia="Arial" w:hAnsi="Arial"/>
          <w:sz w:val="16"/>
          <w:szCs w:val="16"/>
          <w:u w:val="single" w:color="auto"/>
          <w:color w:val="auto"/>
        </w:rPr>
        <w:t>Group</w:t>
      </w:r>
      <w:r>
        <w:rPr>
          <w:rFonts w:ascii="Arial" w:cs="Arial" w:eastAsia="Arial" w:hAnsi="Arial"/>
          <w:sz w:val="16"/>
          <w:szCs w:val="16"/>
          <w:color w:val="auto"/>
        </w:rPr>
        <w:t>”) of the services of Executive for which the Company has contracted hereunder, because of the confidential information to be obtained by, or disclosed to, Executive as herein above set forth, Executive covenants and agrees that during Executive’s employment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Executive’s employment is terminated, or if Executive is an employee of any member of the Group, at the time Executive is accused of being in competition with any of the Group pursuant to this Agreement; (ii) in the provision of the business processes provided by the Group at the time Executive’s employment is terminated, or if Executive is an employee of any member of the Group, at the time Executive is accused of being in competition with any member of the Group pursuant to this Agreement; (iii) in the provision of business processes that any of the Group has taken substantial steps to provide to customers at the time Executive’s employment is terminated, or if Executive is an employee of any of the Group, at the time Executive is accused of being in competition with any of the Group pursuant to this Agreement; or (iv) in the provision of business processes that any of the Group are in the process of marketing to existing or potential clients that any of the Group are taking measures to retain as clients of the Group, at the time Executive’s employment is terminated, or if Executive are an employee of any of the Group, at the time Executive is accused of being in competition with any of the Group pursuant to this Agreement, during Executive’s employment with the Group. Executive and the Company acknowledge that clauses (ii), (iii) and (iv) in the immediately preceding sentence shall not be deemed or interpreted to narrow or otherwise limit the scope of clause (i) of such sentence. For purposes of this Agreement, the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shall be the one year period following Executive’s termination of employment for any reason.</w:t>
      </w:r>
    </w:p>
    <w:p>
      <w:pPr>
        <w:spacing w:after="0" w:line="16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 Section 12(g) of the Securities Exchange Act of 1934; or (B) the direct or indirect ownership of securities of a private company, provided that, Executive is only a</w:t>
      </w:r>
    </w:p>
    <w:p>
      <w:pPr>
        <w:sectPr>
          <w:pgSz w:w="11900" w:h="16838" w:orient="portrait"/>
          <w:cols w:equalWidth="0" w:num="1">
            <w:col w:w="11420"/>
          </w:cols>
          <w:pgMar w:left="240" w:top="13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 to take any action, including without limitation, taking a position with another company, which action could potentially be deemed a violation of this Agreement,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If Executive disagrees with the Board’s decision relating to the consent, then a third-party arbitrator (the “</w:t>
      </w:r>
      <w:r>
        <w:rPr>
          <w:rFonts w:ascii="Arial" w:cs="Arial" w:eastAsia="Arial" w:hAnsi="Arial"/>
          <w:sz w:val="17"/>
          <w:szCs w:val="17"/>
          <w:u w:val="single" w:color="auto"/>
          <w:color w:val="auto"/>
        </w:rPr>
        <w:t>Arbitrator</w:t>
      </w:r>
      <w:r>
        <w:rPr>
          <w:rFonts w:ascii="Arial" w:cs="Arial" w:eastAsia="Arial" w:hAnsi="Arial"/>
          <w:sz w:val="17"/>
          <w:szCs w:val="17"/>
          <w:color w:val="auto"/>
        </w:rPr>
        <w:t>”) shall be appointed within five (5) days of the date Executive notifies the Company of Executive’s disagreement, and the third party Arbitrator shall be instructed to make a determination with respect to whether Executive’s action would constitute a legally valid and enforceable violation of this Agreement within not more than thirty (30) days following his appointment and such determination shall be binding on all of the parties hereto. Such arbitrator is to be selected based on mutual agreement of the Company and Executive. If no mutual agreement is reached, each party shall select one arbitrator and these two arbitrators will in turn select a third arbitrator. The three arbitrators will then make a collective determination in accordance with the terms of this paragraph. The cost of the Arbitrator(s) shall be borne by the Company; provided, however, if the Arbitrators’ determination is inconsistent with Executive’s position, then the cost of the Arbitrator shall be borne by Executive.</w:t>
      </w:r>
    </w:p>
    <w:p>
      <w:pPr>
        <w:spacing w:after="0" w:line="199" w:lineRule="exact"/>
        <w:rPr>
          <w:sz w:val="20"/>
          <w:szCs w:val="20"/>
          <w:color w:val="auto"/>
        </w:rPr>
      </w:pPr>
    </w:p>
    <w:p>
      <w:pPr>
        <w:jc w:val="both"/>
        <w:ind w:firstLine="1305"/>
        <w:spacing w:after="0" w:line="285" w:lineRule="auto"/>
        <w:tabs>
          <w:tab w:leader="none" w:pos="18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Executive’s employment with the Group and for a period of one year thereafter Executive shall make no unfavorable, disparaging or negative comment, remark or statement, whether written or oral (a “</w:t>
      </w:r>
      <w:r>
        <w:rPr>
          <w:rFonts w:ascii="Arial" w:cs="Arial" w:eastAsia="Arial" w:hAnsi="Arial"/>
          <w:sz w:val="18"/>
          <w:szCs w:val="18"/>
          <w:u w:val="single" w:color="auto"/>
          <w:color w:val="auto"/>
        </w:rPr>
        <w:t>Disparaging Statement</w:t>
      </w:r>
      <w:r>
        <w:rPr>
          <w:rFonts w:ascii="Arial" w:cs="Arial" w:eastAsia="Arial" w:hAnsi="Arial"/>
          <w:sz w:val="18"/>
          <w:szCs w:val="18"/>
          <w:color w:val="auto"/>
        </w:rPr>
        <w:t>”), about the Company or any of its affiliates, officers, directors, shareholders, consultants, or employees; provided that Executive may give truthful testimony before a court, governmental agency, arbitration panel, or similar person or body with apparent jurisdiction and may discuss such matters in confidence with Executive’s attorney(s) and other professional advisors. Similarly,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On and after the date hereof, during Executive’s employment and for one year following termination of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any (B) prospective employee with whom the Company has had discussions or negotiations within six months prior to Executive’s termination of employment not to establish a relationship with any of the Group, (ii) induce or attempt to induce any current customer to terminate its relationship with any of the Group, or (iii) induce any potential customer with whom the Company has had discussions or negotiations within six months prior to Executive’s termination of employment not to establish a relationship with any of the Group.</w:t>
      </w:r>
    </w:p>
    <w:p>
      <w:pPr>
        <w:spacing w:after="0" w:line="203" w:lineRule="exact"/>
        <w:rPr>
          <w:sz w:val="20"/>
          <w:szCs w:val="20"/>
          <w:color w:val="auto"/>
        </w:rPr>
      </w:pPr>
    </w:p>
    <w:p>
      <w:pPr>
        <w:jc w:val="both"/>
        <w:ind w:firstLine="1305"/>
        <w:spacing w:after="0" w:line="309" w:lineRule="auto"/>
        <w:tabs>
          <w:tab w:leader="none" w:pos="174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 final and non-appealable judicial determination is made by a court of competent jurisdiction that any of the provisions of this Section 7 constitutes an unreasonable or otherwise unenforceable restriction against Executive, the provisions of this Section 7 will not be rendered void but will be deemed to be modified to the minimum extent necessary to remain in force and effect for the longest period and largest geographic area that would not constitute such an unreasonable or unenforceable restriction (and such court shall have the power to reduce the duration or restrict or redefine the geographic scope of such provision and to enforce such provision as so reduced, restricted or redefined).</w:t>
      </w:r>
    </w:p>
    <w:p>
      <w:pPr>
        <w:spacing w:after="0" w:line="173" w:lineRule="exact"/>
        <w:rPr>
          <w:sz w:val="20"/>
          <w:szCs w:val="20"/>
          <w:color w:val="auto"/>
        </w:rPr>
      </w:pPr>
    </w:p>
    <w:p>
      <w:pPr>
        <w:ind w:left="1620" w:hanging="315"/>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Trade Secrets</w:t>
      </w:r>
      <w:r>
        <w:rPr>
          <w:rFonts w:ascii="Arial" w:cs="Arial" w:eastAsia="Arial" w:hAnsi="Arial"/>
          <w:sz w:val="18"/>
          <w:szCs w:val="18"/>
          <w:color w:val="auto"/>
        </w:rPr>
        <w:t>.</w:t>
      </w:r>
    </w:p>
    <w:p>
      <w:pPr>
        <w:sectPr>
          <w:pgSz w:w="11900" w:h="16838" w:orient="portrait"/>
          <w:cols w:equalWidth="0" w:num="1">
            <w:col w:w="11420"/>
          </w:cols>
          <w:pgMar w:left="240" w:top="1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56" w:lineRule="exact"/>
        <w:rPr>
          <w:sz w:val="20"/>
          <w:szCs w:val="20"/>
          <w:color w:val="auto"/>
        </w:rPr>
      </w:pPr>
    </w:p>
    <w:p>
      <w:pPr>
        <w:jc w:val="both"/>
        <w:ind w:firstLine="1953"/>
        <w:spacing w:after="0" w:line="285" w:lineRule="auto"/>
        <w:tabs>
          <w:tab w:leader="none" w:pos="2533" w:val="left"/>
        </w:tabs>
        <w:numPr>
          <w:ilvl w:val="1"/>
          <w:numId w:val="37"/>
        </w:numPr>
        <w:rPr>
          <w:rFonts w:ascii="Arial" w:cs="Arial" w:eastAsia="Arial" w:hAnsi="Arial"/>
          <w:sz w:val="16"/>
          <w:szCs w:val="16"/>
          <w:color w:val="auto"/>
        </w:rPr>
      </w:pPr>
      <w:r>
        <w:rPr>
          <w:rFonts w:ascii="Arial" w:cs="Arial" w:eastAsia="Arial" w:hAnsi="Arial"/>
          <w:sz w:val="16"/>
          <w:szCs w:val="16"/>
          <w:color w:val="auto"/>
        </w:rPr>
        <w:t>Access to Confidential Information and Trade Secrets. You understand and acknowledge that as an employee of the Company, You will learn or have access to, or may assist in the development of, highly confidential and sensitive information and trade secrets about the Company, its operations and its clients or prospective clients. “Confidential Information” includes without limitation: (i) financial and business information relating to the Company, such as information with respect to costs, commissions, fees, profits, sales, markets, mailing lists, strategies and plans for future business, new business, product or other development, potential acquisitions or divestitures, and new marketing ideas; (ii) product and technical information relating to the Company, such as product and service formulations, new and innovative product and service ideas, methods, procedures, devices, machines, equipment, data processing programs, software, software codes, computer models, and research and development projects; (iii) client information, such as the identity of the Company’s clients, the names of representatives of the Company’s clients responsible for entering into contracts with the Company, the amounts paid by such clients to the Company, specific client needs and requirements; (iv) information regarding prospective clients, such as the identity of prospective clients, the names of representatives of the prospective clients responsible for entering into contracts with the Company, the amounts proposed to paid by such prospective clients to the Company, specific needs and requirements of such prospective clients; (v) personnel information, such as the identity and number of the Company’s other employees, their salaries, bonuses, benefits, skills, qualifications, and abilities; (vi) any and all information in whatever form relating to any client or prospective client of the Company, including without limitation its business, employees, operations, systems, assets, liabilities, finances, products, and marketing, selling and operating practices; (vii) any information which You know or should know is subject to a restriction on disclosure or which You know or should know is considered by the Company or the Company’s clients or prospective clients to be confidential, sensitive, proprietary, a trade secret or is not readily available to the public; and (viii) intellectual property, including inventions and copyrightable works. You also may have access to “Trade Secrets,” which are items of Confidential Information which meet the definition of trade secrets under applicable law. Confidential Information and Trade Secrets are not generally known or available to the general public, but have been developed, compiled or acquired by the Company at its great effort and expense. Confidential Information and Trade Secrets can be in any form: oral, written or machine readable, including electronic files, and stored in any media whatsoever or the unaided human memory.</w:t>
      </w:r>
    </w:p>
    <w:p>
      <w:pPr>
        <w:spacing w:after="0" w:line="168" w:lineRule="exact"/>
        <w:rPr>
          <w:rFonts w:ascii="Arial" w:cs="Arial" w:eastAsia="Arial" w:hAnsi="Arial"/>
          <w:sz w:val="16"/>
          <w:szCs w:val="16"/>
          <w:color w:val="auto"/>
        </w:rPr>
      </w:pPr>
    </w:p>
    <w:p>
      <w:pPr>
        <w:jc w:val="both"/>
        <w:ind w:firstLine="1305"/>
        <w:spacing w:after="0" w:line="269" w:lineRule="auto"/>
        <w:tabs>
          <w:tab w:leader="none" w:pos="174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 and Trade Secrets</w:t>
      </w:r>
      <w:r>
        <w:rPr>
          <w:rFonts w:ascii="Arial" w:cs="Arial" w:eastAsia="Arial" w:hAnsi="Arial"/>
          <w:sz w:val="17"/>
          <w:szCs w:val="17"/>
          <w:color w:val="auto"/>
        </w:rPr>
        <w:t>. You acknowledge and agree that the Company is engaged in a highly competitive business and that its competitive position depends upon its ability to maintain the confidentiality of the Confidential Information and Trade Secrets which were developed, compiled and acquired by the Company at its great effort and expense. You further acknowledge and agree that any disclosing, divulging, revealing, or using of any of the Confidential Information and Trade Secrets, other than in connection with the Company’s business or as specifically authorized by die Company, will be highly detrimental to the Company and cause it to suffer serious loss of business and pecuniary damage. Accordingly, You agree that during Your employment with the Company and following the termination of such employment for any reason, You shall not directly or indirectly divulge or make use of any Confidential Information outside of Your employment with the Company (so long as the information remains confidential) without the prior written consent of an authorized representative of the Company. You shall not directly or indirectly misappropriate, divulge, or make use of Trade Secrets for an indefinite period of time, so long as the information remains a Trade Secret as defined under any applicable trade secrets or other applicable law. You also agree at all times to exercise discretion in discussing with others the affairs of clients, including avoiding unnecessary identification of names, places, and other specifics, and to take reasonable precautions to make sure that such discussions cannot be overheard and electronic communications cannot be intercepted either by client’s employees or outside persons.</w:t>
      </w:r>
    </w:p>
    <w:p>
      <w:pPr>
        <w:spacing w:after="0" w:line="179" w:lineRule="exact"/>
        <w:rPr>
          <w:rFonts w:ascii="Arial" w:cs="Arial" w:eastAsia="Arial" w:hAnsi="Arial"/>
          <w:sz w:val="17"/>
          <w:szCs w:val="17"/>
          <w:color w:val="auto"/>
        </w:rPr>
      </w:pPr>
    </w:p>
    <w:p>
      <w:pPr>
        <w:ind w:firstLine="1305"/>
        <w:spacing w:after="0" w:line="277" w:lineRule="auto"/>
        <w:tabs>
          <w:tab w:leader="none" w:pos="182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Notification of Inquiry Regarding Agreement</w:t>
      </w:r>
      <w:r>
        <w:rPr>
          <w:rFonts w:ascii="Arial" w:cs="Arial" w:eastAsia="Arial" w:hAnsi="Arial"/>
          <w:sz w:val="18"/>
          <w:szCs w:val="18"/>
          <w:color w:val="auto"/>
        </w:rPr>
        <w:t>. You further agree that if You are questioned about information subject to this Agreement by any person or entity not authorized to receive such information, You will notify the Company within twenty-four (24) hours.</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74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You acknowledge and agree that the Company is a public company and that You may receive or have access to material non-public information that is restricted from use and disclosure by federal and state statutes and laws. You agree that other than to benefit the Company in compliance with applicable laws, You will not use for any ‘purposes any “insider information” that may come to Your attention in connection with Your employment with the Company and that You will not disclose such information to anyone outside</w:t>
      </w:r>
    </w:p>
    <w:p>
      <w:pPr>
        <w:sectPr>
          <w:pgSz w:w="11900" w:h="16838" w:orient="portrait"/>
          <w:cols w:equalWidth="0" w:num="1">
            <w:col w:w="11420"/>
          </w:cols>
          <w:pgMar w:left="240" w:top="13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the inside the Company who is not an authorized recipient with a need to know such information, The term “use” includes, but is not limited to, purchase or sale of securities influenced by such inside information.</w:t>
      </w:r>
    </w:p>
    <w:p>
      <w:pPr>
        <w:spacing w:after="0" w:line="184" w:lineRule="exact"/>
        <w:rPr>
          <w:sz w:val="20"/>
          <w:szCs w:val="20"/>
          <w:color w:val="auto"/>
        </w:rPr>
      </w:pPr>
    </w:p>
    <w:p>
      <w:pPr>
        <w:jc w:val="both"/>
        <w:ind w:firstLine="1305"/>
        <w:spacing w:after="0" w:line="324" w:lineRule="auto"/>
        <w:tabs>
          <w:tab w:leader="none" w:pos="170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Return of Confidential Information and Company Property</w:t>
      </w:r>
      <w:r>
        <w:rPr>
          <w:rFonts w:ascii="Arial" w:cs="Arial" w:eastAsia="Arial" w:hAnsi="Arial"/>
          <w:sz w:val="16"/>
          <w:szCs w:val="16"/>
          <w:color w:val="auto"/>
        </w:rPr>
        <w:t>. You agree to return all Confidential Information and/or Trade Secrets immediately upon termination of your employment for any reason and at any time requested by the Company. To the extent that You maintain Confidential Information and/or Trade Secrets in electronic form on any computers or other electronic devices owned by You, You agree to immediately and irretrievably delete all such information, and certify the deletion of such material. You also agree to return all property in Your possession at the time of the termination of the employment with the Company, including without limitation all documents, records, electronic recordings, and other media of every kind and description relating to the Business of the Company and its Clients or Prospective Clients (as such terms are defined elsewhere in this Agreement), and any copies, in whole or in part, whether or not prepared by You, all of which shall remain the sole and exclusive property of the Company. You further agree upon termination of your employment for any reason to execute and provide the information set forth in the Termination Certification attached hereto as Exhibit C. In addition, upon request of the Company, You shall provide a copy of this Agreement to any subsequent employer.</w:t>
      </w:r>
    </w:p>
    <w:p>
      <w:pPr>
        <w:spacing w:after="0" w:line="168" w:lineRule="exact"/>
        <w:rPr>
          <w:rFonts w:ascii="Arial" w:cs="Arial" w:eastAsia="Arial" w:hAnsi="Arial"/>
          <w:sz w:val="16"/>
          <w:szCs w:val="16"/>
          <w:color w:val="auto"/>
        </w:rPr>
      </w:pPr>
    </w:p>
    <w:p>
      <w:pPr>
        <w:jc w:val="both"/>
        <w:ind w:firstLine="1305"/>
        <w:spacing w:after="0" w:line="320" w:lineRule="auto"/>
        <w:tabs>
          <w:tab w:leader="none" w:pos="1769"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(a) Executive agrees that the results and proceeds of Executive’s employment by the Company or its Subsidiaries or Affiliates (including, but not limited to, any trade secrets, products, services, processes, know-how, track record,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employed hereunder by the Company and any works in progress, whether or not patentable or registrable under copyright or similar statutes, that were made, developed, conceived or reduced to practice or learned by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Board, any of its Subsidiaries or Affiliates)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Board determines in its sole discretion, without any further payment to Executive whatsoever. If, for any reason, any of such results and proceeds shall not legally be a work-made-for-hire and/or there are any Proprietary Rights which do not accrue to the Company (or, as the case may be, any of its Subsidiaries or Affiliates)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(or, if applicable or as directed by the Board, any of its Subsidiaries or Affiliates), and the Company or such Subsidiaries or Affiliates shall have the right to use the same in perpetuity throughout the universe in any manner determined by the Board or such Subsidiaries or Affiliates without any further payment to Executive whatsoever. As to any Invention that Executive is required to assign, Executive shall promptly and fully disclose to the Company all information known to Executive concerning such Invention.</w:t>
      </w:r>
    </w:p>
    <w:p>
      <w:pPr>
        <w:spacing w:after="0" w:line="178" w:lineRule="exact"/>
        <w:rPr>
          <w:sz w:val="20"/>
          <w:szCs w:val="20"/>
          <w:color w:val="auto"/>
        </w:rPr>
      </w:pPr>
    </w:p>
    <w:p>
      <w:pPr>
        <w:jc w:val="both"/>
        <w:ind w:firstLine="1305"/>
        <w:spacing w:after="0" w:line="287" w:lineRule="auto"/>
        <w:tabs>
          <w:tab w:leader="none" w:pos="173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agrees that, from time to time, as may be requested by the Board and at the Company’s sole cost and expense, Executive shall do any and all reasonable and lawful things that the Board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10(b) is subject to and shall not be deemed to limit,</w:t>
      </w:r>
    </w:p>
    <w:p>
      <w:pPr>
        <w:sectPr>
          <w:pgSz w:w="11900" w:h="16838" w:orient="portrait"/>
          <w:cols w:equalWidth="0" w:num="1">
            <w:col w:w="11420"/>
          </w:cols>
          <w:pgMar w:left="240" w:top="13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70"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restrict or constitute any waiver by the Company of any Proprietary Rights of ownership to which the Company may be entitled by operation of law by virtue of Executive’s employment by the Company. Executive further agrees that, from time to time, as may be requested by the Board and at the Company’s sole cost and expense, Executive shall assist the Company in every reasonable,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 to provide reasonable assistance to the Company with respect to Proprietary Rights relating to such Inventions in any and all countries shall continue beyond the termination of the Term.</w:t>
      </w:r>
    </w:p>
    <w:p>
      <w:pPr>
        <w:spacing w:after="0" w:line="180" w:lineRule="exact"/>
        <w:rPr>
          <w:sz w:val="20"/>
          <w:szCs w:val="20"/>
          <w:color w:val="auto"/>
        </w:rPr>
      </w:pPr>
    </w:p>
    <w:p>
      <w:pPr>
        <w:ind w:firstLine="1305"/>
        <w:spacing w:after="0" w:line="309" w:lineRule="auto"/>
        <w:tabs>
          <w:tab w:leader="none" w:pos="17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hereby waives and quitclaims to the Company any and all claims, of any nature whatsoever, that Executive now or may hereafter have for infringement of any Proprietary Rights assigned hereunder to the Company.</w:t>
      </w:r>
    </w:p>
    <w:p>
      <w:pPr>
        <w:spacing w:after="0" w:line="169" w:lineRule="exact"/>
        <w:rPr>
          <w:sz w:val="20"/>
          <w:szCs w:val="20"/>
          <w:color w:val="auto"/>
        </w:rPr>
      </w:pPr>
    </w:p>
    <w:p>
      <w:pPr>
        <w:jc w:val="both"/>
        <w:ind w:firstLine="1305"/>
        <w:spacing w:after="0" w:line="305" w:lineRule="auto"/>
        <w:tabs>
          <w:tab w:leader="none" w:pos="1762"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Notification of Employment or Service Provider Relationship</w:t>
      </w:r>
      <w:r>
        <w:rPr>
          <w:rFonts w:ascii="Arial" w:cs="Arial" w:eastAsia="Arial" w:hAnsi="Arial"/>
          <w:sz w:val="17"/>
          <w:szCs w:val="17"/>
          <w:color w:val="auto"/>
        </w:rPr>
        <w:t>. Executive hereby agrees that as soon as practical, upon Executive’s consideration of accepting employment with, or agreeing to provide services to, any other Person during any period which Executive remains subject to any of the covenants set forth in Section 7, Executive shall advise his prospective employer of this Agreement and, to the extent necessary, shall provide such prospective employer with a copy of Section 7 of this Agreement; provided, however, that if and to the extent this Agreement has been publicly filed in connection the Company’s filings with the Securities and Exchange Commission or related corporate, public company filings, Executive may provide his prospective employer with a copy of the filed version of this Agreement. Promptly after receiving an offer of employment from any other Person, Executive will provide written notice to the Company of his new employer as soon as possible.</w:t>
      </w:r>
    </w:p>
    <w:p>
      <w:pPr>
        <w:spacing w:after="0" w:line="178" w:lineRule="exact"/>
        <w:rPr>
          <w:rFonts w:ascii="Arial" w:cs="Arial" w:eastAsia="Arial" w:hAnsi="Arial"/>
          <w:sz w:val="17"/>
          <w:szCs w:val="17"/>
          <w:color w:val="auto"/>
        </w:rPr>
      </w:pPr>
    </w:p>
    <w:p>
      <w:pPr>
        <w:jc w:val="both"/>
        <w:ind w:firstLine="1305"/>
        <w:spacing w:after="0" w:line="304" w:lineRule="auto"/>
        <w:tabs>
          <w:tab w:leader="none" w:pos="1701"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Remedies and Injunctive Relief</w:t>
      </w:r>
      <w:r>
        <w:rPr>
          <w:rFonts w:ascii="Arial" w:cs="Arial" w:eastAsia="Arial" w:hAnsi="Arial"/>
          <w:sz w:val="17"/>
          <w:szCs w:val="17"/>
          <w:color w:val="auto"/>
        </w:rPr>
        <w:t>. Executive acknowledges that a violation by Executive of any of the covenants contained in Section 7, 8, 9 or 10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Federal court of the Southern District of New York or any state court located in New York County, State of New York for any actual or threatened breach of any of the covenants set forth in Section 7, 8, 9 or 10 in addition to any other legal or equitable remedies it may have. The preceding sentence shall not be construed as a waiver of the rights that the Company may have for damages under this Agreement or otherwise, and all of the Company’s rights shall be unrestricted.</w:t>
      </w:r>
    </w:p>
    <w:p>
      <w:pPr>
        <w:spacing w:after="0" w:line="180" w:lineRule="exact"/>
        <w:rPr>
          <w:rFonts w:ascii="Arial" w:cs="Arial" w:eastAsia="Arial" w:hAnsi="Arial"/>
          <w:sz w:val="17"/>
          <w:szCs w:val="17"/>
          <w:color w:val="auto"/>
        </w:rPr>
      </w:pPr>
    </w:p>
    <w:p>
      <w:pPr>
        <w:ind w:left="1740" w:hanging="435"/>
        <w:spacing w:after="0"/>
        <w:tabs>
          <w:tab w:leader="none" w:pos="17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Representations of Executive and Company; Advice of Counsel</w:t>
      </w:r>
      <w:r>
        <w:rPr>
          <w:rFonts w:ascii="Arial" w:cs="Arial" w:eastAsia="Arial" w:hAnsi="Arial"/>
          <w:sz w:val="16"/>
          <w:szCs w:val="16"/>
          <w:color w:val="auto"/>
        </w:rPr>
        <w:t>. (a) Executive represents, warrants and covenants that as of the date</w:t>
      </w:r>
    </w:p>
    <w:p>
      <w:pPr>
        <w:spacing w:after="0" w:line="59" w:lineRule="exact"/>
        <w:rPr>
          <w:rFonts w:ascii="Arial" w:cs="Arial" w:eastAsia="Arial" w:hAnsi="Arial"/>
          <w:sz w:val="16"/>
          <w:szCs w:val="16"/>
          <w:color w:val="auto"/>
        </w:rPr>
      </w:pPr>
    </w:p>
    <w:p>
      <w:pPr>
        <w:jc w:val="both"/>
        <w:spacing w:after="0" w:line="307" w:lineRule="auto"/>
        <w:rPr>
          <w:rFonts w:ascii="Arial" w:cs="Arial" w:eastAsia="Arial" w:hAnsi="Arial"/>
          <w:sz w:val="16"/>
          <w:szCs w:val="16"/>
          <w:color w:val="auto"/>
        </w:rPr>
      </w:pPr>
      <w:r>
        <w:rPr>
          <w:rFonts w:ascii="Arial" w:cs="Arial" w:eastAsia="Arial" w:hAnsi="Arial"/>
          <w:sz w:val="17"/>
          <w:szCs w:val="17"/>
          <w:color w:val="auto"/>
        </w:rPr>
        <w:t>hereof: (i) Executive has the full right, authority and capacity to enter into this Agreement and perform Executive’s obligations hereunder, (ii) has disclosed all applicable restrictive covenants or other obligations Executive has with any current or former employer,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Executive has not engaged and will not engage in the future in any conduct that is in breach of any restrictive covenant to which Executive may be bound or any fiduciary duty that Executive owes to any employer. The Executive</w:t>
      </w:r>
    </w:p>
    <w:p>
      <w:pPr>
        <w:sectPr>
          <w:pgSz w:w="11900" w:h="16838" w:orient="portrait"/>
          <w:cols w:equalWidth="0" w:num="1">
            <w:col w:w="11420"/>
          </w:cols>
          <w:pgMar w:left="240" w:top="13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70"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understands and acknowledges that Executive is not expected or permitted to possess, use or disclose any confidential information belonging to any current or former employer in the course of performing his duties for the Company.</w:t>
      </w:r>
    </w:p>
    <w:p>
      <w:pPr>
        <w:spacing w:after="0" w:line="169" w:lineRule="exact"/>
        <w:rPr>
          <w:sz w:val="20"/>
          <w:szCs w:val="20"/>
          <w:color w:val="auto"/>
        </w:rPr>
      </w:pPr>
    </w:p>
    <w:p>
      <w:pPr>
        <w:jc w:val="both"/>
        <w:ind w:firstLine="1305"/>
        <w:spacing w:after="0" w:line="287" w:lineRule="auto"/>
        <w:tabs>
          <w:tab w:leader="none" w:pos="1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90" w:lineRule="exact"/>
        <w:rPr>
          <w:sz w:val="20"/>
          <w:szCs w:val="20"/>
          <w:color w:val="auto"/>
        </w:rPr>
      </w:pPr>
    </w:p>
    <w:p>
      <w:pPr>
        <w:jc w:val="both"/>
        <w:ind w:firstLine="1305"/>
        <w:spacing w:after="0" w:line="303" w:lineRule="auto"/>
        <w:tabs>
          <w:tab w:leader="none" w:pos="172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the Term, the Company shall reimburse Executive for expenses reasonably incurred in connection therewith, including reasonable and necessary attorney fees where the attorney is engaged in consultation with the Company, and shall schedule such cooperation to the extent reasonably practicable so as not to unreasonably interfere with Executive’s business or personal affairs.</w:t>
      </w:r>
    </w:p>
    <w:p>
      <w:pPr>
        <w:spacing w:after="0" w:line="179" w:lineRule="exact"/>
        <w:rPr>
          <w:rFonts w:ascii="Arial" w:cs="Arial" w:eastAsia="Arial" w:hAnsi="Arial"/>
          <w:sz w:val="17"/>
          <w:szCs w:val="17"/>
          <w:color w:val="auto"/>
        </w:rPr>
      </w:pPr>
    </w:p>
    <w:p>
      <w:pPr>
        <w:jc w:val="both"/>
        <w:ind w:firstLine="1305"/>
        <w:spacing w:after="0" w:line="347" w:lineRule="auto"/>
        <w:tabs>
          <w:tab w:leader="none" w:pos="175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xml:space="preserve"> The Company may deduct and withhold from any amounts payable under this Agreement such Federal, state, local, non-U.S. or other taxes as are required or permitted to be withheld pursuant to any applicable law or regulation. Executive shall be responsible for all taxes (including self-employment taxes) in connection with his status as a member of the Company for U.S. federal income tax purposes.</w:t>
      </w:r>
    </w:p>
    <w:p>
      <w:pPr>
        <w:spacing w:after="0" w:line="147" w:lineRule="exact"/>
        <w:rPr>
          <w:rFonts w:ascii="Arial" w:cs="Arial" w:eastAsia="Arial" w:hAnsi="Arial"/>
          <w:sz w:val="16"/>
          <w:szCs w:val="16"/>
          <w:color w:val="auto"/>
        </w:rPr>
      </w:pPr>
    </w:p>
    <w:p>
      <w:pPr>
        <w:ind w:firstLine="1305"/>
        <w:spacing w:after="0" w:line="309" w:lineRule="auto"/>
        <w:tabs>
          <w:tab w:leader="none" w:pos="170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(a) This Agreement is personal to Executive and without the prior written consent of the Board shall not be assignable by Executive, and any assignment in violation of this Agreement shall be void.</w:t>
      </w:r>
    </w:p>
    <w:p>
      <w:pPr>
        <w:spacing w:after="0" w:line="169" w:lineRule="exact"/>
        <w:rPr>
          <w:sz w:val="20"/>
          <w:szCs w:val="20"/>
          <w:color w:val="auto"/>
        </w:rPr>
      </w:pPr>
    </w:p>
    <w:p>
      <w:pPr>
        <w:jc w:val="both"/>
        <w:ind w:firstLine="1305"/>
        <w:spacing w:after="0" w:line="295" w:lineRule="auto"/>
        <w:tabs>
          <w:tab w:leader="none" w:pos="17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Executive’s estate and heirs in the case of any payments due to Executive hereunder).</w:t>
      </w:r>
    </w:p>
    <w:p>
      <w:pPr>
        <w:spacing w:after="0" w:line="182" w:lineRule="exact"/>
        <w:rPr>
          <w:rFonts w:ascii="Arial" w:cs="Arial" w:eastAsia="Arial" w:hAnsi="Arial"/>
          <w:sz w:val="18"/>
          <w:szCs w:val="18"/>
          <w:color w:val="auto"/>
        </w:rPr>
      </w:pPr>
    </w:p>
    <w:p>
      <w:pPr>
        <w:jc w:val="both"/>
        <w:ind w:firstLine="1305"/>
        <w:spacing w:after="0" w:line="295" w:lineRule="auto"/>
        <w:tabs>
          <w:tab w:leader="none" w:pos="17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acknowledges and agrees that all of Executive’s covenants and obligations to the Company, as well as the rights of the Company hereunder, shall run in favor of and shall be enforceable by the Company and any successor or assign to all or substantially all of the Company’s business or assets.</w:t>
      </w:r>
    </w:p>
    <w:p>
      <w:pPr>
        <w:spacing w:after="0" w:line="182" w:lineRule="exact"/>
        <w:rPr>
          <w:sz w:val="20"/>
          <w:szCs w:val="20"/>
          <w:color w:val="auto"/>
        </w:rPr>
      </w:pPr>
    </w:p>
    <w:p>
      <w:pPr>
        <w:jc w:val="both"/>
        <w:ind w:firstLine="1305"/>
        <w:spacing w:after="0" w:line="337" w:lineRule="auto"/>
        <w:tabs>
          <w:tab w:leader="none" w:pos="181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Governing Law; No Construction Against Drafter.</w:t>
      </w:r>
      <w:r>
        <w:rPr>
          <w:rFonts w:ascii="Arial" w:cs="Arial" w:eastAsia="Arial" w:hAnsi="Arial"/>
          <w:sz w:val="16"/>
          <w:szCs w:val="16"/>
          <w:color w:val="auto"/>
        </w:rPr>
        <w:t xml:space="preserve"> This Agreement shall be deemed to be made in New York, and the validity, interpretation, construction, and performance of this Agreement in all respects shall be governed by the laws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ectPr>
          <w:pgSz w:w="11900" w:h="16838" w:orient="portrait"/>
          <w:cols w:equalWidth="0" w:num="1">
            <w:col w:w="11420"/>
          </w:cols>
          <w:pgMar w:left="240" w:top="13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70" w:lineRule="exact"/>
        <w:rPr>
          <w:sz w:val="20"/>
          <w:szCs w:val="20"/>
          <w:color w:val="auto"/>
        </w:rPr>
      </w:pPr>
    </w:p>
    <w:p>
      <w:pPr>
        <w:jc w:val="both"/>
        <w:ind w:right="20" w:firstLine="1305"/>
        <w:spacing w:after="0" w:line="290" w:lineRule="auto"/>
        <w:tabs>
          <w:tab w:leader="none" w:pos="172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controversy or other claim, other than claims solely for injunctive relief pursuant to Section 7, 8, 9 or 10, arising out of or relating to (i) this Agreement, or (ii) Executive’s employment with the Company shall be resolved by binding confidential arbitration, to be held in New York, New York in accordance with the Commercial Arbitration Rules of the American Arbitration Association. Judgment upon the award rendered by arbitrator(s) may be entered in any court having jurisdiction thereof.</w:t>
      </w:r>
    </w:p>
    <w:p>
      <w:pPr>
        <w:spacing w:after="0" w:line="188" w:lineRule="exact"/>
        <w:rPr>
          <w:rFonts w:ascii="Arial" w:cs="Arial" w:eastAsia="Arial" w:hAnsi="Arial"/>
          <w:sz w:val="18"/>
          <w:szCs w:val="18"/>
          <w:color w:val="auto"/>
        </w:rPr>
      </w:pPr>
    </w:p>
    <w:p>
      <w:pPr>
        <w:ind w:firstLine="1305"/>
        <w:spacing w:after="0" w:line="309" w:lineRule="auto"/>
        <w:tabs>
          <w:tab w:leader="none" w:pos="174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Amendment; No Waiver; 409A.</w:t>
      </w:r>
      <w:r>
        <w:rPr>
          <w:rFonts w:ascii="Arial" w:cs="Arial" w:eastAsia="Arial" w:hAnsi="Arial"/>
          <w:sz w:val="18"/>
          <w:szCs w:val="18"/>
          <w:color w:val="auto"/>
        </w:rPr>
        <w:t xml:space="preserve"> (a) No provisions of this Agreement may be amended, modified, waived or discharged except by a written document signed by Executive and a duly authorized officer of the Company (other than Executive).</w:t>
      </w:r>
    </w:p>
    <w:p>
      <w:pPr>
        <w:spacing w:after="0" w:line="169" w:lineRule="exact"/>
        <w:rPr>
          <w:sz w:val="20"/>
          <w:szCs w:val="20"/>
          <w:color w:val="auto"/>
        </w:rPr>
      </w:pPr>
    </w:p>
    <w:p>
      <w:pPr>
        <w:jc w:val="both"/>
        <w:ind w:firstLine="1305"/>
        <w:spacing w:after="0" w:line="288" w:lineRule="auto"/>
        <w:tabs>
          <w:tab w:leader="none" w:pos="16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9" w:lineRule="exact"/>
        <w:rPr>
          <w:rFonts w:ascii="Arial" w:cs="Arial" w:eastAsia="Arial" w:hAnsi="Arial"/>
          <w:sz w:val="18"/>
          <w:szCs w:val="18"/>
          <w:color w:val="auto"/>
        </w:rPr>
      </w:pPr>
    </w:p>
    <w:p>
      <w:pPr>
        <w:jc w:val="both"/>
        <w:ind w:firstLine="1305"/>
        <w:spacing w:after="0" w:line="286" w:lineRule="auto"/>
        <w:tabs>
          <w:tab w:leader="none" w:pos="17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the intention of the Company and Executive that this Agreement comply with the requirements of Section 409A, and this Agreement will be interpreted in a manner intended to comply with or be exempt from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191" w:lineRule="exact"/>
        <w:rPr>
          <w:rFonts w:ascii="Arial" w:cs="Arial" w:eastAsia="Arial" w:hAnsi="Arial"/>
          <w:sz w:val="18"/>
          <w:szCs w:val="18"/>
          <w:color w:val="auto"/>
        </w:rPr>
      </w:pPr>
    </w:p>
    <w:p>
      <w:pPr>
        <w:jc w:val="both"/>
        <w:ind w:firstLine="1305"/>
        <w:spacing w:after="0" w:line="332" w:lineRule="auto"/>
        <w:tabs>
          <w:tab w:leader="none" w:pos="16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that Executive is deemed to be a “specified employee” within the meaning of Section 409A(a)(2)(B)(i), no payments hereunder that are “deferred compensation” subject to Section 409A shall be made to Executive prior to the date that is six (6) months after the date of Executive’s “separation from service” (as defined in Treasury Regulation Section 1.409A-1(h)) or, if earlier, Executive’s date of death. Following any applicable six (6) month delay, all such delayed payments will be paid in a single lump sum on the earliest permissible payment date. For purposes of Section 409A, each of the payments that may be made under this Agreement are designated as separate payments.</w:t>
      </w:r>
    </w:p>
    <w:p>
      <w:pPr>
        <w:spacing w:after="0" w:line="158" w:lineRule="exact"/>
        <w:rPr>
          <w:rFonts w:ascii="Arial" w:cs="Arial" w:eastAsia="Arial" w:hAnsi="Arial"/>
          <w:sz w:val="16"/>
          <w:szCs w:val="16"/>
          <w:color w:val="auto"/>
        </w:rPr>
      </w:pPr>
    </w:p>
    <w:p>
      <w:pPr>
        <w:jc w:val="both"/>
        <w:ind w:firstLine="1305"/>
        <w:spacing w:after="0" w:line="295" w:lineRule="auto"/>
        <w:tabs>
          <w:tab w:leader="none" w:pos="16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 relating to “separation from service”.</w:t>
      </w:r>
    </w:p>
    <w:p>
      <w:pPr>
        <w:spacing w:after="0" w:line="182" w:lineRule="exact"/>
        <w:rPr>
          <w:rFonts w:ascii="Arial" w:cs="Arial" w:eastAsia="Arial" w:hAnsi="Arial"/>
          <w:sz w:val="18"/>
          <w:szCs w:val="18"/>
          <w:color w:val="auto"/>
        </w:rPr>
      </w:pPr>
    </w:p>
    <w:p>
      <w:pPr>
        <w:jc w:val="both"/>
        <w:ind w:firstLine="1305"/>
        <w:spacing w:after="0" w:line="288" w:lineRule="auto"/>
        <w:tabs>
          <w:tab w:leader="none" w:pos="16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that any reimbursements pursuant to Section 4(j) or 14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 4(j) and 14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90" w:lineRule="exact"/>
        <w:rPr>
          <w:sz w:val="20"/>
          <w:szCs w:val="20"/>
          <w:color w:val="auto"/>
        </w:rPr>
      </w:pPr>
    </w:p>
    <w:p>
      <w:pPr>
        <w:ind w:right="20" w:firstLine="1305"/>
        <w:spacing w:after="0" w:line="309" w:lineRule="auto"/>
        <w:tabs>
          <w:tab w:leader="none" w:pos="170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any part thereof of this Agreement, including Sections 7, 8, 9 and 10 hereof, as applied to either party or to any circumstances, shall be adjudged by a court of competent</w:t>
      </w:r>
    </w:p>
    <w:p>
      <w:pPr>
        <w:sectPr>
          <w:pgSz w:w="11900" w:h="16838" w:orient="portrait"/>
          <w:cols w:equalWidth="0" w:num="1">
            <w:col w:w="11420"/>
          </w:cols>
          <w:pgMar w:left="240" w:top="13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7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jurisdiction to be invalid or unenforceable, the same shall in no way affect any other provision or remaining part thereof of this Agreement, which shall be given full effect without regard to the invalid or unenforceable provision or part thereof, or the validity or enforceability of this Agreement.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0" w:lineRule="exact"/>
        <w:rPr>
          <w:sz w:val="20"/>
          <w:szCs w:val="20"/>
          <w:color w:val="auto"/>
        </w:rPr>
      </w:pPr>
    </w:p>
    <w:p>
      <w:pPr>
        <w:jc w:val="both"/>
        <w:ind w:firstLine="1305"/>
        <w:spacing w:after="0" w:line="290" w:lineRule="auto"/>
        <w:tabs>
          <w:tab w:leader="none" w:pos="176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w:t>
      </w:r>
    </w:p>
    <w:p>
      <w:pPr>
        <w:spacing w:after="0" w:line="188" w:lineRule="exact"/>
        <w:rPr>
          <w:rFonts w:ascii="Arial" w:cs="Arial" w:eastAsia="Arial" w:hAnsi="Arial"/>
          <w:sz w:val="18"/>
          <w:szCs w:val="18"/>
          <w:color w:val="auto"/>
        </w:rPr>
      </w:pPr>
    </w:p>
    <w:p>
      <w:pPr>
        <w:jc w:val="both"/>
        <w:ind w:firstLine="1305"/>
        <w:spacing w:after="0" w:line="290" w:lineRule="auto"/>
        <w:tabs>
          <w:tab w:leader="none" w:pos="175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rights and obligations of the parties under the provisions of this Agreement (including without limitation, Sections 7 through 12 and Section 14)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88" w:lineRule="exact"/>
        <w:rPr>
          <w:rFonts w:ascii="Arial" w:cs="Arial" w:eastAsia="Arial" w:hAnsi="Arial"/>
          <w:sz w:val="18"/>
          <w:szCs w:val="18"/>
          <w:color w:val="auto"/>
        </w:rPr>
      </w:pPr>
    </w:p>
    <w:p>
      <w:pPr>
        <w:jc w:val="both"/>
        <w:ind w:firstLine="1305"/>
        <w:spacing w:after="0" w:line="312" w:lineRule="auto"/>
        <w:tabs>
          <w:tab w:leader="none" w:pos="1701"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business day in the case of express mail or overnight courier service) to the parties at the following addresses or facsimiles (or at such other address for a party as shall be specified by like notice):</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the Company:</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ExlService Holdings, Inc.</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280 Park Avenue</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New York, New York 10017</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Attn: Nancy Saltzman, Esq.</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Fax: (212) 624-5933</w:t>
      </w:r>
    </w:p>
    <w:p>
      <w:pPr>
        <w:spacing w:after="0" w:line="2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Executive:</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Nalin Kumar Miglani</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Notices delivered by electronic mail shall have the same legal effect as if such notice had been delivered in person.</w:t>
      </w:r>
    </w:p>
    <w:p>
      <w:pPr>
        <w:spacing w:after="0" w:line="239" w:lineRule="exact"/>
        <w:rPr>
          <w:sz w:val="20"/>
          <w:szCs w:val="20"/>
          <w:color w:val="auto"/>
        </w:rPr>
      </w:pPr>
    </w:p>
    <w:p>
      <w:pPr>
        <w:ind w:firstLine="1305"/>
        <w:spacing w:after="0" w:line="309" w:lineRule="auto"/>
        <w:tabs>
          <w:tab w:leader="none" w:pos="178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Headings and References.</w:t>
      </w:r>
      <w:r>
        <w:rPr>
          <w:rFonts w:ascii="Arial" w:cs="Arial" w:eastAsia="Arial" w:hAnsi="Arial"/>
          <w:sz w:val="18"/>
          <w:szCs w:val="18"/>
          <w:color w:val="auto"/>
        </w:rPr>
        <w:t xml:space="preserve"> The headings of this Agreement are inserted for convenience only and neither constitute a part of this Agreement nor affect in any way the meaning or interpretation of this Agreement.</w:t>
      </w:r>
    </w:p>
    <w:p>
      <w:pPr>
        <w:sectPr>
          <w:pgSz w:w="11900" w:h="16838" w:orient="portrait"/>
          <w:cols w:equalWidth="0" w:num="1">
            <w:col w:w="11420"/>
          </w:cols>
          <w:pgMar w:left="240" w:top="13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When a reference in this Agreement is made to a Section, such reference shall be to a Section of this Agreement unless otherwise indicated.</w:t>
      </w:r>
    </w:p>
    <w:p>
      <w:pPr>
        <w:spacing w:after="0" w:line="252" w:lineRule="exact"/>
        <w:rPr>
          <w:sz w:val="20"/>
          <w:szCs w:val="20"/>
          <w:color w:val="auto"/>
        </w:rPr>
      </w:pPr>
    </w:p>
    <w:p>
      <w:pPr>
        <w:jc w:val="both"/>
        <w:ind w:firstLine="1305"/>
        <w:spacing w:after="0" w:line="295" w:lineRule="auto"/>
        <w:tabs>
          <w:tab w:leader="none" w:pos="181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this Agreement has been duly executed by the parties as of the date first written above.</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Rohit Kapoor</w:t>
      </w:r>
      <w:r>
        <w:rPr>
          <w:rFonts w:ascii="Arial" w:cs="Arial" w:eastAsia="Arial" w:hAnsi="Arial"/>
          <w:sz w:val="18"/>
          <w:szCs w:val="18"/>
          <w:color w:val="auto"/>
        </w:rPr>
        <w:t>________________________</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Rohit Kapoor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Vice Chairman &amp; CEO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NALIN KUMAR MIGLANI</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Nalin Kumarn Miglani</w:t>
      </w:r>
      <w:r>
        <w:rPr>
          <w:rFonts w:ascii="Arial" w:cs="Arial" w:eastAsia="Arial" w:hAnsi="Arial"/>
          <w:sz w:val="18"/>
          <w:szCs w:val="18"/>
          <w:color w:val="auto"/>
        </w:rPr>
        <w:t>____________________</w:t>
      </w:r>
    </w:p>
    <w:p>
      <w:pPr>
        <w:spacing w:after="0" w:line="200" w:lineRule="exact"/>
        <w:rPr>
          <w:sz w:val="20"/>
          <w:szCs w:val="20"/>
          <w:color w:val="auto"/>
        </w:rPr>
      </w:pPr>
    </w:p>
    <w:p>
      <w:pPr>
        <w:spacing w:after="0" w:line="3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6/9/2014</w:t>
      </w:r>
      <w:r>
        <w:rPr>
          <w:rFonts w:ascii="Arial" w:cs="Arial" w:eastAsia="Arial" w:hAnsi="Arial"/>
          <w:sz w:val="18"/>
          <w:szCs w:val="18"/>
          <w:color w:val="auto"/>
        </w:rPr>
        <w:t>_________________</w:t>
      </w:r>
    </w:p>
    <w:p>
      <w:pPr>
        <w:sectPr>
          <w:pgSz w:w="11900" w:h="16838" w:orient="portrait"/>
          <w:cols w:equalWidth="0" w:num="1">
            <w:col w:w="11420"/>
          </w:cols>
          <w:pgMar w:left="240" w:top="13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62"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October 1, 2014 is entered into by and between ExlService Holdings, Inc., a company organized under the laws of Delaware (“</w:t>
      </w:r>
      <w:r>
        <w:rPr>
          <w:rFonts w:ascii="Arial" w:cs="Arial" w:eastAsia="Arial" w:hAnsi="Arial"/>
          <w:sz w:val="18"/>
          <w:szCs w:val="18"/>
          <w:u w:val="single" w:color="auto"/>
          <w:color w:val="auto"/>
        </w:rPr>
        <w:t>Holdings</w:t>
      </w:r>
      <w:r>
        <w:rPr>
          <w:rFonts w:ascii="Arial" w:cs="Arial" w:eastAsia="Arial" w:hAnsi="Arial"/>
          <w:sz w:val="18"/>
          <w:szCs w:val="18"/>
          <w:color w:val="auto"/>
        </w:rPr>
        <w:t>”) (together with ExlService.com, Inc. (“</w:t>
      </w:r>
      <w:r>
        <w:rPr>
          <w:rFonts w:ascii="Arial" w:cs="Arial" w:eastAsia="Arial" w:hAnsi="Arial"/>
          <w:sz w:val="18"/>
          <w:szCs w:val="18"/>
          <w:u w:val="single" w:color="auto"/>
          <w:color w:val="auto"/>
        </w:rPr>
        <w:t>ExlService</w:t>
      </w:r>
      <w:r>
        <w:rPr>
          <w:rFonts w:ascii="Arial" w:cs="Arial" w:eastAsia="Arial" w:hAnsi="Arial"/>
          <w:sz w:val="18"/>
          <w:szCs w:val="18"/>
          <w:color w:val="auto"/>
        </w:rPr>
        <w:t>”), the “</w:t>
      </w:r>
      <w:r>
        <w:rPr>
          <w:rFonts w:ascii="Arial" w:cs="Arial" w:eastAsia="Arial" w:hAnsi="Arial"/>
          <w:sz w:val="18"/>
          <w:szCs w:val="18"/>
          <w:u w:val="single" w:color="auto"/>
          <w:color w:val="auto"/>
        </w:rPr>
        <w:t>Company</w:t>
      </w:r>
      <w:r>
        <w:rPr>
          <w:rFonts w:ascii="Arial" w:cs="Arial" w:eastAsia="Arial" w:hAnsi="Arial"/>
          <w:sz w:val="18"/>
          <w:szCs w:val="18"/>
          <w:color w:val="auto"/>
        </w:rPr>
        <w:t>”), and Henry N. Schweppe, III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90" w:lineRule="exact"/>
        <w:rPr>
          <w:sz w:val="20"/>
          <w:szCs w:val="20"/>
          <w:color w:val="auto"/>
        </w:rPr>
      </w:pPr>
    </w:p>
    <w:p>
      <w:pPr>
        <w:jc w:val="both"/>
        <w:ind w:firstLine="1297"/>
        <w:spacing w:after="0" w:line="309" w:lineRule="auto"/>
        <w:rPr>
          <w:sz w:val="20"/>
          <w:szCs w:val="20"/>
          <w:color w:val="auto"/>
        </w:rPr>
      </w:pPr>
      <w:r>
        <w:rPr>
          <w:rFonts w:ascii="Arial" w:cs="Arial" w:eastAsia="Arial" w:hAnsi="Arial"/>
          <w:sz w:val="18"/>
          <w:szCs w:val="18"/>
          <w:color w:val="auto"/>
        </w:rPr>
        <w:t>WHEREAS, Executive has agreed to become employed by the Company, and the Company agrees to employ Executive, subject to the terms and conditions set forth herein.</w:t>
      </w:r>
    </w:p>
    <w:p>
      <w:pPr>
        <w:spacing w:after="0" w:line="169" w:lineRule="exact"/>
        <w:rPr>
          <w:sz w:val="20"/>
          <w:szCs w:val="20"/>
          <w:color w:val="auto"/>
        </w:rPr>
      </w:pPr>
    </w:p>
    <w:p>
      <w:pPr>
        <w:jc w:val="both"/>
        <w:ind w:firstLine="1297"/>
        <w:spacing w:after="0" w:line="309" w:lineRule="auto"/>
        <w:rPr>
          <w:sz w:val="20"/>
          <w:szCs w:val="20"/>
          <w:color w:val="auto"/>
        </w:rPr>
      </w:pPr>
      <w:r>
        <w:rPr>
          <w:rFonts w:ascii="Arial" w:cs="Arial" w:eastAsia="Arial" w:hAnsi="Arial"/>
          <w:sz w:val="18"/>
          <w:szCs w:val="18"/>
          <w:color w:val="auto"/>
        </w:rPr>
        <w:t>NOW, THEREFORE, in consideration of the mutual agreements, provisions and covenants contained herein, and intending to be legally bound hereby, the parties hereto agree as set forth below:</w:t>
      </w:r>
    </w:p>
    <w:p>
      <w:pPr>
        <w:spacing w:after="0" w:line="196" w:lineRule="exact"/>
        <w:rPr>
          <w:sz w:val="20"/>
          <w:szCs w:val="20"/>
          <w:color w:val="auto"/>
        </w:rPr>
      </w:pPr>
    </w:p>
    <w:p>
      <w:pPr>
        <w:jc w:val="both"/>
        <w:ind w:firstLine="1305"/>
        <w:spacing w:after="0" w:line="353" w:lineRule="auto"/>
        <w:tabs>
          <w:tab w:leader="none" w:pos="224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 Effectiveness.</w:t>
      </w:r>
      <w:r>
        <w:rPr>
          <w:rFonts w:ascii="Arial" w:cs="Arial" w:eastAsia="Arial" w:hAnsi="Arial"/>
          <w:sz w:val="18"/>
          <w:szCs w:val="18"/>
          <w:color w:val="auto"/>
        </w:rPr>
        <w:t xml:space="preserve"> (a) The term of Executive’s employment under this Agreement shall commence as of the later of October 1, 2014 or the Executive’s first day of active employment with the Company (the “Effective Date”) and shall continue until Executive’s employment under this Agreement is terminated pursuant to the provisions of Section 5 hereof. The period of time from the Effective Date through the termination of Executive’s employment hereunder is herein referred to as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60" w:lineRule="exact"/>
        <w:rPr>
          <w:sz w:val="20"/>
          <w:szCs w:val="20"/>
          <w:color w:val="auto"/>
        </w:rPr>
      </w:pPr>
    </w:p>
    <w:p>
      <w:pPr>
        <w:jc w:val="both"/>
        <w:ind w:firstLine="1305"/>
        <w:spacing w:after="0" w:line="295" w:lineRule="auto"/>
        <w:tabs>
          <w:tab w:leader="none" w:pos="1698"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agrees and acknowledges that Executive is an at-will employee and the Company has no obligation to maintain the Term or to continue Executive’s employment hereunder for any specific period of time, and Executive expressly acknowledges that no promises or understandings to the contrary have been made or reached.</w:t>
      </w:r>
    </w:p>
    <w:p>
      <w:pPr>
        <w:spacing w:after="0" w:line="182" w:lineRule="exact"/>
        <w:rPr>
          <w:rFonts w:ascii="Arial" w:cs="Arial" w:eastAsia="Arial" w:hAnsi="Arial"/>
          <w:sz w:val="18"/>
          <w:szCs w:val="18"/>
          <w:color w:val="auto"/>
        </w:rPr>
      </w:pPr>
    </w:p>
    <w:p>
      <w:pPr>
        <w:ind w:left="1680" w:hanging="375"/>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Agreement shall be binding upon the parties upon the execution hereof.</w:t>
      </w:r>
    </w:p>
    <w:p>
      <w:pPr>
        <w:spacing w:after="0" w:line="279" w:lineRule="exact"/>
        <w:rPr>
          <w:sz w:val="20"/>
          <w:szCs w:val="20"/>
          <w:color w:val="auto"/>
        </w:rPr>
      </w:pPr>
    </w:p>
    <w:p>
      <w:pPr>
        <w:ind w:left="2240" w:hanging="935"/>
        <w:spacing w:after="0"/>
        <w:tabs>
          <w:tab w:leader="none" w:pos="224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this Agreement, the following terms, as used herein, shall have the definitions set forth below.</w:t>
      </w:r>
    </w:p>
    <w:p>
      <w:pPr>
        <w:spacing w:after="0" w:line="291" w:lineRule="exact"/>
        <w:rPr>
          <w:sz w:val="20"/>
          <w:szCs w:val="20"/>
          <w:color w:val="auto"/>
        </w:rPr>
      </w:pPr>
    </w:p>
    <w:p>
      <w:pPr>
        <w:jc w:val="both"/>
        <w:ind w:firstLine="1305"/>
        <w:spacing w:after="0" w:line="295" w:lineRule="auto"/>
        <w:tabs>
          <w:tab w:leader="none" w:pos="18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 provided that, in any event, any business in which the Company has any direct or indirect ownership interest shall be treated as an Affiliate of the Company.</w:t>
      </w:r>
    </w:p>
    <w:p>
      <w:pPr>
        <w:spacing w:after="0" w:line="182" w:lineRule="exact"/>
        <w:rPr>
          <w:rFonts w:ascii="Arial" w:cs="Arial" w:eastAsia="Arial" w:hAnsi="Arial"/>
          <w:sz w:val="18"/>
          <w:szCs w:val="18"/>
          <w:color w:val="auto"/>
        </w:rPr>
      </w:pPr>
    </w:p>
    <w:p>
      <w:pPr>
        <w:ind w:right="20" w:firstLine="1305"/>
        <w:spacing w:after="0" w:line="309" w:lineRule="auto"/>
        <w:tabs>
          <w:tab w:leader="none" w:pos="17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69" w:lineRule="exact"/>
        <w:rPr>
          <w:rFonts w:ascii="Arial" w:cs="Arial" w:eastAsia="Arial" w:hAnsi="Arial"/>
          <w:sz w:val="18"/>
          <w:szCs w:val="18"/>
          <w:color w:val="auto"/>
        </w:rPr>
      </w:pPr>
    </w:p>
    <w:p>
      <w:pPr>
        <w:ind w:firstLine="1305"/>
        <w:spacing w:after="0" w:line="309" w:lineRule="auto"/>
        <w:tabs>
          <w:tab w:leader="none" w:pos="18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firm, joint venture, association, joint-stock company, trust, unincorporated organization, governmental or regulatory body or other entity.</w:t>
      </w:r>
    </w:p>
    <w:p>
      <w:pPr>
        <w:spacing w:after="0" w:line="169" w:lineRule="exact"/>
        <w:rPr>
          <w:rFonts w:ascii="Arial" w:cs="Arial" w:eastAsia="Arial" w:hAnsi="Arial"/>
          <w:sz w:val="18"/>
          <w:szCs w:val="18"/>
          <w:color w:val="auto"/>
        </w:rPr>
      </w:pPr>
    </w:p>
    <w:p>
      <w:pPr>
        <w:jc w:val="both"/>
        <w:ind w:firstLine="1305"/>
        <w:spacing w:after="0" w:line="290" w:lineRule="auto"/>
        <w:tabs>
          <w:tab w:leader="none" w:pos="16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(i) any corporation of which at least a majority of the voting power with respect to the capital stock is owned, directly or indirectly, by such Person, any of its other Subsidiaries or any combination thereof or (ii) any Person other than a corporation in which such Person, any of its other Subsidiaries or any combination thereof has, directly or indirectly, at least a majority of the total equity or other ownership interest therein.</w:t>
      </w:r>
    </w:p>
    <w:p>
      <w:pPr>
        <w:spacing w:after="0" w:line="215" w:lineRule="exact"/>
        <w:rPr>
          <w:sz w:val="20"/>
          <w:szCs w:val="20"/>
          <w:color w:val="auto"/>
        </w:rPr>
      </w:pPr>
    </w:p>
    <w:p>
      <w:pPr>
        <w:jc w:val="both"/>
        <w:ind w:firstLine="1305"/>
        <w:spacing w:after="0" w:line="358" w:lineRule="auto"/>
        <w:tabs>
          <w:tab w:leader="none" w:pos="224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w:t>
      </w:r>
      <w:r>
        <w:rPr>
          <w:rFonts w:ascii="Arial" w:cs="Arial" w:eastAsia="Arial" w:hAnsi="Arial"/>
          <w:sz w:val="18"/>
          <w:szCs w:val="18"/>
          <w:color w:val="auto"/>
        </w:rPr>
        <w:t xml:space="preserve"> (a) Executive agrees to be employed by the Company and be actively engaged on a full-time basis in the business and activities of the Company and its Affiliates for the entirety of the Term, and, subject to Section 3(b), to devote substantially all of Executive’s working time and attention to the</w:t>
      </w:r>
    </w:p>
    <w:p>
      <w:pPr>
        <w:sectPr>
          <w:pgSz w:w="11900" w:h="16838" w:orient="portrait"/>
          <w:cols w:equalWidth="0" w:num="1">
            <w:col w:w="11420"/>
          </w:cols>
          <w:pgMar w:left="240" w:top="13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09" w:lineRule="exact"/>
        <w:rPr>
          <w:sz w:val="20"/>
          <w:szCs w:val="20"/>
          <w:color w:val="auto"/>
        </w:rPr>
      </w:pPr>
    </w:p>
    <w:p>
      <w:pPr>
        <w:jc w:val="both"/>
        <w:spacing w:after="0" w:line="387" w:lineRule="auto"/>
        <w:rPr>
          <w:sz w:val="20"/>
          <w:szCs w:val="20"/>
          <w:color w:val="auto"/>
        </w:rPr>
      </w:pPr>
      <w:r>
        <w:rPr>
          <w:rFonts w:ascii="Arial" w:cs="Arial" w:eastAsia="Arial" w:hAnsi="Arial"/>
          <w:sz w:val="16"/>
          <w:szCs w:val="16"/>
          <w:color w:val="auto"/>
        </w:rPr>
        <w:t>Company and its Affiliates and the promotion of its business and interests and the performance of Executive’s duties and responsibilities hereunder. During the Term, Executive agrees to use his reasonable best efforts to ensure that the business and activities of the Company and its Subsidiaries, that are under his direction, are conducted in accordance with the Company’s practices and/or applicable laws, rules and regulations in all material respects and as such are interpreted by the Company’s law department and compliance professionals. Executive shall be employed hereunder as President, Global Business and Marketing of Holdings, or such other title as agreed to between Executive and the Chief Executive Officer of Holdings (“</w:t>
      </w:r>
      <w:r>
        <w:rPr>
          <w:rFonts w:ascii="Arial" w:cs="Arial" w:eastAsia="Arial" w:hAnsi="Arial"/>
          <w:sz w:val="16"/>
          <w:szCs w:val="16"/>
          <w:u w:val="single" w:color="auto"/>
          <w:color w:val="auto"/>
        </w:rPr>
        <w:t>President,”</w:t>
      </w:r>
      <w:r>
        <w:rPr>
          <w:rFonts w:ascii="Arial" w:cs="Arial" w:eastAsia="Arial" w:hAnsi="Arial"/>
          <w:sz w:val="16"/>
          <w:szCs w:val="16"/>
          <w:color w:val="auto"/>
        </w:rPr>
        <w:t>) with such duties and responsibilities customary for companies of comparable size to the Company in the Company’s industry and commensurate with Executive’s status and position hereunder and directed from time to time by the Chief Executive Officer of Holdings as commensurate with Executive’s position. Executive shall report directly to the Chief Executive Officer of Holdings. Executive’s responsibilities shall include, without limitation, (1) providing executive leadership for</w:t>
      </w:r>
    </w:p>
    <w:p>
      <w:pPr>
        <w:spacing w:after="0" w:line="4" w:lineRule="exact"/>
        <w:rPr>
          <w:sz w:val="20"/>
          <w:szCs w:val="20"/>
          <w:color w:val="auto"/>
        </w:rPr>
      </w:pPr>
    </w:p>
    <w:p>
      <w:pPr>
        <w:ind w:firstLine="8"/>
        <w:spacing w:after="0" w:line="371" w:lineRule="auto"/>
        <w:tabs>
          <w:tab w:leader="none" w:pos="2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of the Company’s lines of business, (%3) the Company’s global marketing strategy, and (%3) front end support for client delivery and (2) providing strategic leadership on corporate strategy and other management matters.</w:t>
      </w:r>
    </w:p>
    <w:p>
      <w:pPr>
        <w:spacing w:after="0" w:line="143" w:lineRule="exact"/>
        <w:rPr>
          <w:rFonts w:ascii="Arial" w:cs="Arial" w:eastAsia="Arial" w:hAnsi="Arial"/>
          <w:sz w:val="18"/>
          <w:szCs w:val="18"/>
          <w:color w:val="auto"/>
        </w:rPr>
      </w:pPr>
    </w:p>
    <w:p>
      <w:pPr>
        <w:jc w:val="both"/>
        <w:ind w:firstLine="1305"/>
        <w:spacing w:after="0" w:line="304" w:lineRule="auto"/>
        <w:tabs>
          <w:tab w:leader="none" w:pos="1715" w:val="left"/>
        </w:tabs>
        <w:numPr>
          <w:ilvl w:val="1"/>
          <w:numId w:val="58"/>
        </w:numPr>
        <w:rPr>
          <w:rFonts w:ascii="Arial" w:cs="Arial" w:eastAsia="Arial" w:hAnsi="Arial"/>
          <w:sz w:val="17"/>
          <w:szCs w:val="17"/>
          <w:color w:val="auto"/>
        </w:rPr>
      </w:pPr>
      <w:r>
        <w:rPr>
          <w:rFonts w:ascii="Arial" w:cs="Arial" w:eastAsia="Arial" w:hAnsi="Arial"/>
          <w:sz w:val="17"/>
          <w:szCs w:val="17"/>
          <w:color w:val="auto"/>
        </w:rPr>
        <w:t>During the Term, Executive shall use Executive’s reasonable best efforts to faithfully and diligently serve the Company and shall not act in any capacity that is in conflict with Executive’s duties and responsibilities hereunder. For the avoidance of doubt, during the Term, Executive shall not be permitted to become employed by, engaged in or to render services for any Person other than the Company and its Affiliates, shall not be permitted to be a member of the board of directors of any Person (other than charitable or nonprofit organizations), in any case without the consent of the Board of Directors of Holdings (the “</w:t>
      </w:r>
      <w:r>
        <w:rPr>
          <w:rFonts w:ascii="Arial" w:cs="Arial" w:eastAsia="Arial" w:hAnsi="Arial"/>
          <w:sz w:val="17"/>
          <w:szCs w:val="17"/>
          <w:u w:val="single" w:color="auto"/>
          <w:color w:val="auto"/>
        </w:rPr>
        <w:t>Board</w:t>
      </w:r>
      <w:r>
        <w:rPr>
          <w:rFonts w:ascii="Arial" w:cs="Arial" w:eastAsia="Arial" w:hAnsi="Arial"/>
          <w:sz w:val="17"/>
          <w:szCs w:val="17"/>
          <w:color w:val="auto"/>
        </w:rPr>
        <w:t>”), and shall not be directly or indirectly materially engaged, or concerned or interested in any business activity, trade or occupation (other than employment with the Company and its Affiliates as contemplated by the Agreement); provided that nothing herein shall preclude Executive from engaging in charitable or community affairs and managing his personal investments to the extent that such other activities do not inhibit or, subject to Section 7, conflict in any material way with the performance of Executive’s duties hereunder.</w:t>
      </w:r>
    </w:p>
    <w:p>
      <w:pPr>
        <w:spacing w:after="0" w:line="180" w:lineRule="exact"/>
        <w:rPr>
          <w:rFonts w:ascii="Arial" w:cs="Arial" w:eastAsia="Arial" w:hAnsi="Arial"/>
          <w:sz w:val="17"/>
          <w:szCs w:val="17"/>
          <w:color w:val="auto"/>
        </w:rPr>
      </w:pPr>
    </w:p>
    <w:p>
      <w:pPr>
        <w:jc w:val="both"/>
        <w:ind w:firstLine="1305"/>
        <w:spacing w:after="0" w:line="377" w:lineRule="auto"/>
        <w:tabs>
          <w:tab w:leader="none" w:pos="171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Company agrees to provide Executive such assistance and work accommodations as are suitable to the character of his position with the Company and adequate for the performance of his duties. The Executive shall be based at the Company’s executive offices in Manhattan, New York.</w:t>
      </w:r>
    </w:p>
    <w:p>
      <w:pPr>
        <w:spacing w:after="0" w:line="151" w:lineRule="exact"/>
        <w:rPr>
          <w:sz w:val="20"/>
          <w:szCs w:val="20"/>
          <w:color w:val="auto"/>
        </w:rPr>
      </w:pPr>
    </w:p>
    <w:p>
      <w:pPr>
        <w:jc w:val="both"/>
        <w:ind w:firstLine="1305"/>
        <w:spacing w:after="0" w:line="353" w:lineRule="auto"/>
        <w:tabs>
          <w:tab w:leader="none" w:pos="224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Base Compensation.</w:t>
      </w:r>
      <w:r>
        <w:rPr>
          <w:rFonts w:ascii="Arial" w:cs="Arial" w:eastAsia="Arial" w:hAnsi="Arial"/>
          <w:sz w:val="18"/>
          <w:szCs w:val="18"/>
          <w:color w:val="auto"/>
        </w:rPr>
        <w:t xml:space="preserve"> During the Term, for all services rendered under this Agreement, Executive shall receive an aggregate annual base salary (“</w:t>
      </w:r>
      <w:r>
        <w:rPr>
          <w:rFonts w:ascii="Arial" w:cs="Arial" w:eastAsia="Arial" w:hAnsi="Arial"/>
          <w:sz w:val="18"/>
          <w:szCs w:val="18"/>
          <w:u w:val="single" w:color="auto"/>
          <w:color w:val="auto"/>
        </w:rPr>
        <w:t>Base Salary</w:t>
      </w:r>
      <w:r>
        <w:rPr>
          <w:rFonts w:ascii="Arial" w:cs="Arial" w:eastAsia="Arial" w:hAnsi="Arial"/>
          <w:sz w:val="18"/>
          <w:szCs w:val="18"/>
          <w:color w:val="auto"/>
        </w:rPr>
        <w:t>”) at a rate of $450,000 per annum, payable in accordance with the Company’s applicable payroll practices. The Base Salary shall be reviewed no less frequently than annually during the Term for increase, if any, in the sole discretion of the Compensation Committee of the Board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w:t>
      </w:r>
    </w:p>
    <w:p>
      <w:pPr>
        <w:spacing w:after="0" w:line="160" w:lineRule="exact"/>
        <w:rPr>
          <w:sz w:val="20"/>
          <w:szCs w:val="20"/>
          <w:color w:val="auto"/>
        </w:rPr>
      </w:pPr>
    </w:p>
    <w:p>
      <w:pPr>
        <w:ind w:firstLine="1305"/>
        <w:spacing w:after="0" w:line="286" w:lineRule="auto"/>
        <w:tabs>
          <w:tab w:leader="none" w:pos="168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During the Term, Executive shall have the opportunity to earn an annual target bonus equivalent to 75% of Executive’s Base Salary at target, with a maximum payment of no greater than 150% of Executive’s Base Salary (the “</w:t>
      </w:r>
      <w:r>
        <w:rPr>
          <w:rFonts w:ascii="Arial" w:cs="Arial" w:eastAsia="Arial" w:hAnsi="Arial"/>
          <w:sz w:val="18"/>
          <w:szCs w:val="18"/>
          <w:u w:val="single" w:color="auto"/>
          <w:color w:val="auto"/>
        </w:rPr>
        <w:t>Annual Bonus</w:t>
      </w:r>
      <w:r>
        <w:rPr>
          <w:rFonts w:ascii="Arial" w:cs="Arial" w:eastAsia="Arial" w:hAnsi="Arial"/>
          <w:sz w:val="18"/>
          <w:szCs w:val="18"/>
          <w:color w:val="auto"/>
        </w:rPr>
        <w:t>”). The actual amount of the Annual Bonus earned by the Executive shall be determined in accordance with the terms of the Company’s executive bonus plan which is administered by the Compensation Committee. Any Annual Bonus due to the Executive shall be paid in March for the performance during the preceding fiscal year. Subject to the terms of the Company’s bonus policy as in effect from time to time, in order to receive an Annual Bonus, Executive must (A) be actively employed by the Company, (B) not be serving any notice period relating to the anticipated termination of the employment relationship and (C) be performing his duties in good faith on the date such Annual Bonus is paid.</w:t>
      </w:r>
    </w:p>
    <w:p>
      <w:pPr>
        <w:spacing w:after="0" w:line="191" w:lineRule="exact"/>
        <w:rPr>
          <w:rFonts w:ascii="Arial" w:cs="Arial" w:eastAsia="Arial" w:hAnsi="Arial"/>
          <w:sz w:val="18"/>
          <w:szCs w:val="18"/>
          <w:color w:val="auto"/>
        </w:rPr>
      </w:pPr>
    </w:p>
    <w:p>
      <w:pPr>
        <w:ind w:firstLine="1305"/>
        <w:spacing w:after="0" w:line="309" w:lineRule="auto"/>
        <w:tabs>
          <w:tab w:leader="none" w:pos="170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Joining Bonus</w:t>
      </w:r>
      <w:r>
        <w:rPr>
          <w:rFonts w:ascii="Arial" w:cs="Arial" w:eastAsia="Arial" w:hAnsi="Arial"/>
          <w:sz w:val="18"/>
          <w:szCs w:val="18"/>
          <w:color w:val="auto"/>
        </w:rPr>
        <w:t>. Executive shall be entitled to receive a joining bonus of $350,000 (the “Joining Bonus”). The Joining Bonus shall be payable in two equal installments. The first $175,000 shall be due upon</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82"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joining and will be paid no later than the first bi-monthly payroll cycle following the Effective Date. The second $175,000 shall be due in March 2015 and will be paid in the first payroll in March 2015. In the event that Executive’s employment is terminated within two years of the Effective Date (i) by Executive other than for Good Reason or (ii) by the Company for Cause, Executive shall and hereby does agree to repay the Company in full for the Joining Bonus. For the avoidance of doubt, in the event that Executive’s employment is terminated due to death or Disability then the Executive does not have to repay any of the Joining Bonus. Additionally, in the event that Executive’s employment is terminated prior to the payment of the second installment of the Joining Bonus for any other reason than Cause or he resigns for Good Reason, the second installment shall be paid to Executive upon termination in a lump sum.</w:t>
      </w:r>
    </w:p>
    <w:p>
      <w:pPr>
        <w:spacing w:after="0" w:line="161" w:lineRule="exact"/>
        <w:rPr>
          <w:sz w:val="20"/>
          <w:szCs w:val="20"/>
          <w:color w:val="auto"/>
        </w:rPr>
      </w:pPr>
    </w:p>
    <w:p>
      <w:pPr>
        <w:ind w:left="1700" w:hanging="395"/>
        <w:spacing w:after="0"/>
        <w:tabs>
          <w:tab w:leader="none" w:pos="1700"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Bonus Performance Targets for 2015 and Beyond</w:t>
      </w:r>
      <w:r>
        <w:rPr>
          <w:rFonts w:ascii="Arial" w:cs="Arial" w:eastAsia="Arial" w:hAnsi="Arial"/>
          <w:sz w:val="16"/>
          <w:szCs w:val="16"/>
          <w:color w:val="auto"/>
        </w:rPr>
        <w:t>. In consideration of the signing bonus offered to the Executive described in Section</w:t>
      </w:r>
    </w:p>
    <w:p>
      <w:pPr>
        <w:spacing w:after="0" w:line="59" w:lineRule="exact"/>
        <w:rPr>
          <w:rFonts w:ascii="Arial" w:cs="Arial" w:eastAsia="Arial" w:hAnsi="Arial"/>
          <w:sz w:val="16"/>
          <w:szCs w:val="16"/>
          <w:color w:val="auto"/>
        </w:rPr>
      </w:pPr>
    </w:p>
    <w:p>
      <w:pPr>
        <w:jc w:val="both"/>
        <w:ind w:firstLine="8"/>
        <w:spacing w:after="0" w:line="295" w:lineRule="auto"/>
        <w:tabs>
          <w:tab w:leader="none" w:pos="2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above, Executive acknowledges he is not entitled to any Annual Bonus for the fiscal year ending December 31, 2014. With respect to fiscal years ending after December 31, 2014, the Compensation Committee shall determine the Company-wide objectives and personal objectives in its sole discretion upon which the Annual Bonus shall be based.</w:t>
      </w:r>
    </w:p>
    <w:p>
      <w:pPr>
        <w:spacing w:after="0" w:line="182" w:lineRule="exact"/>
        <w:rPr>
          <w:rFonts w:ascii="Arial" w:cs="Arial" w:eastAsia="Arial" w:hAnsi="Arial"/>
          <w:sz w:val="18"/>
          <w:szCs w:val="18"/>
          <w:color w:val="auto"/>
        </w:rPr>
      </w:pPr>
    </w:p>
    <w:p>
      <w:pPr>
        <w:jc w:val="both"/>
        <w:ind w:firstLine="1305"/>
        <w:spacing w:after="0" w:line="322" w:lineRule="auto"/>
        <w:tabs>
          <w:tab w:leader="none" w:pos="1690"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Equity Incentive Awards</w:t>
      </w:r>
      <w:r>
        <w:rPr>
          <w:rFonts w:ascii="Arial" w:cs="Arial" w:eastAsia="Arial" w:hAnsi="Arial"/>
          <w:sz w:val="16"/>
          <w:szCs w:val="16"/>
          <w:color w:val="auto"/>
        </w:rPr>
        <w:t>. Holdings will cause Executive to be granted such number of Restricted Stock Units (“RSUs”) equivalent to $500,000 based upon the closing price of the common stock of Holdings on the grant date (the “</w:t>
      </w:r>
      <w:r>
        <w:rPr>
          <w:rFonts w:ascii="Arial" w:cs="Arial" w:eastAsia="Arial" w:hAnsi="Arial"/>
          <w:sz w:val="16"/>
          <w:szCs w:val="16"/>
          <w:u w:val="single" w:color="auto"/>
          <w:color w:val="auto"/>
        </w:rPr>
        <w:t>Initial Equity Grant</w:t>
      </w:r>
      <w:r>
        <w:rPr>
          <w:rFonts w:ascii="Arial" w:cs="Arial" w:eastAsia="Arial" w:hAnsi="Arial"/>
          <w:sz w:val="16"/>
          <w:szCs w:val="16"/>
          <w:color w:val="auto"/>
        </w:rPr>
        <w:t>”). The Initial Equity Grant will be effected within five business days following the Effective Date and will be governed by the terms and conditions of the ExlService Holdings, Inc. 2006 Omnibus Award Plan (as amended) (the “</w:t>
      </w:r>
      <w:r>
        <w:rPr>
          <w:rFonts w:ascii="Arial" w:cs="Arial" w:eastAsia="Arial" w:hAnsi="Arial"/>
          <w:sz w:val="16"/>
          <w:szCs w:val="16"/>
          <w:u w:val="single" w:color="auto"/>
          <w:color w:val="auto"/>
        </w:rPr>
        <w:t>Plan</w:t>
      </w:r>
      <w:r>
        <w:rPr>
          <w:rFonts w:ascii="Arial" w:cs="Arial" w:eastAsia="Arial" w:hAnsi="Arial"/>
          <w:sz w:val="16"/>
          <w:szCs w:val="16"/>
          <w:color w:val="auto"/>
        </w:rPr>
        <w:t>”) . The terms and conditions of the Initial Equity Grant will be determined and approved by the Compensation Committee and shall be evidenced by an RSU award agreement consistent with the terms of the Plan. The Initial Equity Grant shall vest and become exercisable as to 10% of the RSUs on the first anniversary of the date of grant, 20% of the RSUs on the second anniversary of the date of grant, 30% of the RSUs on the third anniversary of the date of grant and 40% of the RSUs on the fourth anniversary of the date of grant. Beginning in 2015 and in years thereafter, Executive will also be eligible during the Term, subject to performance and other conditions considered by the Compensation Committee in its sole discretion, to receive an annual target equity award equivalent to 100% of Executive’s Base Salary. Annual equity grants may be allocated between performance based RSUs and time based vesting RSUs as determined by the Compensation Committee for each fiscal year. For the current fiscal year annual equity grants for senior management are comprised 50% of performance based RSUs and 50% of time based vesting RSUs which vest over four years in the manner set forth above. For the avoidance of doubt, the first such annual grant, if any, shall be made in 2015.</w:t>
      </w:r>
    </w:p>
    <w:p>
      <w:pPr>
        <w:spacing w:after="0" w:line="171" w:lineRule="exact"/>
        <w:rPr>
          <w:rFonts w:ascii="Arial" w:cs="Arial" w:eastAsia="Arial" w:hAnsi="Arial"/>
          <w:sz w:val="16"/>
          <w:szCs w:val="16"/>
          <w:color w:val="auto"/>
        </w:rPr>
      </w:pPr>
    </w:p>
    <w:p>
      <w:pPr>
        <w:jc w:val="both"/>
        <w:ind w:firstLine="1305"/>
        <w:spacing w:after="0" w:line="303" w:lineRule="auto"/>
        <w:tabs>
          <w:tab w:leader="none" w:pos="1670"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that a Change in Control (as defined in the Plan) occurs at a time when any portion of restricted stock units or a stock option granted to Executive remains unvested, then effective upon the consummation of the Change in Control, the vesting of the portion of the restricted stock units or stock option which is not then fully vested shall accelerate such that any portion of the restricted stock units or stock option which would have become vested during the one-year period following the Change in Control shall become vested effective as of the consummation of the Change in Control. In the event that (i) Executive’s employment with the Company is terminated without Cause (a) at any time following a Change in Control or (b) in specific contemplation of a Change in Control or (ii) Executive resigns with Good Reason at any time following a Change of Control, Executive shall, upon and subject to Executive’s execution of the release referenced in Section 5(c)(ii) below that has become effective in accordance with its terms, be entitled, in addition to the severance specified in Section 5(c)(i), to immediate full vesting as of the termination date of any portion of restricted stock units or a stock option which is unvested as of the termination date.</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82" w:lineRule="exact"/>
        <w:rPr>
          <w:sz w:val="20"/>
          <w:szCs w:val="20"/>
          <w:color w:val="auto"/>
        </w:rPr>
      </w:pPr>
    </w:p>
    <w:p>
      <w:pPr>
        <w:jc w:val="both"/>
        <w:ind w:firstLine="1305"/>
        <w:spacing w:after="0" w:line="295" w:lineRule="auto"/>
        <w:tabs>
          <w:tab w:leader="none" w:pos="171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Benefits and Perquisites.</w:t>
      </w:r>
      <w:r>
        <w:rPr>
          <w:rFonts w:ascii="Arial" w:cs="Arial" w:eastAsia="Arial" w:hAnsi="Arial"/>
          <w:sz w:val="18"/>
          <w:szCs w:val="18"/>
          <w:color w:val="auto"/>
        </w:rPr>
        <w:t xml:space="preserve"> During the Term, Executive shall be entitled to participate in the benefit plans and programs commensurate with Executive’s position that are provided by the Company from time to time for its senior executives generally, subject to the terms and conditions of such plans.</w:t>
      </w:r>
    </w:p>
    <w:p>
      <w:pPr>
        <w:spacing w:after="0" w:line="182" w:lineRule="exact"/>
        <w:rPr>
          <w:rFonts w:ascii="Arial" w:cs="Arial" w:eastAsia="Arial" w:hAnsi="Arial"/>
          <w:sz w:val="18"/>
          <w:szCs w:val="18"/>
          <w:color w:val="auto"/>
        </w:rPr>
      </w:pPr>
    </w:p>
    <w:p>
      <w:pPr>
        <w:ind w:right="20" w:firstLine="1305"/>
        <w:spacing w:after="0" w:line="341" w:lineRule="auto"/>
        <w:tabs>
          <w:tab w:leader="none" w:pos="187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Business Expense Reimbursements.</w:t>
      </w:r>
      <w:r>
        <w:rPr>
          <w:rFonts w:ascii="Arial" w:cs="Arial" w:eastAsia="Arial" w:hAnsi="Arial"/>
          <w:sz w:val="17"/>
          <w:szCs w:val="17"/>
          <w:color w:val="auto"/>
        </w:rPr>
        <w:t xml:space="preserve"> During the Term, the Company shall reimburse Executive for reasonable and properly documented business expenses in accordance with the Company’s then-prevailing policies and procedures for expense reimbursement.</w:t>
      </w:r>
    </w:p>
    <w:p>
      <w:pPr>
        <w:spacing w:after="0" w:line="146" w:lineRule="exact"/>
        <w:rPr>
          <w:rFonts w:ascii="Arial" w:cs="Arial" w:eastAsia="Arial" w:hAnsi="Arial"/>
          <w:sz w:val="17"/>
          <w:szCs w:val="17"/>
          <w:color w:val="auto"/>
        </w:rPr>
      </w:pPr>
    </w:p>
    <w:p>
      <w:pPr>
        <w:ind w:firstLine="1305"/>
        <w:spacing w:after="0" w:line="309" w:lineRule="auto"/>
        <w:tabs>
          <w:tab w:leader="none" w:pos="168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xml:space="preserve"> During the Term, Executive shall be entitled to annual paid vacation of no less than four (4) weeks and to reasonable sick leave in accordance with Company policy.</w:t>
      </w:r>
    </w:p>
    <w:p>
      <w:pPr>
        <w:spacing w:after="0" w:line="196" w:lineRule="exact"/>
        <w:rPr>
          <w:sz w:val="20"/>
          <w:szCs w:val="20"/>
          <w:color w:val="auto"/>
        </w:rPr>
      </w:pPr>
    </w:p>
    <w:p>
      <w:pPr>
        <w:ind w:left="2240" w:hanging="935"/>
        <w:spacing w:after="0"/>
        <w:tabs>
          <w:tab w:leader="none" w:pos="22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Termination of the Term.</w:t>
      </w:r>
    </w:p>
    <w:p>
      <w:pPr>
        <w:spacing w:after="0" w:line="279" w:lineRule="exact"/>
        <w:rPr>
          <w:sz w:val="20"/>
          <w:szCs w:val="20"/>
          <w:color w:val="auto"/>
        </w:rPr>
      </w:pPr>
    </w:p>
    <w:p>
      <w:pPr>
        <w:jc w:val="both"/>
        <w:ind w:firstLine="1305"/>
        <w:spacing w:after="0" w:line="324" w:lineRule="auto"/>
        <w:tabs>
          <w:tab w:leader="none" w:pos="16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Executive’s employment may be terminated by either party at any time and for any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shall be required to give the Company at least 90 days advance written notice of any resignation of Executive’s employment hereunder. For clarity, the Employment terminates at the end of the 90-day notice period. During the 90-day notice period, the Company reserves the right, in its sole discretion, to (i) alter, reduce, or eliminate any of the Executive’s duties, (ii) require the Executive to remain away from the Company’s premises (and/or restrict the Executive’s access to the Company’s network, computers and email systems), and/or (iii) take any such other action as may be necessary to facilitate the transition process associated with the termination of the Executive’s employment. During the 90-day notice period, the Executive acknowledges and agrees that he will remain employed by the Company and, as a Company employee, shall continue to act in a manner consistent with the Executive’s contractual, common law and other legal obligations to the Company, including adhering to the Company’s policies and, if requested to do so by the Company, shall assist in the transition of his duties as reasonably requested by the Company. Notwithstanding the foregoing, Executive’s employment shall automatically terminate upon Executive’s death.</w:t>
      </w:r>
    </w:p>
    <w:p>
      <w:pPr>
        <w:spacing w:after="0" w:line="168" w:lineRule="exact"/>
        <w:rPr>
          <w:rFonts w:ascii="Arial" w:cs="Arial" w:eastAsia="Arial" w:hAnsi="Arial"/>
          <w:sz w:val="16"/>
          <w:szCs w:val="16"/>
          <w:color w:val="auto"/>
        </w:rPr>
      </w:pPr>
    </w:p>
    <w:p>
      <w:pPr>
        <w:jc w:val="both"/>
        <w:ind w:firstLine="1305"/>
        <w:spacing w:after="0" w:line="325" w:lineRule="auto"/>
        <w:tabs>
          <w:tab w:leader="none" w:pos="18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Following any termination of Executive’s employment, except as otherwise set forth in this Agreement,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vacation time and for payment of any accrued obligations and unreimbursed expenses under Section 4(h) accrued or incurred through the date of termination of employment, (ii) as explicitly set forth in any other benefit plans, programs or arrangements applicable to terminated employees in which Executive participates, other than severance plans or policies and (iii) as otherwise expressly required by applicable statute. For the avoidance of doubt, (x) any unpaid Annual Bonus is forfeited if Executive’s employment is terminated for any reason; and (y) the date of termination shall mean the last date of actual and active employment, whether such day is selected by mutual agreement with the Executive or unilaterally by the Company and whether with or without advance notice.</w:t>
      </w:r>
    </w:p>
    <w:p>
      <w:pPr>
        <w:spacing w:after="0" w:line="167" w:lineRule="exact"/>
        <w:rPr>
          <w:rFonts w:ascii="Arial" w:cs="Arial" w:eastAsia="Arial" w:hAnsi="Arial"/>
          <w:sz w:val="16"/>
          <w:szCs w:val="16"/>
          <w:color w:val="auto"/>
        </w:rPr>
      </w:pPr>
    </w:p>
    <w:p>
      <w:pPr>
        <w:ind w:right="80" w:firstLine="1305"/>
        <w:spacing w:after="0" w:line="287" w:lineRule="auto"/>
        <w:tabs>
          <w:tab w:leader="none" w:pos="16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If Executive’s employment is terminated by the Company without Cause (other than due to death or Disability), or by Executive for Good Reason, Executive shall be entitled to receive severance payments in an aggregate amount equal to 12 months Base Salary, payable in accordance with the Company’s regular payroll practices. The severance payments shall commence 60 days following Executive’s “separation from service” (as defined in Treasury Regulations Section 1.409A-1(h)). The amounts payable under this Section 5(c)(i) are inclusive of any statutory notice, pay in lieu of notice and statutory severance entitlements, if any, and any amounts required to be paid to Executive in the event a court of competent jurisdiction determines Executive has been constructively dismissed from employment.</w:t>
      </w:r>
    </w:p>
    <w:p>
      <w:pPr>
        <w:sectPr>
          <w:pgSz w:w="11900" w:h="16838" w:orient="portrait"/>
          <w:cols w:equalWidth="0" w:num="1">
            <w:col w:w="11420"/>
          </w:cols>
          <w:pgMar w:left="240" w:top="125" w:right="239" w:bottom="1440" w:gutter="0" w:footer="0" w:header="0"/>
        </w:sectPr>
      </w:pPr>
    </w:p>
    <w:bookmarkStart w:id="54" w:name="page55"/>
    <w:bookmarkEnd w:id="54"/>
    <w:p>
      <w:pPr>
        <w:ind w:left="11332"/>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328" w:lineRule="exact"/>
        <w:rPr>
          <w:sz w:val="20"/>
          <w:szCs w:val="20"/>
          <w:color w:val="auto"/>
        </w:rPr>
      </w:pPr>
    </w:p>
    <w:p>
      <w:pPr>
        <w:jc w:val="both"/>
        <w:ind w:left="-8" w:firstLine="1305"/>
        <w:spacing w:after="0" w:line="286" w:lineRule="auto"/>
        <w:tabs>
          <w:tab w:leader="none" w:pos="1681"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severance payments or benefits under Section 5(b)(ii) and 5(c)(i) shall be (A) conditioned upon Executive having provided within 60 days following Executive’s separation from service an irrevocable waiver and general release of claims in favor of the Company and its respective Affiliates, their respective predecessors and successors, and all of the respective current or former directors, officers, employees, shareholders, partners, members, agents or representatives of any of the foregoing (collectively, the “Released Parties”), in form and substance substantially similar to the release annexed hereto subject to changes as necessary to effectuate a valid waiver of claims, that has become effective in accordance with its terms, (B) subject to Executive’s continued compliance with the terms of the restrictive covenants in Sections 7, 8, 9 and 10 of this Agreement and (C) subject to the provisions of Section 19(d) of this Agreement.</w:t>
      </w:r>
    </w:p>
    <w:p>
      <w:pPr>
        <w:spacing w:after="0" w:line="191" w:lineRule="exact"/>
        <w:rPr>
          <w:rFonts w:ascii="Arial" w:cs="Arial" w:eastAsia="Arial" w:hAnsi="Arial"/>
          <w:sz w:val="18"/>
          <w:szCs w:val="18"/>
          <w:color w:val="auto"/>
        </w:rPr>
      </w:pPr>
    </w:p>
    <w:p>
      <w:pPr>
        <w:jc w:val="both"/>
        <w:ind w:left="-8" w:firstLine="1305"/>
        <w:spacing w:after="0" w:line="317" w:lineRule="auto"/>
        <w:tabs>
          <w:tab w:leader="none" w:pos="1762" w:val="left"/>
        </w:tabs>
        <w:numPr>
          <w:ilvl w:val="1"/>
          <w:numId w:val="66"/>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Executive of any material Company policy applicable to Executive; (D) 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 (E) Executive’s failure to reasonably cooperate in an investigation involving the Company by any governmental authority; (F) 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w:t>
      </w:r>
      <w:r>
        <w:rPr>
          <w:rFonts w:ascii="Arial" w:cs="Arial" w:eastAsia="Arial" w:hAnsi="Arial"/>
          <w:sz w:val="16"/>
          <w:szCs w:val="16"/>
          <w:u w:val="single" w:color="auto"/>
          <w:color w:val="auto"/>
        </w:rPr>
        <w:t>provided</w:t>
      </w:r>
      <w:r>
        <w:rPr>
          <w:rFonts w:ascii="Arial" w:cs="Arial" w:eastAsia="Arial" w:hAnsi="Arial"/>
          <w:sz w:val="16"/>
          <w:szCs w:val="16"/>
          <w:color w:val="auto"/>
        </w:rPr>
        <w:t>, that, if all of the following conditions exist, there will be a presumption that Executive have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w:t>
      </w:r>
    </w:p>
    <w:p>
      <w:pPr>
        <w:spacing w:after="0" w:line="1" w:lineRule="exact"/>
        <w:rPr>
          <w:rFonts w:ascii="Arial" w:cs="Arial" w:eastAsia="Arial" w:hAnsi="Arial"/>
          <w:sz w:val="16"/>
          <w:szCs w:val="16"/>
          <w:color w:val="auto"/>
        </w:rPr>
      </w:pPr>
    </w:p>
    <w:p>
      <w:pPr>
        <w:jc w:val="both"/>
        <w:ind w:left="-8" w:firstLine="8"/>
        <w:spacing w:after="0" w:line="295"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Executive’s failure to follow the lawful directives of Executive’s supervisor which is not remedied within fifteen (15) days after Executive’s receipt of written notice from the Company specifying such failure; or (H) Executive’s use of alcohol or drugs which materially interferes with the performance of Executive’s duties.</w:t>
      </w:r>
    </w:p>
    <w:p>
      <w:pPr>
        <w:spacing w:after="0" w:line="182" w:lineRule="exact"/>
        <w:rPr>
          <w:rFonts w:ascii="Arial" w:cs="Arial" w:eastAsia="Arial" w:hAnsi="Arial"/>
          <w:sz w:val="18"/>
          <w:szCs w:val="18"/>
          <w:color w:val="auto"/>
        </w:rPr>
      </w:pPr>
    </w:p>
    <w:p>
      <w:pPr>
        <w:jc w:val="both"/>
        <w:ind w:left="-8" w:firstLine="1305"/>
        <w:spacing w:after="0" w:line="284" w:lineRule="auto"/>
        <w:tabs>
          <w:tab w:leader="none" w:pos="17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without Executive’s prior written consent, of any of the following events: (A) a substantial reduction of Executive’s duties or responsibilities or change in reporting relationship to anyone other than the Board or the Chief Executive Officer, (B) Executive’s job title and authority as an officer of the Company is adversely changed, provided that if there is a “Change of Control” (as defined in the Plan) and Executive retains similar title and similar authority with the Company or any entity that acquires the Company (or any affiliate or subsidiary of such entity) following such Change of Control, the parties agree that any change in Executive’s title shall not constitute a significant reduction of Executive’s duties and authorities hereunder; (C) a change in the office of location where Executive is based on the Effective Date of more than fifty (50) miles; or (D) a breach by the Company of any material term of this Agreement; provided that, a termination by Executive with Good Reason shall be effective only if, within 30 days following Executive’s first becoming aware of the circumstances giving rise to Good Reason, Executive delivers a “Notice of Termination” for Good Reason by Executive to the Company, and the Company within 30 days following its receipt of such notification has failed to cure the circumstances giving rise to Good Reason.</w:t>
      </w:r>
    </w:p>
    <w:p>
      <w:pPr>
        <w:sectPr>
          <w:pgSz w:w="11900" w:h="16838" w:orient="portrait"/>
          <w:cols w:equalWidth="0" w:num="1">
            <w:col w:w="11412"/>
          </w:cols>
          <w:pgMar w:left="248"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82" w:lineRule="exact"/>
        <w:rPr>
          <w:sz w:val="20"/>
          <w:szCs w:val="20"/>
          <w:color w:val="auto"/>
        </w:rPr>
      </w:pPr>
    </w:p>
    <w:p>
      <w:pPr>
        <w:ind w:firstLine="1305"/>
        <w:spacing w:after="0" w:line="309" w:lineRule="auto"/>
        <w:tabs>
          <w:tab w:leader="none" w:pos="1686"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means Executive’s incapacity, due to mental, physical or emotional injury or illness, such that Executive is substantially unable to perform his duties hereunder for a period of six (6) consecutive months.</w:t>
      </w:r>
    </w:p>
    <w:p>
      <w:pPr>
        <w:spacing w:after="0" w:line="169" w:lineRule="exact"/>
        <w:rPr>
          <w:sz w:val="20"/>
          <w:szCs w:val="20"/>
          <w:color w:val="auto"/>
        </w:rPr>
      </w:pPr>
    </w:p>
    <w:p>
      <w:pPr>
        <w:jc w:val="both"/>
        <w:ind w:firstLine="1305"/>
        <w:spacing w:after="0" w:line="319" w:lineRule="auto"/>
        <w:tabs>
          <w:tab w:leader="none" w:pos="17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Upon termination of Executive’s employment for any reason, and regardless of whether Executive continues as a consultant to the Company, upon the Company’s request Executive agrees to resign, as of the date of such termination of employment or such other date requested, from any applicable board of directors (and any committees thereof) of any Affiliate of the Company to the extent Executive is then serving thereon.</w:t>
      </w:r>
    </w:p>
    <w:p>
      <w:pPr>
        <w:spacing w:after="0" w:line="165" w:lineRule="exact"/>
        <w:rPr>
          <w:rFonts w:ascii="Arial" w:cs="Arial" w:eastAsia="Arial" w:hAnsi="Arial"/>
          <w:sz w:val="17"/>
          <w:szCs w:val="17"/>
          <w:color w:val="auto"/>
        </w:rPr>
      </w:pPr>
    </w:p>
    <w:p>
      <w:pPr>
        <w:jc w:val="both"/>
        <w:ind w:firstLine="1305"/>
        <w:spacing w:after="0" w:line="347" w:lineRule="auto"/>
        <w:tabs>
          <w:tab w:leader="none" w:pos="1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payment of any amounts accrued under any benefit plan, program or arrangement in which Executive participates shall be subject to the terms of the applicable plan, program or arrangement, and any elections Executive has made thereunder. Subject to Section 19, the Company may offset any amounts due and payable by Executive to the Company or its Subsidiaries against any amounts the Company owes Executive hereunder.</w:t>
      </w:r>
    </w:p>
    <w:p>
      <w:pPr>
        <w:spacing w:after="0" w:line="174" w:lineRule="exact"/>
        <w:rPr>
          <w:sz w:val="20"/>
          <w:szCs w:val="20"/>
          <w:color w:val="auto"/>
        </w:rPr>
      </w:pPr>
    </w:p>
    <w:p>
      <w:pPr>
        <w:ind w:left="2240" w:hanging="935"/>
        <w:spacing w:after="0"/>
        <w:tabs>
          <w:tab w:leader="none" w:pos="22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02" w:lineRule="auto"/>
        <w:tabs>
          <w:tab w:leader="none" w:pos="1742"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Executive acknowledges that the Company has expended and shall continue to expend substantial amounts of time, money and effort to develop business strategies, employee and customer relationships and goodwill and build an effective organization. Executive acknowledges that Executive is and shall become familiar with the Company’s Confidential Information (as defined below), including trade secrets, and that Executive’s services are of special, unique and extraordinary value to the Company, its Subsidiaries and Affiliates.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 goodwill. Executive acknowledges that Executive’s agreement to enter into this Agreement and be bound by the service commitments set forth herein and the restrictive covenants and agreements set forth in Sections 7, 8, 9 and 10 hereof, is a material inducement to the Company’s willingness to enter into this Agreement, and the Company would not otherwise enter into this Agreement if Executive did not agree to be bound by the commitments set forth herein and the restrictive covenants and agreements set forth in Sections 7, 8, 9 and 10 hereof, and make the commitments to the Company set forth herein.</w:t>
      </w:r>
    </w:p>
    <w:p>
      <w:pPr>
        <w:spacing w:after="0" w:line="184" w:lineRule="exact"/>
        <w:rPr>
          <w:rFonts w:ascii="Arial" w:cs="Arial" w:eastAsia="Arial" w:hAnsi="Arial"/>
          <w:sz w:val="17"/>
          <w:szCs w:val="17"/>
          <w:color w:val="auto"/>
        </w:rPr>
      </w:pPr>
    </w:p>
    <w:p>
      <w:pPr>
        <w:jc w:val="both"/>
        <w:ind w:firstLine="1305"/>
        <w:spacing w:after="0" w:line="290" w:lineRule="auto"/>
        <w:tabs>
          <w:tab w:leader="none" w:pos="16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 acknowledges (i) that the business of the Company and its Affiliates is global in scope, without geographical limitation, and capable of being performed from anywhere in the world, and (ii) notwithstanding the jurisdiction of formation or principal office of the Company, or the location of any of their respective executives or employees (including, without limitation, Executive), the Company and its Affiliates have business activities and have valuable business relationships within their respective industries throughout the world.</w:t>
      </w:r>
    </w:p>
    <w:p>
      <w:pPr>
        <w:spacing w:after="0" w:line="188" w:lineRule="exact"/>
        <w:rPr>
          <w:rFonts w:ascii="Arial" w:cs="Arial" w:eastAsia="Arial" w:hAnsi="Arial"/>
          <w:sz w:val="18"/>
          <w:szCs w:val="18"/>
          <w:color w:val="auto"/>
        </w:rPr>
      </w:pPr>
    </w:p>
    <w:p>
      <w:pPr>
        <w:jc w:val="both"/>
        <w:ind w:firstLine="1305"/>
        <w:spacing w:after="0" w:line="303" w:lineRule="auto"/>
        <w:tabs>
          <w:tab w:leader="none" w:pos="1806"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Executive acknowledges that Executive has carefully read this Agreement and has given careful consideration to the restraints imposed upon Executive by this Agreement, and is in full accord as to the necessity of such restraints for the reasonable and proper protection of the Confidential Information, business strategies, employee and customer relationships and goodwill of the Company and its Affiliates now existing or to be developed in the future. Executive expressly acknowledges and agrees that each and every commitment and restraint imposed by this Agreement is reasonable with respect to subject matter, time period and geographical area, in light of (i) the scope of the business of the Company and its Affiliates, (ii) the importance of Executive to the business of the Company and its Affiliates, (iii) Executive’s status as an officer of the Company business, (iv) Executive’s knowledge of the business of the Company and its Affiliates and (v) Executive’s relationships with the Company’s clients or customers. Accordingly, Executive agrees (x) to be bound by the provisions of Sections 7, 8, 9 and 10, it being the intent and spirit that such provisions be valid and enforceable in all respects and (y) acknowledges and agrees that Executive shall not object to the Company,</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82"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or any of its successors in interest enforcing Sections 7, 8, 9 and 10 of this Agreement. Executive further acknowledges that although Executive’s compliance with the covenants contained in Sections 7, 8, 9 and 10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215" w:lineRule="exact"/>
        <w:rPr>
          <w:sz w:val="20"/>
          <w:szCs w:val="20"/>
          <w:color w:val="auto"/>
        </w:rPr>
      </w:pPr>
    </w:p>
    <w:p>
      <w:pPr>
        <w:ind w:left="2240" w:hanging="935"/>
        <w:spacing w:after="0"/>
        <w:tabs>
          <w:tab w:leader="none" w:pos="22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320" w:lineRule="auto"/>
        <w:tabs>
          <w:tab w:leader="none" w:pos="1824"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Executive acknowledges that the services Executive are to render to the Company are of a special and unusual character, with a unique value to the Company, the loss of which cannot adequately be compensated by damages or an action at law. In view of the unique value to the Company, its Subsidiaries and Affiliates (collectively, the “Group”) of the services of Executive for which the Company has contracted hereunder, because of the confidential information to be obtained by, or disclosed to, Executive as herein above set forth, Executive covenants and agrees that during Executive’s employment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Executive’s employment is terminated, or if Executive is an employee of any member of the Group, at the time Executive is accused of being in competition with any of the Group pursuant to this Agreement; (ii) in the provision of the business processes provided by the Group at the time Executive’s employment is terminated, or if Executive is an employee of any member of the Group, at the time Executive is accused of being in competition with any member of the Group pursuant to this Agreement; (iii) in the provision of business processes that any of the Group has taken substantial steps to provide to customers at the time Executive’s employment is terminated, or if Executive is an employee of any of the Group, at the time Executive is accused of being in competition with any of the Group pursuant to this Agreement; or (iv) in the provision of business processes that any of the Group are in the process of marketing to existing or potential clients that any of the Group are taking measures to retain as clients of the Group, at the time Executive’s employment is terminated, or if Executive are an employee of any of the Group, at the time Executive is accused of being in competition with any of the Group pursuant to this Agreement, during Executive’s employment with the Group. Executive and the Company acknowledge that clauses (ii), (iii) and (iv) in the immediately preceding sentence shall not be deemed or interpreted to narrow or otherwise limit the scope of clause (i) of such sentence. For purposes of this Agreement, the “Non-Competition Period” shall be the one year period following Executive’s termination of employment for any reason.</w:t>
      </w:r>
    </w:p>
    <w:p>
      <w:pPr>
        <w:spacing w:after="0" w:line="174" w:lineRule="exact"/>
        <w:rPr>
          <w:sz w:val="20"/>
          <w:szCs w:val="20"/>
          <w:color w:val="auto"/>
        </w:rPr>
      </w:pPr>
    </w:p>
    <w:p>
      <w:pPr>
        <w:jc w:val="both"/>
        <w:ind w:firstLine="1297"/>
        <w:spacing w:after="0" w:line="323" w:lineRule="auto"/>
        <w:rPr>
          <w:sz w:val="20"/>
          <w:szCs w:val="20"/>
          <w:color w:val="auto"/>
        </w:rPr>
      </w:pPr>
      <w:r>
        <w:rPr>
          <w:rFonts w:ascii="Arial" w:cs="Arial" w:eastAsia="Arial" w:hAnsi="Arial"/>
          <w:sz w:val="16"/>
          <w:szCs w:val="16"/>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 Section 12(g) of the Securities Exchange Act of 1934;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 to take any action, including without limitation, taking a position with another company, which action could potentially be deemed a violation of this Agreement,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To the extent that the Board does not deny such consent within such 30 day period, the consent will be deemed granted. If Executive disagrees with the</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82"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Board’s decision relating to the consent, then a third-party arbitrator (the “</w:t>
      </w:r>
      <w:r>
        <w:rPr>
          <w:rFonts w:ascii="Arial" w:cs="Arial" w:eastAsia="Arial" w:hAnsi="Arial"/>
          <w:sz w:val="16"/>
          <w:szCs w:val="16"/>
          <w:u w:val="single" w:color="auto"/>
          <w:color w:val="auto"/>
        </w:rPr>
        <w:t>Arbitrator</w:t>
      </w:r>
      <w:r>
        <w:rPr>
          <w:rFonts w:ascii="Arial" w:cs="Arial" w:eastAsia="Arial" w:hAnsi="Arial"/>
          <w:sz w:val="16"/>
          <w:szCs w:val="16"/>
          <w:color w:val="auto"/>
        </w:rPr>
        <w:t>”) shall be appointed within five (5) days of the date Executive notifies the Company of Executive’s disagreement, and the third party Arbitrator shall be instructed to make a determination with respect to whether Executive’s action would constitute a legally valid and enforceable violation of this Agreement within not more than thirty (30) days following his appointment and such determination shall be binding on all of the parties hereto. Such arbitrator is to be selected based on mutual agreement of the Company and Executive. If no mutual agreement is reached, each party shall select one arbitrator and these two arbitrators will in turn select a third arbitrator. The three arbitrators will then make a collective determination in accordance with the terms of this paragraph. The cost of the Arbitrator shall be borne by the Company; provided, however, if the Arbitrator’s determination is inconsistent with Executive’s position, then the cost of the Arbitrator shall be borne by Executive.</w:t>
      </w:r>
    </w:p>
    <w:p>
      <w:pPr>
        <w:spacing w:after="0" w:line="163" w:lineRule="exact"/>
        <w:rPr>
          <w:sz w:val="20"/>
          <w:szCs w:val="20"/>
          <w:color w:val="auto"/>
        </w:rPr>
      </w:pPr>
    </w:p>
    <w:p>
      <w:pPr>
        <w:jc w:val="both"/>
        <w:ind w:firstLine="1305"/>
        <w:spacing w:after="0" w:line="285" w:lineRule="auto"/>
        <w:tabs>
          <w:tab w:leader="none" w:pos="18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During Executive’s employment with the Group and for a period of one year thereafter Executive shall make no unfavorable, disparaging or negative comment, remark or statement, whether written or oral (a “</w:t>
      </w:r>
      <w:r>
        <w:rPr>
          <w:rFonts w:ascii="Arial" w:cs="Arial" w:eastAsia="Arial" w:hAnsi="Arial"/>
          <w:sz w:val="18"/>
          <w:szCs w:val="18"/>
          <w:u w:val="single" w:color="auto"/>
          <w:color w:val="auto"/>
        </w:rPr>
        <w:t>Disparaging Statement</w:t>
      </w:r>
      <w:r>
        <w:rPr>
          <w:rFonts w:ascii="Arial" w:cs="Arial" w:eastAsia="Arial" w:hAnsi="Arial"/>
          <w:sz w:val="18"/>
          <w:szCs w:val="18"/>
          <w:color w:val="auto"/>
        </w:rPr>
        <w:t>”), about the Company or any of its affiliates, officers, directors, shareholders, consultants, or employees; provided that Executive may give truthful testimony before a court, governmental agency, arbitration panel, or similar person or body with apparent jurisdiction and may discuss such matters in confidence with Executive’s attorney(s) and other professional advisors. Similarly,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19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8"/>
          <w:szCs w:val="18"/>
          <w:color w:val="auto"/>
        </w:rPr>
        <w:t>On and after the date hereof, during Executive’s employment and for one year following termination of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any (B) prospective employee with whom the Company has had discussions or negotiations within six months prior to Executive’s termination of employment not to establish a relationship with any of the Group, (ii) induce or attempt to induce any current customer to terminate its relationship with any of the Group, or (iii) induce any potential customer with whom the Company has had discussions or negotiations within six months prior to Executive’s termination of employment not to establish a relationship with any of the Group.</w:t>
      </w:r>
    </w:p>
    <w:p>
      <w:pPr>
        <w:spacing w:after="0" w:line="191" w:lineRule="exact"/>
        <w:rPr>
          <w:sz w:val="20"/>
          <w:szCs w:val="20"/>
          <w:color w:val="auto"/>
        </w:rPr>
      </w:pPr>
    </w:p>
    <w:p>
      <w:pPr>
        <w:jc w:val="both"/>
        <w:ind w:firstLine="1305"/>
        <w:spacing w:after="0" w:line="309" w:lineRule="auto"/>
        <w:tabs>
          <w:tab w:leader="none" w:pos="17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a final and non-appealable judicial determination is made by a court of competent jurisdiction that any of the provisions of this Section 7 constitutes an unreasonable or otherwise unenforceable restriction against Executive, the provisions of this Section 7 will not be rendered void but will be deemed to be modified to the minimum extent necessary to remain in force and effect for the longest period and largest geographic area that would not constitute such an unreasonable or unenforceable restriction (and such court shall have the power to reduce the duration or restrict or redefine the geographic scope of such provision and to enforce such provision as so reduced, restricted or redefined).</w:t>
      </w:r>
    </w:p>
    <w:p>
      <w:pPr>
        <w:spacing w:after="0" w:line="200" w:lineRule="exact"/>
        <w:rPr>
          <w:sz w:val="20"/>
          <w:szCs w:val="20"/>
          <w:color w:val="auto"/>
        </w:rPr>
      </w:pPr>
    </w:p>
    <w:p>
      <w:pPr>
        <w:ind w:left="2080" w:hanging="775"/>
        <w:spacing w:after="0"/>
        <w:tabs>
          <w:tab w:leader="none" w:pos="20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Trade Secrets</w:t>
      </w:r>
      <w:r>
        <w:rPr>
          <w:rFonts w:ascii="Arial" w:cs="Arial" w:eastAsia="Arial" w:hAnsi="Arial"/>
          <w:sz w:val="18"/>
          <w:szCs w:val="18"/>
          <w:color w:val="auto"/>
        </w:rPr>
        <w:t>.</w:t>
      </w:r>
    </w:p>
    <w:p>
      <w:pPr>
        <w:spacing w:after="0" w:line="279" w:lineRule="exact"/>
        <w:rPr>
          <w:sz w:val="20"/>
          <w:szCs w:val="20"/>
          <w:color w:val="auto"/>
        </w:rPr>
      </w:pPr>
    </w:p>
    <w:p>
      <w:pPr>
        <w:jc w:val="both"/>
        <w:ind w:firstLine="1305"/>
        <w:spacing w:after="0" w:line="288" w:lineRule="auto"/>
        <w:tabs>
          <w:tab w:leader="none" w:pos="16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Access to Confidential Information and Trade Secrets. Executive understands and acknowledges that as an employee of the Company, he will learn or have access to, or may assist in the development of, highly confidential and sensitive information and trade secrets about the Company, its operations and its clients or prospective clients. “Confidential Information” includes without limitation: (i) financial and business information relating to the Company, such as information with respect to costs, commissions, fees, profits, sales, markets, mailing lists, strategies and plans for future business, new business, product or other development, potential acquisitions or</w:t>
      </w:r>
    </w:p>
    <w:p>
      <w:pPr>
        <w:sectPr>
          <w:pgSz w:w="11900" w:h="16838" w:orient="portrait"/>
          <w:cols w:equalWidth="0" w:num="1">
            <w:col w:w="11420"/>
          </w:cols>
          <w:pgMar w:left="240" w:top="125" w:right="239" w:bottom="1440" w:gutter="0" w:footer="0" w:header="0"/>
        </w:sectPr>
      </w:pPr>
    </w:p>
    <w:bookmarkStart w:id="58" w:name="page59"/>
    <w:bookmarkEnd w:id="58"/>
    <w:p>
      <w:pPr>
        <w:ind w:left="11340"/>
        <w:spacing w:after="0"/>
        <w:rPr>
          <w:sz w:val="20"/>
          <w:szCs w:val="20"/>
          <w:color w:val="auto"/>
        </w:rPr>
      </w:pPr>
      <w:r>
        <w:rPr>
          <w:rFonts w:ascii="Arial" w:cs="Arial" w:eastAsia="Arial" w:hAnsi="Arial"/>
          <w:sz w:val="14"/>
          <w:szCs w:val="14"/>
          <w:color w:val="auto"/>
        </w:rPr>
        <w:t>9</w:t>
      </w:r>
    </w:p>
    <w:p>
      <w:pPr>
        <w:spacing w:after="0" w:line="200" w:lineRule="exact"/>
        <w:rPr>
          <w:sz w:val="20"/>
          <w:szCs w:val="20"/>
          <w:color w:val="auto"/>
        </w:rPr>
      </w:pPr>
    </w:p>
    <w:p>
      <w:pPr>
        <w:spacing w:after="0" w:line="328"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divestitures, and new marketing ideas; (ii) product and technical information relating to the Company, such as product and service formulations, new and innovative product and service ideas, methods, procedures, devices, machines, equipment, data processing programs, software, software codes, computer models, and research and development projects; (iii) client information, such as the identity of the Company’s clients, the names of representatives of the Company’s clients responsible for entering into contracts with the Company, the amounts paid by such clients to the Company, specific client needs and requirements; (iv) information regarding prospective clients, such as the identity of prospective clients, the names of representatives of the prospective clients responsible for entering into contracts with the Company, the amounts proposed to paid by such prospective clients to the Company, specific needs and requirements of such prospective clients; (v) personnel information, such as the identity and number of the Company’s other employees, their salaries, bonuses, benefits, skills, qualifications, and abilities; (vi) any and all information in whatever form relating to any client or prospective client of the Company, including without limitation its business, employees, operations, systems, assets, liabilities, finances, products, and marketing, selling and operating practices;</w:t>
      </w:r>
    </w:p>
    <w:p>
      <w:pPr>
        <w:spacing w:after="0" w:line="1" w:lineRule="exact"/>
        <w:rPr>
          <w:sz w:val="20"/>
          <w:szCs w:val="20"/>
          <w:color w:val="auto"/>
        </w:rPr>
      </w:pPr>
    </w:p>
    <w:p>
      <w:pPr>
        <w:jc w:val="both"/>
        <w:ind w:firstLine="8"/>
        <w:spacing w:after="0" w:line="286" w:lineRule="auto"/>
        <w:tabs>
          <w:tab w:leader="none" w:pos="3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information which Executive knows or should know is subject to a restriction on disclosure or which Executive knows or should know is considered by the Company or the Company’s clients or prospective clients to be confidential, sensitive, proprietary, a trade secret or is not readily available to the public; and (viii) intellectual property, including inventions and copyrightable works. Executive also may have access to “Trade Secrets,” which are items of Confidential Information which meet the definition of trade secrets under applicable law. Confidential Information and Trade Secrets are not generally known or available to the general public, but have been developed, compiled or acquired by the Company at its great effort and expense. Confidential Information and Trade Secrets can be in any form: oral, written or machine readable, including electronic files, and stored in any media whatsoever or the unaided human memory.</w:t>
      </w:r>
    </w:p>
    <w:p>
      <w:pPr>
        <w:spacing w:after="0" w:line="191" w:lineRule="exact"/>
        <w:rPr>
          <w:rFonts w:ascii="Arial" w:cs="Arial" w:eastAsia="Arial" w:hAnsi="Arial"/>
          <w:sz w:val="18"/>
          <w:szCs w:val="18"/>
          <w:color w:val="auto"/>
        </w:rPr>
      </w:pPr>
    </w:p>
    <w:p>
      <w:pPr>
        <w:jc w:val="both"/>
        <w:ind w:firstLine="1305"/>
        <w:spacing w:after="0" w:line="322" w:lineRule="auto"/>
        <w:tabs>
          <w:tab w:leader="none" w:pos="1731"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 and Trade Secrets</w:t>
      </w:r>
      <w:r>
        <w:rPr>
          <w:rFonts w:ascii="Arial" w:cs="Arial" w:eastAsia="Arial" w:hAnsi="Arial"/>
          <w:sz w:val="16"/>
          <w:szCs w:val="16"/>
          <w:color w:val="auto"/>
        </w:rPr>
        <w:t>. Executive acknowledges and agrees that the Company is engaged in a highly competitive business and that its competitive position depends upon its ability to maintain the confidentiality of the Confidential Information and Trade Secrets which were developed, compiled and acquired by the Company at its great effort and expense. Executive further acknowledges and agrees that any disclosing, divulging, revealing, or using of any of the Confidential Information and Trade Secrets, other than in connection with the Company’s business or as specifically authorized by die Company, will be highly detrimental to the Company and cause it to suffer serious loss of business and pecuniary damage. Accordingly, Executive agrees that during his employment with the Company and following the termination of such employment for any reason, he shall not directly or indirectly divulge or make use of any Confidential Information outside of his employment with the Company (so long as the information remains confidential) without the prior written consent of an authorized representative of the Company. He shall not directly or indirectly misappropriate, divulge, or make use of Trade Secrets for an indefinite period of time, so long as the information remains a Trade Secret as defined under any applicable trade secrets or other applicable law. He also agrees at all times to exercise discretion in discussing with others the affairs of clients, including avoiding unnecessary identification of names, places, and other specifics, and to take reasonable precautions to make sure that such discussions cannot be overheard and electronic communications cannot be intercepted either by client’s employees or outside persons.</w:t>
      </w:r>
    </w:p>
    <w:p>
      <w:pPr>
        <w:spacing w:after="0" w:line="171" w:lineRule="exact"/>
        <w:rPr>
          <w:rFonts w:ascii="Arial" w:cs="Arial" w:eastAsia="Arial" w:hAnsi="Arial"/>
          <w:sz w:val="16"/>
          <w:szCs w:val="16"/>
          <w:color w:val="auto"/>
        </w:rPr>
      </w:pPr>
    </w:p>
    <w:p>
      <w:pPr>
        <w:ind w:firstLine="1305"/>
        <w:spacing w:after="0" w:line="309" w:lineRule="auto"/>
        <w:tabs>
          <w:tab w:leader="none" w:pos="169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Notification of Inquiry Regarding Agreement</w:t>
      </w:r>
      <w:r>
        <w:rPr>
          <w:rFonts w:ascii="Arial" w:cs="Arial" w:eastAsia="Arial" w:hAnsi="Arial"/>
          <w:sz w:val="18"/>
          <w:szCs w:val="18"/>
          <w:color w:val="auto"/>
        </w:rPr>
        <w:t>. Executive further agrees that if he is questioned about Confidential Information by any person or entity not authorized to receive such information, he will notify the Company within twenty-four (24) hours.</w:t>
      </w:r>
    </w:p>
    <w:p>
      <w:pPr>
        <w:spacing w:after="0" w:line="169" w:lineRule="exact"/>
        <w:rPr>
          <w:rFonts w:ascii="Arial" w:cs="Arial" w:eastAsia="Arial" w:hAnsi="Arial"/>
          <w:sz w:val="18"/>
          <w:szCs w:val="18"/>
          <w:color w:val="auto"/>
        </w:rPr>
      </w:pPr>
    </w:p>
    <w:p>
      <w:pPr>
        <w:jc w:val="both"/>
        <w:ind w:firstLine="1305"/>
        <w:spacing w:after="0" w:line="312" w:lineRule="auto"/>
        <w:tabs>
          <w:tab w:leader="none" w:pos="1700"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Executive acknowledges and agrees that the Company is a public company and that he may receive or have access to material non-public information that is restricted from use and disclosure by federal and state statutes and laws. He agrees that other than to benefit the Company in compliance with applicable laws, he will not use for any ‘purposes any “insider information” that may come to his attention in connection with his employment with the Company and that he will not disclose such information to anyone outside</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8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or the inside the Company who is not an authorized recipient with a need to know such information, The term “use” includes, but is not limited to, purchase or sale of securities influenced by such inside information.</w:t>
      </w:r>
    </w:p>
    <w:p>
      <w:pPr>
        <w:spacing w:after="0" w:line="196" w:lineRule="exact"/>
        <w:rPr>
          <w:sz w:val="20"/>
          <w:szCs w:val="20"/>
          <w:color w:val="auto"/>
        </w:rPr>
      </w:pPr>
    </w:p>
    <w:p>
      <w:pPr>
        <w:jc w:val="both"/>
        <w:ind w:firstLine="1305"/>
        <w:spacing w:after="0" w:line="395" w:lineRule="auto"/>
        <w:tabs>
          <w:tab w:leader="none" w:pos="208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Return of Confidential Information and Company Property</w:t>
      </w:r>
      <w:r>
        <w:rPr>
          <w:rFonts w:ascii="Arial" w:cs="Arial" w:eastAsia="Arial" w:hAnsi="Arial"/>
          <w:sz w:val="16"/>
          <w:szCs w:val="16"/>
          <w:color w:val="auto"/>
        </w:rPr>
        <w:t>. Executive agrees to return all Confidential Information and/or Trade Secrets immediately upon termination of his employment for any reason and at any time requested by the Company. To the extent that he maintains Confidential Information and/or Trade Secrets in electronic form on any computers or other electronic devices owned by him, he agrees to immediately and irretrievably delete all such information, and certify the deletion of such material. He also agrees to return all property in his possession at the time of the termination of the employment with the Company, including without limitation all documents, records, electronic recordings, and other media of every kind and description relating to the business of the Company and its clients or prospective clients (as such terms are set forth in Section 7 (b)), and any copies, in whole or in part, whether or not prepared by him, all of which shall remain the sole and exclusive property of the Company. Executive further agrees upon termination of your employment for any reason to execute and provide the information set forth in the Termination Certification attached hereto as Exhibit C. In addition, upon request of the Company, You shall provide a copy of this Agreement to any subsequent employer.</w:t>
      </w:r>
    </w:p>
    <w:p>
      <w:pPr>
        <w:spacing w:after="0" w:line="164" w:lineRule="exact"/>
        <w:rPr>
          <w:rFonts w:ascii="Arial" w:cs="Arial" w:eastAsia="Arial" w:hAnsi="Arial"/>
          <w:sz w:val="16"/>
          <w:szCs w:val="16"/>
          <w:color w:val="auto"/>
        </w:rPr>
      </w:pPr>
    </w:p>
    <w:p>
      <w:pPr>
        <w:jc w:val="both"/>
        <w:ind w:firstLine="1305"/>
        <w:spacing w:after="0" w:line="391" w:lineRule="auto"/>
        <w:tabs>
          <w:tab w:leader="none" w:pos="2242"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(a) Executive agrees that the results and proceeds of Executive’s employment by the Company or its Subsidiaries or Affiliates (including, but not limited to, any trade secrets, products, services, processes, know-how, track record,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employed hereunder by the Company and any works in progress, whether or not patentable or registrable under copyright or similar statutes, that were made, developed, conceived or reduced to practice or learned by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Board, any of its Subsidiaries or Affiliates)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Board determines in its sole discretion, without any further payment to Executive whatsoever. If, for any reason, any of such results and proceeds shall not legally be a work-made-for-hire and/or there are any Proprietary Rights which do not accrue to the Company (or, as the case may be, any of its Subsidiaries or Affiliates)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(or, if applicable or as directed by the Board, any of its Subsidiaries or Affiliates), and the Company or such Subsidiaries or Affiliates shall have the right to use the same in perpetuity throughout the universe in any manner determined by the Board or such Subsidiaries or Affiliates without any further payment to Executive whatsoever. As to any Invention that Executive is required to assign, Executive shall promptly and fully disclose to the Company all information known to Executive concerning such Invention.</w:t>
      </w:r>
    </w:p>
    <w:p>
      <w:pPr>
        <w:spacing w:after="0" w:line="144" w:lineRule="exact"/>
        <w:rPr>
          <w:sz w:val="20"/>
          <w:szCs w:val="20"/>
          <w:color w:val="auto"/>
        </w:rPr>
      </w:pPr>
    </w:p>
    <w:p>
      <w:pPr>
        <w:jc w:val="both"/>
        <w:ind w:firstLine="1305"/>
        <w:spacing w:after="0" w:line="287" w:lineRule="auto"/>
        <w:tabs>
          <w:tab w:leader="none" w:pos="17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Executive agrees that, from time to time, as may be requested by the Board and at the Company’s sole cost and expense, Executive shall do any and all reasonable and lawful things that the Board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10(b) is subject to and shall not be deemed to limit,</w:t>
      </w:r>
    </w:p>
    <w:p>
      <w:pPr>
        <w:sectPr>
          <w:pgSz w:w="11900" w:h="16838" w:orient="portrait"/>
          <w:cols w:equalWidth="0" w:num="1">
            <w:col w:w="11420"/>
          </w:cols>
          <w:pgMar w:left="240" w:top="125" w:right="239" w:bottom="1440" w:gutter="0" w:footer="0" w:header="0"/>
        </w:sectPr>
      </w:pPr>
    </w:p>
    <w:bookmarkStart w:id="60" w:name="page61"/>
    <w:bookmarkEnd w:id="60"/>
    <w:p>
      <w:pPr>
        <w:ind w:left="1124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305"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restrict or constitute any waiver by the Company of any Proprietary Rights of ownership to which the Company may be entitled by operation of law by virtue of Executive’s employment by the Company. Executive further agrees that, from time to time, as may be requested by the Board and at the Company’s sole cost and expense, Executive shall assist the Company in every reasonable,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 to provide reasonable assistance to the Company with respect to Proprietary Rights relating to such Inventions in any and all countries shall continue beyond the termination of the Term.</w:t>
      </w:r>
    </w:p>
    <w:p>
      <w:pPr>
        <w:spacing w:after="0" w:line="180" w:lineRule="exact"/>
        <w:rPr>
          <w:sz w:val="20"/>
          <w:szCs w:val="20"/>
          <w:color w:val="auto"/>
        </w:rPr>
      </w:pPr>
    </w:p>
    <w:p>
      <w:pPr>
        <w:ind w:firstLine="1305"/>
        <w:spacing w:after="0" w:line="309" w:lineRule="auto"/>
        <w:tabs>
          <w:tab w:leader="none" w:pos="17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Executive hereby waives and quitclaims to the Company any and all claims, of any nature whatsoever, that Executive now or may hereafter have for infringement of any Proprietary Rights assigned hereunder to the Company.</w:t>
      </w:r>
    </w:p>
    <w:p>
      <w:pPr>
        <w:spacing w:after="0" w:line="196" w:lineRule="exact"/>
        <w:rPr>
          <w:sz w:val="20"/>
          <w:szCs w:val="20"/>
          <w:color w:val="auto"/>
        </w:rPr>
      </w:pPr>
    </w:p>
    <w:p>
      <w:pPr>
        <w:jc w:val="both"/>
        <w:ind w:firstLine="1305"/>
        <w:spacing w:after="0" w:line="371" w:lineRule="auto"/>
        <w:tabs>
          <w:tab w:leader="none" w:pos="2332"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Notification of Employment or Service Provider Relationship</w:t>
      </w:r>
      <w:r>
        <w:rPr>
          <w:rFonts w:ascii="Arial" w:cs="Arial" w:eastAsia="Arial" w:hAnsi="Arial"/>
          <w:sz w:val="17"/>
          <w:szCs w:val="17"/>
          <w:color w:val="auto"/>
        </w:rPr>
        <w:t>. Executive hereby agrees that as soon as practical, upon Executive’s consideration of accepting employment with, or agreeing to provide services to, any other Person during any period which Executive remains subject to any of the covenants set forth in Section 7, Executive shall advise his prospective employer of this Agreement and, to the extent necessary, shall provide such prospective employer with a copy of Section 7 of this Agreement; provided, however, that if and to the extent this Agreement has been publicly filed in connection the Company’s filings with the Securities and Exchange Commission or related corporate, public company filings, Executive may provide his prospective employer with a copy of the filed version of this Agreement. Promptly after receiving an offer of employment from any other Person, Executive will provide written notice to the Company of his new employer as soon as possible.</w:t>
      </w:r>
    </w:p>
    <w:p>
      <w:pPr>
        <w:spacing w:after="0" w:line="180" w:lineRule="exact"/>
        <w:rPr>
          <w:rFonts w:ascii="Arial" w:cs="Arial" w:eastAsia="Arial" w:hAnsi="Arial"/>
          <w:sz w:val="17"/>
          <w:szCs w:val="17"/>
          <w:color w:val="auto"/>
        </w:rPr>
      </w:pPr>
    </w:p>
    <w:p>
      <w:pPr>
        <w:jc w:val="both"/>
        <w:ind w:firstLine="1305"/>
        <w:spacing w:after="0" w:line="370" w:lineRule="auto"/>
        <w:tabs>
          <w:tab w:leader="none" w:pos="2325"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Remedies and Injunctive Relief</w:t>
      </w:r>
      <w:r>
        <w:rPr>
          <w:rFonts w:ascii="Arial" w:cs="Arial" w:eastAsia="Arial" w:hAnsi="Arial"/>
          <w:sz w:val="17"/>
          <w:szCs w:val="17"/>
          <w:color w:val="auto"/>
        </w:rPr>
        <w:t>. Executive acknowledges that a violation by Executive of any of the covenants contained in Section 7, 8, 9 or 10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Federal court of the Southern District of New York or any state court located in New York County, State of New York for any actual or threatened breach of any of the covenants set forth in Section 7, 8, 9 or 10 in addition to any other legal or equitable remedies it may have. The preceding sentence shall not be construed as a waiver of the rights that the Company may have for damages under this Agreement or otherwise, and all of the Company’s rights shall be unrestricted.</w:t>
      </w:r>
    </w:p>
    <w:p>
      <w:pPr>
        <w:spacing w:after="0" w:line="182" w:lineRule="exact"/>
        <w:rPr>
          <w:rFonts w:ascii="Arial" w:cs="Arial" w:eastAsia="Arial" w:hAnsi="Arial"/>
          <w:sz w:val="17"/>
          <w:szCs w:val="17"/>
          <w:color w:val="auto"/>
        </w:rPr>
      </w:pPr>
    </w:p>
    <w:p>
      <w:pPr>
        <w:ind w:left="2180" w:hanging="875"/>
        <w:spacing w:after="0"/>
        <w:tabs>
          <w:tab w:leader="none" w:pos="218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Representations of Executive and Company; Advice of Counsel</w:t>
      </w:r>
      <w:r>
        <w:rPr>
          <w:rFonts w:ascii="Arial" w:cs="Arial" w:eastAsia="Arial" w:hAnsi="Arial"/>
          <w:sz w:val="16"/>
          <w:szCs w:val="16"/>
          <w:color w:val="auto"/>
        </w:rPr>
        <w:t>. (a) Executive represents, warrants and covenants, that as of the</w:t>
      </w:r>
    </w:p>
    <w:p>
      <w:pPr>
        <w:spacing w:after="0" w:line="113" w:lineRule="exact"/>
        <w:rPr>
          <w:rFonts w:ascii="Arial" w:cs="Arial" w:eastAsia="Arial" w:hAnsi="Arial"/>
          <w:sz w:val="16"/>
          <w:szCs w:val="16"/>
          <w:color w:val="auto"/>
        </w:rPr>
      </w:pPr>
    </w:p>
    <w:p>
      <w:pPr>
        <w:jc w:val="both"/>
        <w:spacing w:after="0" w:line="349" w:lineRule="auto"/>
        <w:rPr>
          <w:rFonts w:ascii="Arial" w:cs="Arial" w:eastAsia="Arial" w:hAnsi="Arial"/>
          <w:sz w:val="16"/>
          <w:szCs w:val="16"/>
          <w:color w:val="auto"/>
        </w:rPr>
      </w:pPr>
      <w:r>
        <w:rPr>
          <w:rFonts w:ascii="Arial" w:cs="Arial" w:eastAsia="Arial" w:hAnsi="Arial"/>
          <w:sz w:val="18"/>
          <w:szCs w:val="18"/>
          <w:color w:val="auto"/>
        </w:rPr>
        <w:t>date hereof: (i) Executive has the full right, authority and capacity to enter into this Agreement and perform Executive’s obligations hereunder, (ii) has disclosed all applicable restrictive covenants or other obligations Executive has with any current or former employer, (iii) the commencement of employment pursuant to this Agreement shall not result in any breach or violation of, or a default under, any existing obligation, commitment or agreement to which Executive is subject, and (iv) Executive has not engaged and will not engage in the future in any conduct that is in breach of any lawful restrictive covenant to which Executive may be bound or any fiduciary duty that Executive owes to any employer. The Executive understands and acknowledges that Executive is not expected or permitted to possess, use or disclose any confidential information belonging to any current or former employer in the course of performing his duties for the Company.</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82" w:lineRule="exact"/>
        <w:rPr>
          <w:sz w:val="20"/>
          <w:szCs w:val="20"/>
          <w:color w:val="auto"/>
        </w:rPr>
      </w:pPr>
    </w:p>
    <w:p>
      <w:pPr>
        <w:jc w:val="both"/>
        <w:ind w:firstLine="2107"/>
        <w:spacing w:after="0" w:line="303" w:lineRule="auto"/>
        <w:rPr>
          <w:sz w:val="20"/>
          <w:szCs w:val="20"/>
          <w:color w:val="auto"/>
        </w:rPr>
      </w:pPr>
      <w:r>
        <w:rPr>
          <w:rFonts w:ascii="Arial" w:cs="Arial" w:eastAsia="Arial" w:hAnsi="Arial"/>
          <w:sz w:val="17"/>
          <w:szCs w:val="17"/>
          <w:color w:val="auto"/>
        </w:rPr>
        <w:t>Executive has advised the Company that he has an agreement that contains some restrictions which may impact his ability to conduct business if he joins the Company and that contains obligations he has undertaken to keep certain information confidential. Executive is hereby advised that the Company has no interest in obtaining any trade secret or other proprietary information Executive may possess belonging to his prior employer (or clients he serviced for the employer). Similarly, Executive is hereby advised that the Company expects that he will abide by any lawful agreement with his prior employers. To that end, Executive hereby represents and warrants that (x) he will abide by the lawful restrictions and obligations contained in his agreement until the agreement expires (or permanently, where there are no such time limitations) if he joins the Company, and (y), Executive will provide notice to his current or former employer of his future employment pursuant to this Agreement and the commencement date of such employment. Executive also understands that it is his responsibility to advise the Company management promptly in the event that he is assigned a task or activity he believes would impair compliance with the continuing lawful restrictions or obligations contained in his agreement.</w:t>
      </w:r>
    </w:p>
    <w:p>
      <w:pPr>
        <w:spacing w:after="0" w:line="183" w:lineRule="exact"/>
        <w:rPr>
          <w:sz w:val="20"/>
          <w:szCs w:val="20"/>
          <w:color w:val="auto"/>
        </w:rPr>
      </w:pPr>
    </w:p>
    <w:p>
      <w:pPr>
        <w:jc w:val="both"/>
        <w:ind w:firstLine="2107"/>
        <w:spacing w:after="0" w:line="290" w:lineRule="auto"/>
        <w:rPr>
          <w:sz w:val="20"/>
          <w:szCs w:val="20"/>
          <w:color w:val="auto"/>
        </w:rPr>
      </w:pPr>
      <w:r>
        <w:rPr>
          <w:rFonts w:ascii="Arial" w:cs="Arial" w:eastAsia="Arial" w:hAnsi="Arial"/>
          <w:sz w:val="18"/>
          <w:szCs w:val="18"/>
          <w:color w:val="auto"/>
        </w:rPr>
        <w:t>Executive understands that this Agreement, his employment and his continued employment by the Company is conditioned upon Executive having obtained a satisfactory disposition of any restrictions he may have on his activities with his current or former employer as reasonably determined by the Company. It is understood that the representations made by Executive under this Section 13 are subject to the disclosures in this Section 13(a)(ii) above.</w:t>
      </w:r>
    </w:p>
    <w:p>
      <w:pPr>
        <w:spacing w:after="0" w:line="188" w:lineRule="exact"/>
        <w:rPr>
          <w:sz w:val="20"/>
          <w:szCs w:val="20"/>
          <w:color w:val="auto"/>
        </w:rPr>
      </w:pPr>
    </w:p>
    <w:p>
      <w:pPr>
        <w:jc w:val="both"/>
        <w:ind w:firstLine="1305"/>
        <w:spacing w:after="0" w:line="287" w:lineRule="auto"/>
        <w:tabs>
          <w:tab w:leader="none" w:pos="1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217" w:lineRule="exact"/>
        <w:rPr>
          <w:sz w:val="20"/>
          <w:szCs w:val="20"/>
          <w:color w:val="auto"/>
        </w:rPr>
      </w:pPr>
    </w:p>
    <w:p>
      <w:pPr>
        <w:jc w:val="both"/>
        <w:ind w:firstLine="1305"/>
        <w:spacing w:after="0" w:line="369" w:lineRule="auto"/>
        <w:tabs>
          <w:tab w:leader="none" w:pos="2332"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the Term, the Company shall reimburse Executive for expenses reasonably incurred in connection therewith, including reasonable and necessary attorney fees where the attorney is engaged in consultation with the Company, and shall schedule such cooperation to the extent reasonably practicable so as not to unreasonably interfere with Executive’s business or personal affairs.</w:t>
      </w:r>
    </w:p>
    <w:p>
      <w:pPr>
        <w:spacing w:after="0" w:line="181" w:lineRule="exact"/>
        <w:rPr>
          <w:rFonts w:ascii="Arial" w:cs="Arial" w:eastAsia="Arial" w:hAnsi="Arial"/>
          <w:sz w:val="17"/>
          <w:szCs w:val="17"/>
          <w:color w:val="auto"/>
        </w:rPr>
      </w:pPr>
    </w:p>
    <w:p>
      <w:pPr>
        <w:ind w:firstLine="1305"/>
        <w:spacing w:after="0" w:line="371" w:lineRule="auto"/>
        <w:tabs>
          <w:tab w:leader="none" w:pos="233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xml:space="preserve"> The Company may deduct and withhold from any amounts payable under this Agreement such Federal, state, local, non-U.S. or other taxes as are required or permitted to be withheld pursuant to any applicable law or regulation.</w:t>
      </w:r>
    </w:p>
    <w:p>
      <w:pPr>
        <w:spacing w:after="0" w:line="170" w:lineRule="exact"/>
        <w:rPr>
          <w:rFonts w:ascii="Arial" w:cs="Arial" w:eastAsia="Arial" w:hAnsi="Arial"/>
          <w:sz w:val="18"/>
          <w:szCs w:val="18"/>
          <w:color w:val="auto"/>
        </w:rPr>
      </w:pPr>
    </w:p>
    <w:p>
      <w:pPr>
        <w:ind w:firstLine="1305"/>
        <w:spacing w:after="0" w:line="371" w:lineRule="auto"/>
        <w:tabs>
          <w:tab w:leader="none" w:pos="233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(a) This Agreement is personal to Executive and without the prior written consent of the Board shall not be assignable by Executive, and any assignment in violation of this Agreement shall be void.</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82" w:lineRule="exact"/>
        <w:rPr>
          <w:sz w:val="20"/>
          <w:szCs w:val="20"/>
          <w:color w:val="auto"/>
        </w:rPr>
      </w:pPr>
    </w:p>
    <w:p>
      <w:pPr>
        <w:jc w:val="both"/>
        <w:ind w:firstLine="1305"/>
        <w:spacing w:after="0" w:line="295" w:lineRule="auto"/>
        <w:tabs>
          <w:tab w:leader="none" w:pos="17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Executive’s estate and heirs in the case of any payments due to Executive hereunder).</w:t>
      </w:r>
    </w:p>
    <w:p>
      <w:pPr>
        <w:spacing w:after="0" w:line="182" w:lineRule="exact"/>
        <w:rPr>
          <w:rFonts w:ascii="Arial" w:cs="Arial" w:eastAsia="Arial" w:hAnsi="Arial"/>
          <w:sz w:val="18"/>
          <w:szCs w:val="18"/>
          <w:color w:val="auto"/>
        </w:rPr>
      </w:pPr>
    </w:p>
    <w:p>
      <w:pPr>
        <w:jc w:val="both"/>
        <w:ind w:firstLine="1305"/>
        <w:spacing w:after="0" w:line="295" w:lineRule="auto"/>
        <w:tabs>
          <w:tab w:leader="none" w:pos="17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Executive acknowledges and agrees that all of Executive’s covenants and obligations to the Company, as well as the rights of the Company hereunder, shall run in favor of and shall be enforceable by the Company and any successor or assign to all or substantially all of the Company’s business or assets.</w:t>
      </w:r>
    </w:p>
    <w:p>
      <w:pPr>
        <w:spacing w:after="0" w:line="209" w:lineRule="exact"/>
        <w:rPr>
          <w:sz w:val="20"/>
          <w:szCs w:val="20"/>
          <w:color w:val="auto"/>
        </w:rPr>
      </w:pPr>
    </w:p>
    <w:p>
      <w:pPr>
        <w:jc w:val="both"/>
        <w:ind w:firstLine="1305"/>
        <w:spacing w:after="0" w:line="351" w:lineRule="auto"/>
        <w:tabs>
          <w:tab w:leader="none" w:pos="233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Governing Law; No Construction Against Drafter.</w:t>
      </w:r>
      <w:r>
        <w:rPr>
          <w:rFonts w:ascii="Arial" w:cs="Arial" w:eastAsia="Arial" w:hAnsi="Arial"/>
          <w:sz w:val="18"/>
          <w:szCs w:val="18"/>
          <w:color w:val="auto"/>
        </w:rPr>
        <w:t xml:space="preserve"> This Agreement shall be deemed to be made in New York, and the validity, interpretation, construction, and performance of this Agreement in all respects shall be governed by the laws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88" w:lineRule="exact"/>
        <w:rPr>
          <w:rFonts w:ascii="Arial" w:cs="Arial" w:eastAsia="Arial" w:hAnsi="Arial"/>
          <w:sz w:val="18"/>
          <w:szCs w:val="18"/>
          <w:color w:val="auto"/>
        </w:rPr>
      </w:pPr>
    </w:p>
    <w:p>
      <w:pPr>
        <w:jc w:val="both"/>
        <w:ind w:firstLine="1305"/>
        <w:spacing w:after="0" w:line="353" w:lineRule="auto"/>
        <w:tabs>
          <w:tab w:leader="none" w:pos="233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controversy or other claim, other than claims solely for injunctive relief pursuant to Section 7, 8, 9 or 10, arising out of or relating to (i) this Agreement, or (ii) Executive’s employment with the Company shall be resolved by binding confidential arbitration, to be held in New York, New York in accordance with the Commercial Arbitration Rules of the American Arbitration Association. Judgment upon the award rendered by arbitrator(s) may be entered in any court having jurisdiction thereof.</w:t>
      </w:r>
    </w:p>
    <w:p>
      <w:pPr>
        <w:spacing w:after="0" w:line="186" w:lineRule="exact"/>
        <w:rPr>
          <w:rFonts w:ascii="Arial" w:cs="Arial" w:eastAsia="Arial" w:hAnsi="Arial"/>
          <w:sz w:val="18"/>
          <w:szCs w:val="18"/>
          <w:color w:val="auto"/>
        </w:rPr>
      </w:pPr>
    </w:p>
    <w:p>
      <w:pPr>
        <w:ind w:firstLine="1305"/>
        <w:spacing w:after="0" w:line="371" w:lineRule="auto"/>
        <w:tabs>
          <w:tab w:leader="none" w:pos="233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Amendment; No Waiver; 409A.</w:t>
      </w:r>
      <w:r>
        <w:rPr>
          <w:rFonts w:ascii="Arial" w:cs="Arial" w:eastAsia="Arial" w:hAnsi="Arial"/>
          <w:sz w:val="18"/>
          <w:szCs w:val="18"/>
          <w:color w:val="auto"/>
        </w:rPr>
        <w:t xml:space="preserve"> (a) No provisions of this Agreement may be amended, modified, waived or discharged except by a written document signed by Executive and a duly authorized officer of the Company (other than Executive).</w:t>
      </w:r>
    </w:p>
    <w:p>
      <w:pPr>
        <w:spacing w:after="0" w:line="143" w:lineRule="exact"/>
        <w:rPr>
          <w:sz w:val="20"/>
          <w:szCs w:val="20"/>
          <w:color w:val="auto"/>
        </w:rPr>
      </w:pPr>
    </w:p>
    <w:p>
      <w:pPr>
        <w:jc w:val="both"/>
        <w:ind w:firstLine="1305"/>
        <w:spacing w:after="0" w:line="288" w:lineRule="auto"/>
        <w:tabs>
          <w:tab w:leader="none" w:pos="16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9" w:lineRule="exact"/>
        <w:rPr>
          <w:rFonts w:ascii="Arial" w:cs="Arial" w:eastAsia="Arial" w:hAnsi="Arial"/>
          <w:sz w:val="18"/>
          <w:szCs w:val="18"/>
          <w:color w:val="auto"/>
        </w:rPr>
      </w:pPr>
    </w:p>
    <w:p>
      <w:pPr>
        <w:jc w:val="both"/>
        <w:ind w:firstLine="1305"/>
        <w:spacing w:after="0" w:line="286" w:lineRule="auto"/>
        <w:tabs>
          <w:tab w:leader="none" w:pos="1791" w:val="left"/>
        </w:tabs>
        <w:numPr>
          <w:ilvl w:val="0"/>
          <w:numId w:val="87"/>
        </w:numPr>
        <w:rPr>
          <w:rFonts w:ascii="Arial" w:cs="Arial" w:eastAsia="Arial" w:hAnsi="Arial"/>
          <w:sz w:val="18"/>
          <w:szCs w:val="18"/>
          <w:color w:val="auto"/>
        </w:rPr>
      </w:pPr>
      <w:r>
        <w:rPr>
          <w:rFonts w:ascii="Arial" w:cs="Arial" w:eastAsia="Arial" w:hAnsi="Arial"/>
          <w:sz w:val="18"/>
          <w:szCs w:val="18"/>
          <w:color w:val="auto"/>
        </w:rPr>
        <w:t>It is the intention of the Company and Executive that this Agreement comply with the requirements of Section 409A, and this Agreement will be interpreted in a manner intended to comply with or be exempt from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191" w:lineRule="exact"/>
        <w:rPr>
          <w:rFonts w:ascii="Arial" w:cs="Arial" w:eastAsia="Arial" w:hAnsi="Arial"/>
          <w:sz w:val="18"/>
          <w:szCs w:val="18"/>
          <w:color w:val="auto"/>
        </w:rPr>
      </w:pPr>
    </w:p>
    <w:p>
      <w:pPr>
        <w:jc w:val="both"/>
        <w:ind w:firstLine="1305"/>
        <w:spacing w:after="0" w:line="312" w:lineRule="auto"/>
        <w:tabs>
          <w:tab w:leader="none" w:pos="1689"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in the event that Executive is deemed to be a “specified employee” within the meaning of Section 409A(a)(2)(B)(i), no payments hereunder that are “deferred compensation” subject to Section 409A shall be made to Executive prior to the date that is six (6) months after the date of Executive’s “separation from service” (as defined in Treasury Regulation Section 1.409A-1(h)) or, if earlier, Executive’s date of death. Following any applicable six (6) month delay, all such delayed payments will be</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paid in a single lump sum on the earliest permissible payment date. For purposes of Section 409A, each of the payments that may be made under this Agreement are designated as separate payments.</w:t>
      </w:r>
    </w:p>
    <w:p>
      <w:pPr>
        <w:spacing w:after="0" w:line="169" w:lineRule="exact"/>
        <w:rPr>
          <w:sz w:val="20"/>
          <w:szCs w:val="20"/>
          <w:color w:val="auto"/>
        </w:rPr>
      </w:pPr>
    </w:p>
    <w:p>
      <w:pPr>
        <w:jc w:val="both"/>
        <w:ind w:firstLine="1305"/>
        <w:spacing w:after="0" w:line="295" w:lineRule="auto"/>
        <w:tabs>
          <w:tab w:leader="none" w:pos="1679"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 relating to “separation from service”.</w:t>
      </w:r>
    </w:p>
    <w:p>
      <w:pPr>
        <w:spacing w:after="0" w:line="182" w:lineRule="exact"/>
        <w:rPr>
          <w:rFonts w:ascii="Arial" w:cs="Arial" w:eastAsia="Arial" w:hAnsi="Arial"/>
          <w:sz w:val="18"/>
          <w:szCs w:val="18"/>
          <w:color w:val="auto"/>
        </w:rPr>
      </w:pPr>
    </w:p>
    <w:p>
      <w:pPr>
        <w:jc w:val="both"/>
        <w:ind w:firstLine="1305"/>
        <w:spacing w:after="0" w:line="288" w:lineRule="auto"/>
        <w:tabs>
          <w:tab w:leader="none" w:pos="17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the extent that any reimbursements pursuant to Section 14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 14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217" w:lineRule="exact"/>
        <w:rPr>
          <w:sz w:val="20"/>
          <w:szCs w:val="20"/>
          <w:color w:val="auto"/>
        </w:rPr>
      </w:pPr>
    </w:p>
    <w:p>
      <w:pPr>
        <w:jc w:val="both"/>
        <w:ind w:firstLine="1305"/>
        <w:spacing w:after="0" w:line="399" w:lineRule="auto"/>
        <w:tabs>
          <w:tab w:leader="none" w:pos="2332"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or any part thereof of this Agreement, including Sections 7, 8, 9 and 10 hereof, as applied to either party or to any circumstances, shall be adjudged by a court of competent jurisdiction to be invalid or unenforceable, the same shall in no way affect any other provision or remaining part thereof of this Agreement, which shall be given full effect without regard to the invalid or unenforceable provision or part thereof, or the validity or enforceability of this Agreement.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63" w:lineRule="exact"/>
        <w:rPr>
          <w:rFonts w:ascii="Arial" w:cs="Arial" w:eastAsia="Arial" w:hAnsi="Arial"/>
          <w:sz w:val="16"/>
          <w:szCs w:val="16"/>
          <w:color w:val="auto"/>
        </w:rPr>
      </w:pPr>
    </w:p>
    <w:p>
      <w:pPr>
        <w:jc w:val="both"/>
        <w:ind w:firstLine="1305"/>
        <w:spacing w:after="0" w:line="353" w:lineRule="auto"/>
        <w:tabs>
          <w:tab w:leader="none" w:pos="233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w:t>
      </w:r>
    </w:p>
    <w:p>
      <w:pPr>
        <w:spacing w:after="0" w:line="186" w:lineRule="exact"/>
        <w:rPr>
          <w:rFonts w:ascii="Arial" w:cs="Arial" w:eastAsia="Arial" w:hAnsi="Arial"/>
          <w:sz w:val="18"/>
          <w:szCs w:val="18"/>
          <w:color w:val="auto"/>
        </w:rPr>
      </w:pPr>
    </w:p>
    <w:p>
      <w:pPr>
        <w:jc w:val="both"/>
        <w:ind w:firstLine="1305"/>
        <w:spacing w:after="0" w:line="353" w:lineRule="auto"/>
        <w:tabs>
          <w:tab w:leader="none" w:pos="233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rights and obligations of the parties under the provisions of this Agreement (including without limitation, Sections 7 through 12 and Section 14)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86" w:lineRule="exact"/>
        <w:rPr>
          <w:rFonts w:ascii="Arial" w:cs="Arial" w:eastAsia="Arial" w:hAnsi="Arial"/>
          <w:sz w:val="18"/>
          <w:szCs w:val="18"/>
          <w:color w:val="auto"/>
        </w:rPr>
      </w:pPr>
    </w:p>
    <w:p>
      <w:pPr>
        <w:jc w:val="both"/>
        <w:ind w:firstLine="1305"/>
        <w:spacing w:after="0" w:line="379" w:lineRule="auto"/>
        <w:tabs>
          <w:tab w:leader="none" w:pos="2332"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business day in the case of express mail or overnight courier service) to the parties at the following addresses or facsimiles (or at such other address for a party as shall be specified by like notice):</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the Company:</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ExlService Holdings, Inc.</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280 Park Avenue</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New York, New York 10017</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Attn: Nancy Saltzman, Esq.</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Fax: (212) 624-5933</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Executive:</w:t>
      </w:r>
    </w:p>
    <w:p>
      <w:pPr>
        <w:spacing w:after="0" w:line="3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Henry N. Schweppe, III</w:t>
      </w:r>
    </w:p>
    <w:p>
      <w:pPr>
        <w:spacing w:after="0" w:line="3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54 Upper Station Road</w:t>
      </w:r>
    </w:p>
    <w:p>
      <w:pPr>
        <w:spacing w:after="0" w:line="36"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Garrison, New York 10524</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Notices delivered by electronic mail shall have the same legal effect as if such notice had been delivered in person.</w:t>
      </w:r>
    </w:p>
    <w:p>
      <w:pPr>
        <w:spacing w:after="0" w:line="279" w:lineRule="exact"/>
        <w:rPr>
          <w:sz w:val="20"/>
          <w:szCs w:val="20"/>
          <w:color w:val="auto"/>
        </w:rPr>
      </w:pPr>
    </w:p>
    <w:p>
      <w:pPr>
        <w:jc w:val="both"/>
        <w:ind w:firstLine="1305"/>
        <w:spacing w:after="0" w:line="358" w:lineRule="auto"/>
        <w:tabs>
          <w:tab w:leader="none" w:pos="233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Headings and References.</w:t>
      </w:r>
      <w:r>
        <w:rPr>
          <w:rFonts w:ascii="Arial" w:cs="Arial" w:eastAsia="Arial" w:hAnsi="Arial"/>
          <w:sz w:val="18"/>
          <w:szCs w:val="18"/>
          <w:color w:val="auto"/>
        </w:rPr>
        <w:t xml:space="preserve">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spacing w:after="0" w:line="181" w:lineRule="exact"/>
        <w:rPr>
          <w:rFonts w:ascii="Arial" w:cs="Arial" w:eastAsia="Arial" w:hAnsi="Arial"/>
          <w:sz w:val="18"/>
          <w:szCs w:val="18"/>
          <w:color w:val="auto"/>
        </w:rPr>
      </w:pPr>
    </w:p>
    <w:p>
      <w:pPr>
        <w:jc w:val="both"/>
        <w:ind w:firstLine="1305"/>
        <w:spacing w:after="0" w:line="386" w:lineRule="auto"/>
        <w:tabs>
          <w:tab w:leader="none" w:pos="2332"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WITNESS WHEREOF, this Agreement has been duly executed by the parties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Rohit Kapoor</w:t>
      </w:r>
      <w:r>
        <w:rPr>
          <w:rFonts w:ascii="Arial" w:cs="Arial" w:eastAsia="Arial" w:hAnsi="Arial"/>
          <w:sz w:val="18"/>
          <w:szCs w:val="18"/>
          <w:color w:val="auto"/>
        </w:rPr>
        <w:t>_________________________</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Rohit Kapoor</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Chairman &amp; CEO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HENRY N. SCHWEPPE, III</w:t>
      </w:r>
    </w:p>
    <w:p>
      <w:pPr>
        <w:spacing w:after="0" w:line="200" w:lineRule="exact"/>
        <w:rPr>
          <w:sz w:val="20"/>
          <w:szCs w:val="20"/>
          <w:color w:val="auto"/>
        </w:rPr>
      </w:pPr>
    </w:p>
    <w:p>
      <w:pPr>
        <w:spacing w:after="0" w:line="322" w:lineRule="exact"/>
        <w:rPr>
          <w:sz w:val="20"/>
          <w:szCs w:val="20"/>
          <w:color w:val="auto"/>
        </w:rPr>
      </w:pPr>
    </w:p>
    <w:p>
      <w:pPr>
        <w:ind w:left="2700"/>
        <w:spacing w:after="0"/>
        <w:rPr>
          <w:sz w:val="20"/>
          <w:szCs w:val="20"/>
          <w:color w:val="auto"/>
        </w:rPr>
      </w:pPr>
      <w:r>
        <w:rPr>
          <w:rFonts w:ascii="Arial" w:cs="Arial" w:eastAsia="Arial" w:hAnsi="Arial"/>
          <w:sz w:val="18"/>
          <w:szCs w:val="18"/>
          <w:u w:val="single" w:color="auto"/>
          <w:color w:val="auto"/>
        </w:rPr>
        <w:t>/s/ Henry N. Schweppe, III</w:t>
      </w:r>
      <w:r>
        <w:rPr>
          <w:rFonts w:ascii="Arial" w:cs="Arial" w:eastAsia="Arial" w:hAnsi="Arial"/>
          <w:sz w:val="18"/>
          <w:szCs w:val="18"/>
          <w:color w:val="auto"/>
        </w:rPr>
        <w:t>___________________</w:t>
      </w:r>
    </w:p>
    <w:p>
      <w:pPr>
        <w:sectPr>
          <w:pgSz w:w="11900" w:h="16838" w:orient="portrait"/>
          <w:cols w:equalWidth="0" w:num="1">
            <w:col w:w="10220"/>
          </w:cols>
          <w:pgMar w:left="14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Form of Release Language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1945"/>
        <w:spacing w:after="0" w:line="306" w:lineRule="auto"/>
        <w:rPr>
          <w:sz w:val="20"/>
          <w:szCs w:val="20"/>
          <w:color w:val="auto"/>
        </w:rPr>
      </w:pPr>
      <w:r>
        <w:rPr>
          <w:rFonts w:ascii="Arial" w:cs="Arial" w:eastAsia="Arial" w:hAnsi="Arial"/>
          <w:sz w:val="17"/>
          <w:szCs w:val="17"/>
          <w:b w:val="1"/>
          <w:bCs w:val="1"/>
          <w:u w:val="single" w:color="auto"/>
          <w:color w:val="auto"/>
        </w:rPr>
        <w:t>General Release of All Claims.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individually and on behalf of Employee’s heirs, executors, administrators,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attorneys, successors and assigns knowingly and voluntarily releases and forever discharges Employer and its clients, including their parent corporations, affiliates, subsidiaries, divisions, predecessors, insurers, successors and assigns, and each of their current and former employees, attorneys, officers, directors and agents thereof, both individually and in their business capacities, and their employee benefit plans and programs and the trustees, administrators, fiduciaries and insurers of such plans and programs (collectively, the “Released Parties”), to the full extent permitted by law, of and from any and all claims, known and unknown, asserted and unasserted, which Employee has or may have against the Released Parties as of the date of execution of this Agreement including, but not limited to, any alleged violation of:</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VII of the Civil Rights Act of 1964;</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Civil Rights Act of 1991;</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Sections 1981 through 1988 of Title 42 of the United States Code, as amended;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Employee Retirement Income Security Act of 1974 (“ERISA”);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Immigration Reform and Control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Americans with Disabilities Act of 1990;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Age Discrimination in Employment Act of 1967 (“ADEA”);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Workers Adjustment and Retraining Notification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Occupational Safety and Health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Sarbanes-Oxley Act of 2002;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Credit Reporting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Family and Medical Leave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Equal Pay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Genetic Information Nondiscrimination Act of 2008;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[state] Fair Employment Practices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other federal, state or local civil or human rights law or any other federal, state or local law, regulation or ordinance;</w:t>
      </w:r>
    </w:p>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public policy, contract, tort or common law; or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basis for recovering costs, fees or other expenses including attorneys’ fees incurred in these matters.</w:t>
      </w:r>
    </w:p>
    <w:p>
      <w:pPr>
        <w:spacing w:after="0" w:line="248" w:lineRule="exact"/>
        <w:rPr>
          <w:sz w:val="20"/>
          <w:szCs w:val="20"/>
          <w:color w:val="auto"/>
        </w:rPr>
      </w:pPr>
    </w:p>
    <w:p>
      <w:pPr>
        <w:jc w:val="both"/>
        <w:ind w:firstLine="1945"/>
        <w:spacing w:after="0" w:line="292" w:lineRule="auto"/>
        <w:rPr>
          <w:sz w:val="20"/>
          <w:szCs w:val="20"/>
          <w:color w:val="auto"/>
        </w:rPr>
      </w:pPr>
      <w:r>
        <w:rPr>
          <w:rFonts w:ascii="Arial" w:cs="Arial" w:eastAsia="Arial" w:hAnsi="Arial"/>
          <w:sz w:val="18"/>
          <w:szCs w:val="18"/>
          <w:b w:val="1"/>
          <w:bCs w:val="1"/>
          <w:u w:val="single" w:color="auto"/>
          <w:color w:val="auto"/>
        </w:rPr>
        <w:t>Claims Not Released.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is not waiving any rights he/she may have to: (a) his/her own vested accrued employee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Employer’s health, welfare, or retirement benefit plans as of the Separation Date; (b) benefits and/or the right to seek benefits under applicable workers’ compensation and/or unemployment compensation statutes; (c) pursue claims which by law cannot be waived by signing this Agreement; (d) enforce this Agreement; and/or (e) challenge the validity of this Agreement.</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Mr. Henry N. Schweppe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 Upper Station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Garrison, New York 10524</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Supplement to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Henry:</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This letter supplements your Employment Agreement with ExlService Holdings, Inc., a company organized under the laws of Delaware (together with ExlService.com, Inc. the “</w:t>
      </w:r>
      <w:r>
        <w:rPr>
          <w:rFonts w:ascii="Arial" w:cs="Arial" w:eastAsia="Arial" w:hAnsi="Arial"/>
          <w:sz w:val="18"/>
          <w:szCs w:val="18"/>
          <w:u w:val="single" w:color="auto"/>
          <w:color w:val="auto"/>
        </w:rPr>
        <w:t>Company</w:t>
      </w:r>
      <w:r>
        <w:rPr>
          <w:rFonts w:ascii="Arial" w:cs="Arial" w:eastAsia="Arial" w:hAnsi="Arial"/>
          <w:sz w:val="18"/>
          <w:szCs w:val="18"/>
          <w:color w:val="auto"/>
        </w:rPr>
        <w:t>”), dated September 9, 2014 (the “Employment Agreement”).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Company hereby agrees to pay certain, reasonable legal fees incurred by you, in connection with your resignation from IBM, Inc. and the resolution of the non-competition agreement with IBM (“Legal Fees”).</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For the avoidance of doubt, any legal fees incurred by you in connection with the negotiations of your Employment Agreement are your sole responsibility and are not covered by the Legal Fees referred to herein.</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Specifically, the Company agrees to pay reasonable Legal Fees incurred by you as follows: (a) 100% of the first $100,000 of Legal Fees; (b) 50% of the next $200,000 of Legal Fees; (c) with a cap of $200,000 in total Legal Fees to be paid by the Company. All invoices for Legal Fees are subject to the Company’s review for reasonableness prior to any payment. You agree that you will retain a single law firm to represent you in connection with the resolution of the non-competition agreement.</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Rohit Kapoor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Henry N. Schweppe, III</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62"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ExlService Holdings, Inc., a company organized under the laws of Delaware (“</w:t>
      </w:r>
      <w:r>
        <w:rPr>
          <w:rFonts w:ascii="Arial" w:cs="Arial" w:eastAsia="Arial" w:hAnsi="Arial"/>
          <w:sz w:val="18"/>
          <w:szCs w:val="18"/>
          <w:u w:val="single" w:color="auto"/>
          <w:color w:val="auto"/>
        </w:rPr>
        <w:t>Holdings</w:t>
      </w:r>
      <w:r>
        <w:rPr>
          <w:rFonts w:ascii="Arial" w:cs="Arial" w:eastAsia="Arial" w:hAnsi="Arial"/>
          <w:sz w:val="18"/>
          <w:szCs w:val="18"/>
          <w:color w:val="auto"/>
        </w:rPr>
        <w:t>”) (together with ExlService.com, Inc. (“</w:t>
      </w:r>
      <w:r>
        <w:rPr>
          <w:rFonts w:ascii="Arial" w:cs="Arial" w:eastAsia="Arial" w:hAnsi="Arial"/>
          <w:sz w:val="18"/>
          <w:szCs w:val="18"/>
          <w:u w:val="single" w:color="auto"/>
          <w:color w:val="auto"/>
        </w:rPr>
        <w:t>ExlService</w:t>
      </w:r>
      <w:r>
        <w:rPr>
          <w:rFonts w:ascii="Arial" w:cs="Arial" w:eastAsia="Arial" w:hAnsi="Arial"/>
          <w:sz w:val="18"/>
          <w:szCs w:val="18"/>
          <w:color w:val="auto"/>
        </w:rPr>
        <w:t>”), the “</w:t>
      </w:r>
      <w:r>
        <w:rPr>
          <w:rFonts w:ascii="Arial" w:cs="Arial" w:eastAsia="Arial" w:hAnsi="Arial"/>
          <w:sz w:val="18"/>
          <w:szCs w:val="18"/>
          <w:u w:val="single" w:color="auto"/>
          <w:color w:val="auto"/>
        </w:rPr>
        <w:t>Company</w:t>
      </w:r>
      <w:r>
        <w:rPr>
          <w:rFonts w:ascii="Arial" w:cs="Arial" w:eastAsia="Arial" w:hAnsi="Arial"/>
          <w:sz w:val="18"/>
          <w:szCs w:val="18"/>
          <w:color w:val="auto"/>
        </w:rPr>
        <w:t>”), and Vishal Chhibbar (“</w:t>
      </w:r>
      <w:r>
        <w:rPr>
          <w:rFonts w:ascii="Arial" w:cs="Arial" w:eastAsia="Arial" w:hAnsi="Arial"/>
          <w:sz w:val="18"/>
          <w:szCs w:val="18"/>
          <w:u w:val="single" w:color="auto"/>
          <w:color w:val="auto"/>
        </w:rPr>
        <w:t>Executive</w:t>
      </w:r>
      <w:r>
        <w:rPr>
          <w:rFonts w:ascii="Arial" w:cs="Arial" w:eastAsia="Arial" w:hAnsi="Arial"/>
          <w:sz w:val="18"/>
          <w:szCs w:val="18"/>
          <w:color w:val="auto"/>
        </w:rPr>
        <w:t>” or “You”) and shall be effective as of the Effective Date as defined below.</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Executive has been employed by the Company since January 1, 2016;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Executive previously performed services for the Company from India and has since relocated to the United States;</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WHEREAS, Executive entered into an Employment Agreement dated May 1, 2009 that governed his employment in India (the “Original Employment Agreement”);</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WHEREAS, Executive and the Company desire to enter into a new Employment Agreement governed under the laws of the United States that would replace the Original Employment Agreement in its entirety.</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NOW, THEREFORE, in consideration of the mutual agreements, provisions and covenants contained herein, and intending to be legally bound hereby, the parties hereto agree as set forth below:</w:t>
      </w:r>
    </w:p>
    <w:p>
      <w:pPr>
        <w:spacing w:after="0" w:line="211" w:lineRule="exact"/>
        <w:rPr>
          <w:sz w:val="20"/>
          <w:szCs w:val="20"/>
          <w:color w:val="auto"/>
        </w:rPr>
      </w:pPr>
    </w:p>
    <w:p>
      <w:pPr>
        <w:jc w:val="both"/>
        <w:ind w:firstLine="1305"/>
        <w:spacing w:after="0" w:line="386" w:lineRule="auto"/>
        <w:tabs>
          <w:tab w:leader="none" w:pos="2242"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Term; Effectiveness.</w:t>
      </w:r>
      <w:r>
        <w:rPr>
          <w:rFonts w:ascii="Arial" w:cs="Arial" w:eastAsia="Arial" w:hAnsi="Arial"/>
          <w:sz w:val="17"/>
          <w:szCs w:val="17"/>
          <w:color w:val="auto"/>
        </w:rPr>
        <w:t xml:space="preserve"> (a) The term of Executive’s employment under this Agreement shall commence as of January 1, 2016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shall continue until Executive’s employment under this Agreement is terminated pursuant to the provisions of Section 5 hereof. The period of time from the Effective Date through the termination of Executive’s employment hereunder is herein referred to as the “</w:t>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37" w:lineRule="exact"/>
        <w:rPr>
          <w:sz w:val="20"/>
          <w:szCs w:val="20"/>
          <w:color w:val="auto"/>
        </w:rPr>
      </w:pPr>
    </w:p>
    <w:p>
      <w:pPr>
        <w:jc w:val="both"/>
        <w:ind w:firstLine="1305"/>
        <w:spacing w:after="0" w:line="295" w:lineRule="auto"/>
        <w:tabs>
          <w:tab w:leader="none" w:pos="16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Executive agrees and acknowledges that Executive is an at-will employee and the Company has no obligation to maintain the Term or to continue Executive’s employment hereunder for any specific period of time, and Executive expressly acknowledges that no promises or understandings to the contrary have been made or reached.</w:t>
      </w:r>
    </w:p>
    <w:p>
      <w:pPr>
        <w:spacing w:after="0" w:line="182" w:lineRule="exact"/>
        <w:rPr>
          <w:rFonts w:ascii="Arial" w:cs="Arial" w:eastAsia="Arial" w:hAnsi="Arial"/>
          <w:sz w:val="18"/>
          <w:szCs w:val="18"/>
          <w:color w:val="auto"/>
        </w:rPr>
      </w:pPr>
    </w:p>
    <w:p>
      <w:pPr>
        <w:ind w:left="1680" w:hanging="375"/>
        <w:spacing w:after="0"/>
        <w:tabs>
          <w:tab w:leader="none" w:pos="16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Agreement shall be binding upon the parties upon the execution hereof.</w:t>
      </w:r>
    </w:p>
    <w:p>
      <w:pPr>
        <w:spacing w:after="0" w:line="279" w:lineRule="exact"/>
        <w:rPr>
          <w:sz w:val="20"/>
          <w:szCs w:val="20"/>
          <w:color w:val="auto"/>
        </w:rPr>
      </w:pPr>
    </w:p>
    <w:p>
      <w:pPr>
        <w:ind w:left="2240" w:hanging="935"/>
        <w:spacing w:after="0"/>
        <w:tabs>
          <w:tab w:leader="none" w:pos="224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For purposes of this Agreement, the following terms, as used herein, shall have the definitions set forth below.</w:t>
      </w:r>
    </w:p>
    <w:p>
      <w:pPr>
        <w:spacing w:after="0" w:line="291" w:lineRule="exact"/>
        <w:rPr>
          <w:sz w:val="20"/>
          <w:szCs w:val="20"/>
          <w:color w:val="auto"/>
        </w:rPr>
      </w:pPr>
    </w:p>
    <w:p>
      <w:pPr>
        <w:jc w:val="both"/>
        <w:ind w:firstLine="1305"/>
        <w:spacing w:after="0" w:line="295" w:lineRule="auto"/>
        <w:tabs>
          <w:tab w:leader="none" w:pos="186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 provided that, in any event, any business in which the Company has any direct or indirect ownership interest shall be treated as an Affiliate of the Company.</w:t>
      </w:r>
    </w:p>
    <w:p>
      <w:pPr>
        <w:spacing w:after="0" w:line="182" w:lineRule="exact"/>
        <w:rPr>
          <w:rFonts w:ascii="Arial" w:cs="Arial" w:eastAsia="Arial" w:hAnsi="Arial"/>
          <w:sz w:val="18"/>
          <w:szCs w:val="18"/>
          <w:color w:val="auto"/>
        </w:rPr>
      </w:pPr>
    </w:p>
    <w:p>
      <w:pPr>
        <w:ind w:right="20" w:firstLine="1305"/>
        <w:spacing w:after="0" w:line="309" w:lineRule="auto"/>
        <w:tabs>
          <w:tab w:leader="none" w:pos="17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69" w:lineRule="exact"/>
        <w:rPr>
          <w:rFonts w:ascii="Arial" w:cs="Arial" w:eastAsia="Arial" w:hAnsi="Arial"/>
          <w:sz w:val="18"/>
          <w:szCs w:val="18"/>
          <w:color w:val="auto"/>
        </w:rPr>
      </w:pPr>
    </w:p>
    <w:p>
      <w:pPr>
        <w:ind w:firstLine="1305"/>
        <w:spacing w:after="0" w:line="309" w:lineRule="auto"/>
        <w:tabs>
          <w:tab w:leader="none" w:pos="18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firm, joint venture, association, joint-stock company, trust, unincorporated organization, governmental or regulatory body or other entity.</w:t>
      </w:r>
    </w:p>
    <w:p>
      <w:pPr>
        <w:spacing w:after="0" w:line="169" w:lineRule="exact"/>
        <w:rPr>
          <w:rFonts w:ascii="Arial" w:cs="Arial" w:eastAsia="Arial" w:hAnsi="Arial"/>
          <w:sz w:val="18"/>
          <w:szCs w:val="18"/>
          <w:color w:val="auto"/>
        </w:rPr>
      </w:pPr>
    </w:p>
    <w:p>
      <w:pPr>
        <w:jc w:val="both"/>
        <w:ind w:firstLine="1305"/>
        <w:spacing w:after="0" w:line="295" w:lineRule="auto"/>
        <w:tabs>
          <w:tab w:leader="none" w:pos="16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(i) any corporation of which at least a majority of the voting power with respect to the capital stock is owned, directly or indirectly, by such Person, any of its other Subsidiaries or any combination thereof or (ii) any Person other than a corporation in which such Person, any</w:t>
      </w:r>
    </w:p>
    <w:p>
      <w:pPr>
        <w:sectPr>
          <w:pgSz w:w="11900" w:h="16838" w:orient="portrait"/>
          <w:cols w:equalWidth="0" w:num="1">
            <w:col w:w="11420"/>
          </w:cols>
          <w:pgMar w:left="240" w:top="139"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of its other Subsidiaries or any combination thereof has, directly or indirectly, at least a majority of the total equity or other ownership interest therein.</w:t>
      </w:r>
    </w:p>
    <w:p>
      <w:pPr>
        <w:spacing w:after="0" w:line="291" w:lineRule="exact"/>
        <w:rPr>
          <w:sz w:val="20"/>
          <w:szCs w:val="20"/>
          <w:color w:val="auto"/>
        </w:rPr>
      </w:pPr>
    </w:p>
    <w:p>
      <w:pPr>
        <w:ind w:right="20" w:firstLine="1305"/>
        <w:spacing w:after="0" w:line="369" w:lineRule="auto"/>
        <w:tabs>
          <w:tab w:leader="none" w:pos="2242"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Duties and Responsibilities.</w:t>
      </w:r>
      <w:r>
        <w:rPr>
          <w:rFonts w:ascii="Arial" w:cs="Arial" w:eastAsia="Arial" w:hAnsi="Arial"/>
          <w:sz w:val="17"/>
          <w:szCs w:val="17"/>
          <w:color w:val="auto"/>
        </w:rPr>
        <w:t xml:space="preserve"> (a) Executive agrees to be employed by the Company and be actively engaged on a full-time basis in the business and activities of the Company and its Affiliates for the entirety of the Term, and, subject to Section 3(c), to devote substantially all of Executive’s working time and attention to the Company and its Affiliates and the promotion of its business and interests and the performance of Executive’s duties and responsibilities hereunder. During the Term, Executive agrees to use his reasonable best efforts to ensure that the business and activities of the Company and its Subsidiaries, that are under his direction, are conducted in accordance with the Company’s practices and/or applicable laws, rules and regulations in all material respects and as such are interpreted by the Company’s law department and compliance professionals. Executive shall be employed hereunder as Executive Vice President and Chief Financial Officer, or such other title as agreed to between Executive and the Chief Executive Officer of Holdings with such duties and responsibilities customary for companies of comparable size to the Company in the Company’s industry and commensurate with Executive’s status and position hereunder and as directed from time to time by the Chief Executive Officer of Holdings. Executive shall report directly to the Chief Executive Officer of Holdings.</w:t>
      </w:r>
    </w:p>
    <w:p>
      <w:pPr>
        <w:spacing w:after="0" w:line="155" w:lineRule="exact"/>
        <w:rPr>
          <w:sz w:val="20"/>
          <w:szCs w:val="20"/>
          <w:color w:val="auto"/>
        </w:rPr>
      </w:pPr>
    </w:p>
    <w:p>
      <w:pPr>
        <w:ind w:left="1700" w:hanging="395"/>
        <w:spacing w:after="0"/>
        <w:tabs>
          <w:tab w:leader="none" w:pos="17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During the Term, Executive will be available to carry out his duties as Executive Vice President and Chief Financial Officer.</w:t>
      </w:r>
    </w:p>
    <w:p>
      <w:pPr>
        <w:spacing w:after="0" w:line="263" w:lineRule="exact"/>
        <w:rPr>
          <w:rFonts w:ascii="Arial" w:cs="Arial" w:eastAsia="Arial" w:hAnsi="Arial"/>
          <w:sz w:val="17"/>
          <w:szCs w:val="17"/>
          <w:color w:val="auto"/>
        </w:rPr>
      </w:pPr>
    </w:p>
    <w:p>
      <w:pPr>
        <w:jc w:val="both"/>
        <w:ind w:firstLine="1305"/>
        <w:spacing w:after="0" w:line="304" w:lineRule="auto"/>
        <w:tabs>
          <w:tab w:leader="none" w:pos="1705" w:val="left"/>
        </w:tabs>
        <w:numPr>
          <w:ilvl w:val="0"/>
          <w:numId w:val="96"/>
        </w:numPr>
        <w:rPr>
          <w:rFonts w:ascii="Arial" w:cs="Arial" w:eastAsia="Arial" w:hAnsi="Arial"/>
          <w:sz w:val="17"/>
          <w:szCs w:val="17"/>
          <w:color w:val="auto"/>
        </w:rPr>
      </w:pPr>
      <w:r>
        <w:rPr>
          <w:rFonts w:ascii="Arial" w:cs="Arial" w:eastAsia="Arial" w:hAnsi="Arial"/>
          <w:sz w:val="17"/>
          <w:szCs w:val="17"/>
          <w:color w:val="auto"/>
        </w:rPr>
        <w:t>During the Term, Executive shall use Executive’s reasonable best efforts to faithfully and diligently serve the Company and shall not act in any capacity that is in conflict with Executive’s duties and responsibilities hereunder. For the avoidance of doubt, during the Term, Executive shall not be permitted to become employed by, engaged in or to render services for any Person other than the Company and its Affiliates, shall not be permitted to be a member of the board of directors of any Person (other than charitable or nonprofit organizations), in any case without the consent of the Board of Directors of Holdings (the “</w:t>
      </w:r>
      <w:r>
        <w:rPr>
          <w:rFonts w:ascii="Arial" w:cs="Arial" w:eastAsia="Arial" w:hAnsi="Arial"/>
          <w:sz w:val="17"/>
          <w:szCs w:val="17"/>
          <w:u w:val="single" w:color="auto"/>
          <w:color w:val="auto"/>
        </w:rPr>
        <w:t>Board</w:t>
      </w:r>
      <w:r>
        <w:rPr>
          <w:rFonts w:ascii="Arial" w:cs="Arial" w:eastAsia="Arial" w:hAnsi="Arial"/>
          <w:sz w:val="17"/>
          <w:szCs w:val="17"/>
          <w:color w:val="auto"/>
        </w:rPr>
        <w:t>”), and shall not be directly or indirectly materially engaged, or concerned or interested in any business activity, trade or occupation (other than employment with the Company and its Affiliates as contemplated by the Agreement); provided that nothing herein shall preclude Executive from engaging in charitable or community affairs and managing his personal investments to the extent that such other activities do not inhibit or, subject to Section 7, conflict in any material way with the performance of Executive’s duties hereunder.</w:t>
      </w:r>
    </w:p>
    <w:p>
      <w:pPr>
        <w:spacing w:after="0" w:line="207" w:lineRule="exact"/>
        <w:rPr>
          <w:sz w:val="20"/>
          <w:szCs w:val="20"/>
          <w:color w:val="auto"/>
        </w:rPr>
      </w:pPr>
    </w:p>
    <w:p>
      <w:pPr>
        <w:jc w:val="both"/>
        <w:ind w:firstLine="1305"/>
        <w:spacing w:after="0" w:line="353" w:lineRule="auto"/>
        <w:tabs>
          <w:tab w:leader="none" w:pos="224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Base Compensation.</w:t>
      </w:r>
      <w:r>
        <w:rPr>
          <w:rFonts w:ascii="Arial" w:cs="Arial" w:eastAsia="Arial" w:hAnsi="Arial"/>
          <w:sz w:val="18"/>
          <w:szCs w:val="18"/>
          <w:color w:val="auto"/>
        </w:rPr>
        <w:t xml:space="preserve"> During the Term, for all services rendered under this Agreement, Executive shall receive an aggregate annual base salary (“</w:t>
      </w:r>
      <w:r>
        <w:rPr>
          <w:rFonts w:ascii="Arial" w:cs="Arial" w:eastAsia="Arial" w:hAnsi="Arial"/>
          <w:sz w:val="18"/>
          <w:szCs w:val="18"/>
          <w:u w:val="single" w:color="auto"/>
          <w:color w:val="auto"/>
        </w:rPr>
        <w:t>Base Salary</w:t>
      </w:r>
      <w:r>
        <w:rPr>
          <w:rFonts w:ascii="Arial" w:cs="Arial" w:eastAsia="Arial" w:hAnsi="Arial"/>
          <w:sz w:val="18"/>
          <w:szCs w:val="18"/>
          <w:color w:val="auto"/>
        </w:rPr>
        <w:t>”) at a rate of $400,000 per annum, payable in accordance with the Company’s applicable payroll practices. The Base Salary shall be reviewed no less frequently than annually during the Term for increase, if any, in the sole discretion of the Compensation Committee of the Board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w:t>
      </w:r>
    </w:p>
    <w:p>
      <w:pPr>
        <w:spacing w:after="0" w:line="160" w:lineRule="exact"/>
        <w:rPr>
          <w:sz w:val="20"/>
          <w:szCs w:val="20"/>
          <w:color w:val="auto"/>
        </w:rPr>
      </w:pPr>
    </w:p>
    <w:p>
      <w:pPr>
        <w:ind w:firstLine="1305"/>
        <w:spacing w:after="0" w:line="286" w:lineRule="auto"/>
        <w:tabs>
          <w:tab w:leader="none" w:pos="168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During the Term, Executive shall have the opportunity to earn an annual target bonus equivalent to 60% of Executive’s Base Salary at target, with a maximum payment of no greater than 120% of Executive’s Base Salary (the “</w:t>
      </w:r>
      <w:r>
        <w:rPr>
          <w:rFonts w:ascii="Arial" w:cs="Arial" w:eastAsia="Arial" w:hAnsi="Arial"/>
          <w:sz w:val="18"/>
          <w:szCs w:val="18"/>
          <w:u w:val="single" w:color="auto"/>
          <w:color w:val="auto"/>
        </w:rPr>
        <w:t>Annual Bonus</w:t>
      </w:r>
      <w:r>
        <w:rPr>
          <w:rFonts w:ascii="Arial" w:cs="Arial" w:eastAsia="Arial" w:hAnsi="Arial"/>
          <w:sz w:val="18"/>
          <w:szCs w:val="18"/>
          <w:color w:val="auto"/>
        </w:rPr>
        <w:t>”). The actual amount of the Annual Bonus earned by the Executive shall be determined in accordance with the terms of the Company’s executive bonus plan which is administered by the Compensation Committee. Any Annual Bonus due to the Executive shall be paid in March for the performance during the preceding fiscal year. Subject to the terms of the Company’s bonus policy as in effect from time to time, in order to receive an Annual Bonus, Executive must (A) be actively employed by the Company, (B) not be serving any notice period relating to the anticipated termination of the employment relationship and (C) be performing his duties in good faith on the date such Annual Bonus is paid.</w:t>
      </w:r>
    </w:p>
    <w:p>
      <w:pPr>
        <w:sectPr>
          <w:pgSz w:w="11900" w:h="16838" w:orient="portrait"/>
          <w:cols w:equalWidth="0" w:num="1">
            <w:col w:w="11420"/>
          </w:cols>
          <w:pgMar w:left="240" w:top="132" w:right="239" w:bottom="1440" w:gutter="0" w:footer="0" w:header="0"/>
        </w:sectPr>
      </w:pPr>
    </w:p>
    <w:bookmarkStart w:id="71" w:name="page72"/>
    <w:bookmarkEnd w:id="71"/>
    <w:p>
      <w:pPr>
        <w:ind w:left="10120"/>
        <w:spacing w:after="0"/>
        <w:rPr>
          <w:sz w:val="20"/>
          <w:szCs w:val="20"/>
          <w:color w:val="auto"/>
        </w:rPr>
      </w:pPr>
      <w:r>
        <w:rPr>
          <w:rFonts w:ascii="Arial" w:cs="Arial" w:eastAsia="Arial" w:hAnsi="Arial"/>
          <w:sz w:val="17"/>
          <w:szCs w:val="17"/>
          <w:color w:val="auto"/>
        </w:rPr>
        <w:t>3</w:t>
      </w:r>
    </w:p>
    <w:p>
      <w:pPr>
        <w:spacing w:after="0" w:line="200" w:lineRule="exact"/>
        <w:rPr>
          <w:sz w:val="20"/>
          <w:szCs w:val="20"/>
          <w:color w:val="auto"/>
        </w:rPr>
      </w:pPr>
    </w:p>
    <w:p>
      <w:pPr>
        <w:spacing w:after="0" w:line="327" w:lineRule="exact"/>
        <w:rPr>
          <w:sz w:val="20"/>
          <w:szCs w:val="20"/>
          <w:color w:val="auto"/>
        </w:rPr>
      </w:pPr>
    </w:p>
    <w:p>
      <w:pPr>
        <w:jc w:val="both"/>
        <w:ind w:left="-1200" w:firstLine="1305"/>
        <w:spacing w:after="0" w:line="295" w:lineRule="auto"/>
        <w:tabs>
          <w:tab w:leader="none" w:pos="50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Bonus Performance Targets for 2016 and Beyond</w:t>
      </w:r>
      <w:r>
        <w:rPr>
          <w:rFonts w:ascii="Arial" w:cs="Arial" w:eastAsia="Arial" w:hAnsi="Arial"/>
          <w:sz w:val="18"/>
          <w:szCs w:val="18"/>
          <w:color w:val="auto"/>
        </w:rPr>
        <w:t>. For fiscal year 2016 and beyond, the Compensation Committee shall, in their sole discretion, determine the Company-wide objectives upon which the Annual Bonus shall be based and the Chief Executive Officer of the Company shall, in his or her sole discretion, determine the personal objectives upon which the Annual Bonus shall be based.</w:t>
      </w:r>
    </w:p>
    <w:p>
      <w:pPr>
        <w:spacing w:after="0" w:line="182" w:lineRule="exact"/>
        <w:rPr>
          <w:rFonts w:ascii="Arial" w:cs="Arial" w:eastAsia="Arial" w:hAnsi="Arial"/>
          <w:sz w:val="18"/>
          <w:szCs w:val="18"/>
          <w:color w:val="auto"/>
        </w:rPr>
      </w:pPr>
    </w:p>
    <w:p>
      <w:pPr>
        <w:jc w:val="both"/>
        <w:ind w:left="-1200" w:firstLine="1305"/>
        <w:spacing w:after="0" w:line="319" w:lineRule="auto"/>
        <w:tabs>
          <w:tab w:leader="none" w:pos="513"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Equity Incentive Awards</w:t>
      </w:r>
      <w:r>
        <w:rPr>
          <w:rFonts w:ascii="Arial" w:cs="Arial" w:eastAsia="Arial" w:hAnsi="Arial"/>
          <w:sz w:val="17"/>
          <w:szCs w:val="17"/>
          <w:color w:val="auto"/>
        </w:rPr>
        <w:t>. Annual equity grants may be allocated between performance based RSUs and time based vesting RSUs as determined by the Compensation Committee for each fiscal year. For the current fiscal year annual equity grants for senior management is comprised of 50% of performance based RSUs and 50% of time based vesting RSUs, all of which vest at 25% pro rata over a four year period.</w:t>
      </w:r>
    </w:p>
    <w:p>
      <w:pPr>
        <w:spacing w:after="0" w:line="165" w:lineRule="exact"/>
        <w:rPr>
          <w:rFonts w:ascii="Arial" w:cs="Arial" w:eastAsia="Arial" w:hAnsi="Arial"/>
          <w:sz w:val="17"/>
          <w:szCs w:val="17"/>
          <w:color w:val="auto"/>
        </w:rPr>
      </w:pPr>
    </w:p>
    <w:p>
      <w:pPr>
        <w:jc w:val="both"/>
        <w:ind w:left="-1200" w:firstLine="1305"/>
        <w:spacing w:after="0" w:line="324" w:lineRule="auto"/>
        <w:tabs>
          <w:tab w:leader="none" w:pos="503"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that a Change in Control (as defined in the 2015 Amendment and Restatement of the 2006 Omnibus Award Plan (as amended) (the “Plan”)) occurs at a time when any portion of restricted stock units or a stock option granted to Executive remains unvested, then effective upon the consummation of the Change in Control, the vesting of the portion of the restricted stock units or stock option which is not then fully vested shall accelerate such that any portion of the restricted stock units or stock option which would have become vested during the one-year period following the Change in Control shall become vested effective as of the consummation of the Change in Control. In the event that (i) Executive’s employment with the Company is terminated without Cause (a) at any time following a Change in Control or (b) in specific contemplation of a Change in Control or (ii) Executive resigns with Good Reason at any time following a Change of Control, Executive shall, upon and subject to Executive’s execution of the release referenced in Section 5(c)(ii) below that has become effective in accordance with its terms, be entitled, in addition to the severance specified in Section 5(c) (i), to immediate full vesting as of the termination date of any portion of restricted stock units or a stock option which is unvested as of the termination date.</w:t>
      </w:r>
    </w:p>
    <w:p>
      <w:pPr>
        <w:spacing w:after="0" w:line="155" w:lineRule="exact"/>
        <w:rPr>
          <w:sz w:val="20"/>
          <w:szCs w:val="20"/>
          <w:color w:val="auto"/>
        </w:rPr>
      </w:pPr>
    </w:p>
    <w:p>
      <w:pPr>
        <w:jc w:val="both"/>
        <w:ind w:left="100"/>
        <w:spacing w:after="0" w:line="284" w:lineRule="auto"/>
        <w:rPr>
          <w:sz w:val="20"/>
          <w:szCs w:val="20"/>
          <w:color w:val="auto"/>
        </w:rPr>
      </w:pPr>
      <w:r>
        <w:rPr>
          <w:rFonts w:ascii="Arial" w:cs="Arial" w:eastAsia="Arial" w:hAnsi="Arial"/>
          <w:sz w:val="16"/>
          <w:szCs w:val="16"/>
          <w:u w:val="single" w:color="auto"/>
          <w:color w:val="auto"/>
        </w:rPr>
        <w:t>Relocation</w:t>
      </w:r>
      <w:r>
        <w:rPr>
          <w:rFonts w:ascii="Arial" w:cs="Arial" w:eastAsia="Arial" w:hAnsi="Arial"/>
          <w:sz w:val="16"/>
          <w:szCs w:val="16"/>
          <w:color w:val="auto"/>
        </w:rPr>
        <w:t>: Executive will be entitled to receive up to $100,000 to reimburse him for expenses actually incurred in connection with his relocation to New York which shall be paid as follows: Actual Relocation Expenses (as defined below) incurred shall be properly documented and submitted for reimbursement in accordance with the Company’s Travel and Expense Policy. Relocation Expenses means those expenses actually incurred by You (i) for packing and transporting the furniture and contents of your primary residence to a residence near your principal office location which is in Manhattan, NY, (ii) the monthly rent or lease payment for any temporary housing You may use while searching for a permanent residence, (iii) storage of any furniture or personal belongings while You live in a temporary residence,</w:t>
      </w:r>
    </w:p>
    <w:p>
      <w:pPr>
        <w:spacing w:after="0" w:line="5" w:lineRule="exact"/>
        <w:rPr>
          <w:sz w:val="20"/>
          <w:szCs w:val="20"/>
          <w:color w:val="auto"/>
        </w:rPr>
      </w:pPr>
    </w:p>
    <w:p>
      <w:pPr>
        <w:jc w:val="both"/>
        <w:ind w:left="100" w:firstLine="5"/>
        <w:spacing w:after="0" w:line="277" w:lineRule="auto"/>
        <w:tabs>
          <w:tab w:leader="none" w:pos="42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air and ground transportation to the New York metropolitan area for You and your immediate family (spouse and children living at home), and (v) other reasonable relocation expenses consistent with the Company’s Travel and Expense Policy. Executive is solely responsible for any individual income or other taxes due or related to the reimbursement of Relocation Expenses.</w:t>
      </w:r>
    </w:p>
    <w:p>
      <w:pPr>
        <w:spacing w:after="0" w:line="187" w:lineRule="exact"/>
        <w:rPr>
          <w:sz w:val="20"/>
          <w:szCs w:val="20"/>
          <w:color w:val="auto"/>
        </w:rPr>
      </w:pPr>
    </w:p>
    <w:p>
      <w:pPr>
        <w:jc w:val="both"/>
        <w:ind w:left="-1200" w:right="20" w:firstLine="1305"/>
        <w:spacing w:after="0" w:line="295" w:lineRule="auto"/>
        <w:tabs>
          <w:tab w:leader="none" w:pos="48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Benefits and Perquisites.</w:t>
      </w:r>
      <w:r>
        <w:rPr>
          <w:rFonts w:ascii="Arial" w:cs="Arial" w:eastAsia="Arial" w:hAnsi="Arial"/>
          <w:sz w:val="18"/>
          <w:szCs w:val="18"/>
          <w:color w:val="auto"/>
        </w:rPr>
        <w:t xml:space="preserve"> During the Term, Executive shall be entitled to participate in the benefit plans and programs commensurate with Executive’s position that are provided by the Company from time to time for its senior executives generally, subject to the terms and conditions of such plans.</w:t>
      </w:r>
    </w:p>
    <w:p>
      <w:pPr>
        <w:spacing w:after="0" w:line="182" w:lineRule="exact"/>
        <w:rPr>
          <w:rFonts w:ascii="Arial" w:cs="Arial" w:eastAsia="Arial" w:hAnsi="Arial"/>
          <w:sz w:val="18"/>
          <w:szCs w:val="18"/>
          <w:color w:val="auto"/>
        </w:rPr>
      </w:pPr>
    </w:p>
    <w:p>
      <w:pPr>
        <w:ind w:left="-1200" w:right="20" w:firstLine="1305"/>
        <w:spacing w:after="0" w:line="341" w:lineRule="auto"/>
        <w:tabs>
          <w:tab w:leader="none" w:pos="675"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Business Expense Reimbursements.</w:t>
      </w:r>
      <w:r>
        <w:rPr>
          <w:rFonts w:ascii="Arial" w:cs="Arial" w:eastAsia="Arial" w:hAnsi="Arial"/>
          <w:sz w:val="17"/>
          <w:szCs w:val="17"/>
          <w:color w:val="auto"/>
        </w:rPr>
        <w:t xml:space="preserve"> During the Term, the Company shall reimburse Executive for reasonable and properly documented business expenses in accordance with the Company’s then-prevailing policies and procedures for expense reimbursement.</w:t>
      </w:r>
    </w:p>
    <w:p>
      <w:pPr>
        <w:spacing w:after="0" w:line="146" w:lineRule="exact"/>
        <w:rPr>
          <w:rFonts w:ascii="Arial" w:cs="Arial" w:eastAsia="Arial" w:hAnsi="Arial"/>
          <w:sz w:val="17"/>
          <w:szCs w:val="17"/>
          <w:color w:val="auto"/>
        </w:rPr>
      </w:pPr>
    </w:p>
    <w:p>
      <w:pPr>
        <w:ind w:left="-1200" w:firstLine="1305"/>
        <w:spacing w:after="0" w:line="309" w:lineRule="auto"/>
        <w:tabs>
          <w:tab w:leader="none" w:pos="527"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xml:space="preserve"> During the Term, Executive shall be entitled to annual paid vacation of no less than four (4) weeks and to reasonable sick leave in accordance with Company policy.</w:t>
      </w:r>
    </w:p>
    <w:p>
      <w:pPr>
        <w:sectPr>
          <w:pgSz w:w="11900" w:h="16838" w:orient="portrait"/>
          <w:cols w:equalWidth="0" w:num="1">
            <w:col w:w="10220"/>
          </w:cols>
          <w:pgMar w:left="1440" w:top="132"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97" w:lineRule="exact"/>
        <w:rPr>
          <w:sz w:val="20"/>
          <w:szCs w:val="20"/>
          <w:color w:val="auto"/>
        </w:rPr>
      </w:pPr>
    </w:p>
    <w:p>
      <w:pPr>
        <w:ind w:left="2240" w:hanging="935"/>
        <w:spacing w:after="0"/>
        <w:tabs>
          <w:tab w:leader="none" w:pos="22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Termination of the Term.</w:t>
      </w:r>
    </w:p>
    <w:p>
      <w:pPr>
        <w:spacing w:after="0" w:line="279" w:lineRule="exact"/>
        <w:rPr>
          <w:sz w:val="20"/>
          <w:szCs w:val="20"/>
          <w:color w:val="auto"/>
        </w:rPr>
      </w:pPr>
    </w:p>
    <w:p>
      <w:pPr>
        <w:jc w:val="both"/>
        <w:ind w:firstLine="1305"/>
        <w:spacing w:after="0" w:line="317" w:lineRule="auto"/>
        <w:tabs>
          <w:tab w:leader="none" w:pos="178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Executive’s employment may be terminated by either party at any time and for any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that the Company shall be required to give Executive at least 30 days advanced written notice if the termination is </w:t>
      </w:r>
      <w:r>
        <w:rPr>
          <w:rFonts w:ascii="Arial" w:cs="Arial" w:eastAsia="Arial" w:hAnsi="Arial"/>
          <w:sz w:val="16"/>
          <w:szCs w:val="16"/>
          <w:u w:val="single" w:color="auto"/>
          <w:color w:val="auto"/>
        </w:rPr>
        <w:t>without</w:t>
      </w:r>
      <w:r>
        <w:rPr>
          <w:rFonts w:ascii="Arial" w:cs="Arial" w:eastAsia="Arial" w:hAnsi="Arial"/>
          <w:sz w:val="16"/>
          <w:szCs w:val="16"/>
          <w:color w:val="auto"/>
        </w:rPr>
        <w:t xml:space="preserve"> Cause and (ii) Executive shall be required to give the Company at least 90 days advance written notice of any resignation of Executive’s employment hereunder. For the avoidance of doubt, the Company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required to give Executive any notice if the termination is for Cause. The Employment terminates at the end of the applicable notice period, if any. During the notice period, the Company reserves the right, in its sole discretion, to (i) alter, reduce, or eliminate any of the Executive’s duties,</w:t>
      </w:r>
    </w:p>
    <w:p>
      <w:pPr>
        <w:jc w:val="both"/>
        <w:ind w:firstLine="8"/>
        <w:spacing w:after="0" w:line="307" w:lineRule="auto"/>
        <w:tabs>
          <w:tab w:leader="none" w:pos="28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require the Executive to remain away from the Company’s premises (and/or restrict the Executive’s access to the Company’s network, computers and email systems), and/or (iii) take any such other action as may be necessary to facilitate the transition process associated with the termination of the Executive’s employment. During the notice period, the Executive acknowledges and agrees that he will remain employed by the Company and, as a Company employee, shall continue to act in a manner consistent with the Executive’s contractual, common law and other legal obligations to the Company, including adhering to the Company’s policies and, if requested to do so by the Company, shall assist in the transition of his duties as reasonably requested by the Company. Notwithstanding the foregoing, Executive’s employment shall automatically terminate upon Executive’s death.</w:t>
      </w:r>
    </w:p>
    <w:p>
      <w:pPr>
        <w:spacing w:after="0" w:line="174" w:lineRule="exact"/>
        <w:rPr>
          <w:rFonts w:ascii="Arial" w:cs="Arial" w:eastAsia="Arial" w:hAnsi="Arial"/>
          <w:sz w:val="17"/>
          <w:szCs w:val="17"/>
          <w:color w:val="auto"/>
        </w:rPr>
      </w:pPr>
    </w:p>
    <w:p>
      <w:pPr>
        <w:jc w:val="both"/>
        <w:ind w:firstLine="1305"/>
        <w:spacing w:after="0" w:line="325" w:lineRule="auto"/>
        <w:tabs>
          <w:tab w:leader="none" w:pos="184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Following any termination of Executive’s employment, notwithstanding any provision to the contrary in this Agreement,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vacation time and for payment of any accrued obligations and unreimbursed expenses under Section 4(j) accrued or incurred through the date of termination of employment, (ii) as explicitly set forth in any other benefit plans, programs or arrangements applicable to terminated employees in which Executive participates, other than severance plans or policies and (iii) as otherwise expressly required by applicable statute. For the avoidance of doubt, (x) any unpaid Annual Bonus is forfeited if Executive’s employment is terminated for any reason and (y) the date of termination shall mean the last date of actual and active employment, whether such day is selected by mutual agreement with the Executive or unilaterally by the Company and whether with or without advance notice.</w:t>
      </w:r>
    </w:p>
    <w:p>
      <w:pPr>
        <w:spacing w:after="0" w:line="167" w:lineRule="exact"/>
        <w:rPr>
          <w:rFonts w:ascii="Arial" w:cs="Arial" w:eastAsia="Arial" w:hAnsi="Arial"/>
          <w:sz w:val="16"/>
          <w:szCs w:val="16"/>
          <w:color w:val="auto"/>
        </w:rPr>
      </w:pPr>
    </w:p>
    <w:p>
      <w:pPr>
        <w:ind w:right="20" w:firstLine="1305"/>
        <w:spacing w:after="0" w:line="286" w:lineRule="auto"/>
        <w:tabs>
          <w:tab w:leader="none" w:pos="167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 If Executive’s employment is terminated by the Company without Cause (other than due to death or Disability), or by Executive for Good Reason, Executive shall be entitled to receive severance payments in an aggregate amount equal to 12 months Base Salary, payable as follows: (A) a lump sum payment equal to three months’ Base Salary shall be paid in the first payroll that is at least 10 days after the termination date, and (B) a continuing payment (per the Company’s payroll policies and practices) of Executive’s Base Salary for a consecutive nine-month period commencing on the third month following the termination date. The amounts payable under this Section 5(c)(i) are inclusive of any statutory notice, pay in lieu of notice and statutory severance entitlements, if any, and any amounts required to be paid to Executive in the event a court of competent jurisdiction determines Executive has been constructively dismissed from employment.</w:t>
      </w:r>
    </w:p>
    <w:p>
      <w:pPr>
        <w:spacing w:after="0" w:line="191" w:lineRule="exact"/>
        <w:rPr>
          <w:rFonts w:ascii="Arial" w:cs="Arial" w:eastAsia="Arial" w:hAnsi="Arial"/>
          <w:sz w:val="18"/>
          <w:szCs w:val="18"/>
          <w:color w:val="auto"/>
        </w:rPr>
      </w:pPr>
    </w:p>
    <w:p>
      <w:pPr>
        <w:jc w:val="both"/>
        <w:ind w:left="660" w:firstLine="1293"/>
        <w:spacing w:after="0" w:line="287" w:lineRule="auto"/>
        <w:tabs>
          <w:tab w:leader="none" w:pos="2457"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Any severance payments or benefits under Section 5(b)(ii) and 5(c)(i) shall be (A) conditioned upon Executive having provided within 30 days following Executive’s separation from service an irrevocable waiver and general release of claims in favor of the Company and its respective Affiliates, their respective predecessors and successors, and all of the respective current or former directors, officers, employees, shareholders, partners, members, agents or representatives of any of the foregoing (collectively, the “</w:t>
      </w:r>
      <w:r>
        <w:rPr>
          <w:rFonts w:ascii="Arial" w:cs="Arial" w:eastAsia="Arial" w:hAnsi="Arial"/>
          <w:sz w:val="18"/>
          <w:szCs w:val="18"/>
          <w:u w:val="single" w:color="auto"/>
          <w:color w:val="auto"/>
        </w:rPr>
        <w:t>Released Parties</w:t>
      </w:r>
      <w:r>
        <w:rPr>
          <w:rFonts w:ascii="Arial" w:cs="Arial" w:eastAsia="Arial" w:hAnsi="Arial"/>
          <w:sz w:val="18"/>
          <w:szCs w:val="18"/>
          <w:color w:val="auto"/>
        </w:rPr>
        <w:t>”), in a form reasonably satisfactory to the Company, that has become effective in accordance with its terms, (B) subject to Executive’s continued compliance with the terms of the restrictive</w:t>
      </w:r>
    </w:p>
    <w:p>
      <w:pPr>
        <w:sectPr>
          <w:pgSz w:w="11900" w:h="16838" w:orient="portrait"/>
          <w:cols w:equalWidth="0" w:num="1">
            <w:col w:w="11420"/>
          </w:cols>
          <w:pgMar w:left="240" w:top="13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covenants in Sections 7, 8, 9 and 10 of this Agreement and (C) subject to the provisions of Section 19(d) of this Agreement.</w:t>
      </w:r>
    </w:p>
    <w:p>
      <w:pPr>
        <w:spacing w:after="0" w:line="252" w:lineRule="exact"/>
        <w:rPr>
          <w:sz w:val="20"/>
          <w:szCs w:val="20"/>
          <w:color w:val="auto"/>
        </w:rPr>
      </w:pPr>
    </w:p>
    <w:p>
      <w:pPr>
        <w:jc w:val="both"/>
        <w:ind w:left="4" w:firstLine="1293"/>
        <w:spacing w:after="0" w:line="317" w:lineRule="auto"/>
        <w:tabs>
          <w:tab w:leader="none" w:pos="176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means: (A) a final non-appealable conviction of, or a pleading 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Executive of any material Company policy applicable to Executive; (D) willful and continuing failure to substantially perform Executive’s duties (other than for reason of physical or mental incapacity) which failure to perform continues beyond fifteen</w:t>
      </w:r>
    </w:p>
    <w:p>
      <w:pPr>
        <w:jc w:val="both"/>
        <w:ind w:left="4" w:hanging="4"/>
        <w:spacing w:after="0" w:line="301" w:lineRule="auto"/>
        <w:tabs>
          <w:tab w:leader="none" w:pos="35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 (E) Executive’s failure to reasonably cooperate in an investigation involving the Company by any governmental authority; (F) 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w:t>
      </w:r>
      <w:r>
        <w:rPr>
          <w:rFonts w:ascii="Arial" w:cs="Arial" w:eastAsia="Arial" w:hAnsi="Arial"/>
          <w:sz w:val="17"/>
          <w:szCs w:val="17"/>
          <w:u w:val="single" w:color="auto"/>
          <w:color w:val="auto"/>
        </w:rPr>
        <w:t>provided</w:t>
      </w:r>
      <w:r>
        <w:rPr>
          <w:rFonts w:ascii="Arial" w:cs="Arial" w:eastAsia="Arial" w:hAnsi="Arial"/>
          <w:sz w:val="17"/>
          <w:szCs w:val="17"/>
          <w:color w:val="auto"/>
        </w:rPr>
        <w:t>, that, if all of the following conditions exist, there will be a presumption that Executive have acted in accordance with such applicable laws: Executive is following, in good faith, the written 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 (G) Executive’s failure to follow the lawful directives of Executive’s supervisor which is not remedied within fifteen (15) days after Executive’s receipt of written notice from the Company specifying such failure; or (H) Executive’s use of alcohol or drugs which materially interferes with the performance of Executive’s duties.</w:t>
      </w:r>
    </w:p>
    <w:p>
      <w:pPr>
        <w:spacing w:after="0" w:line="187" w:lineRule="exact"/>
        <w:rPr>
          <w:rFonts w:ascii="Arial" w:cs="Arial" w:eastAsia="Arial" w:hAnsi="Arial"/>
          <w:sz w:val="17"/>
          <w:szCs w:val="17"/>
          <w:color w:val="auto"/>
        </w:rPr>
      </w:pPr>
    </w:p>
    <w:p>
      <w:pPr>
        <w:jc w:val="both"/>
        <w:ind w:left="4" w:firstLine="1293"/>
        <w:spacing w:after="0" w:line="302" w:lineRule="auto"/>
        <w:tabs>
          <w:tab w:leader="none" w:pos="176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the occurrence, without Executive’s prior written consent, of any of the following events: (A) a substantial reduction of Executive’s duties or responsibilities or change in reporting relationship to anyone other than the Board or the Chief Executive Officer, (B) Executive’s job title and authority as an officer of the Company is adversely changed, provided that if there is a “Change of Control” (as defined in the Plan) and Executive retains similar title and similar authority with the Company or any entity that acquires the Company (or any affiliate or subsidiary of such entity) following such Change of Control, the parties agree that any change in Executive’s title shall not constitute a significant reduction of Executive’s duties and authorities hereunder; or (C) a change in the office or location where Executive is based of more than fifty (50) miles which new location is more than fifty (50) miles from Executive’s primary residence, or (D) a breach by the Company of any material term of this Agreement; provided that, a termination by Executive with Good Reason shall be effective only if, within 30 days following Executive’s first becoming aware of the circumstances giving rise to Good Reason, Executive delivers a “Notice of Termination” for Good Reason by Executive to the Company, and the Company within 30 days following its receipt of such notification has failed to cure the circumstances giving rise to Good Reason.</w:t>
      </w:r>
    </w:p>
    <w:p>
      <w:pPr>
        <w:spacing w:after="0" w:line="184" w:lineRule="exact"/>
        <w:rPr>
          <w:rFonts w:ascii="Arial" w:cs="Arial" w:eastAsia="Arial" w:hAnsi="Arial"/>
          <w:sz w:val="17"/>
          <w:szCs w:val="17"/>
          <w:color w:val="auto"/>
        </w:rPr>
      </w:pPr>
    </w:p>
    <w:p>
      <w:pPr>
        <w:ind w:left="4" w:firstLine="1293"/>
        <w:spacing w:after="0" w:line="309" w:lineRule="auto"/>
        <w:tabs>
          <w:tab w:leader="none" w:pos="174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means Executive’s incapacity, due to mental, physical or emotional injury or illness, such that Executive is substantially unable to perform his duties hereunder for a period of six (6) consecutive months.</w:t>
      </w:r>
    </w:p>
    <w:p>
      <w:pPr>
        <w:sectPr>
          <w:pgSz w:w="11900" w:h="16838" w:orient="portrait"/>
          <w:cols w:equalWidth="0" w:num="1">
            <w:col w:w="10764"/>
          </w:cols>
          <w:pgMar w:left="896" w:top="132"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70" w:lineRule="exact"/>
        <w:rPr>
          <w:sz w:val="20"/>
          <w:szCs w:val="20"/>
          <w:color w:val="auto"/>
        </w:rPr>
      </w:pPr>
    </w:p>
    <w:p>
      <w:pPr>
        <w:jc w:val="both"/>
        <w:ind w:firstLine="1953"/>
        <w:spacing w:after="0" w:line="347" w:lineRule="auto"/>
        <w:tabs>
          <w:tab w:leader="none" w:pos="2364" w:val="left"/>
        </w:tabs>
        <w:numPr>
          <w:ilvl w:val="1"/>
          <w:numId w:val="107"/>
        </w:numPr>
        <w:rPr>
          <w:rFonts w:ascii="Arial" w:cs="Arial" w:eastAsia="Arial" w:hAnsi="Arial"/>
          <w:sz w:val="16"/>
          <w:szCs w:val="16"/>
          <w:color w:val="auto"/>
        </w:rPr>
      </w:pPr>
      <w:r>
        <w:rPr>
          <w:rFonts w:ascii="Arial" w:cs="Arial" w:eastAsia="Arial" w:hAnsi="Arial"/>
          <w:sz w:val="16"/>
          <w:szCs w:val="16"/>
          <w:color w:val="auto"/>
        </w:rPr>
        <w:t>Upon termination of Executive’s employment for any reason, and regardless of whether Executive continues as a consultant to the Company, upon the Company’s request Executive agrees to resign, as of the date of such termination of employment or such other date requested, from any applicable board of directors (and any committees thereof) of any Affiliate of the Company to the extent Executive is then serving thereon.</w:t>
      </w:r>
    </w:p>
    <w:p>
      <w:pPr>
        <w:spacing w:after="0" w:line="147" w:lineRule="exact"/>
        <w:rPr>
          <w:rFonts w:ascii="Arial" w:cs="Arial" w:eastAsia="Arial" w:hAnsi="Arial"/>
          <w:sz w:val="16"/>
          <w:szCs w:val="16"/>
          <w:color w:val="auto"/>
        </w:rPr>
      </w:pPr>
    </w:p>
    <w:p>
      <w:pPr>
        <w:jc w:val="both"/>
        <w:ind w:firstLine="1305"/>
        <w:spacing w:after="0" w:line="347" w:lineRule="auto"/>
        <w:tabs>
          <w:tab w:leader="none" w:pos="16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payment of any amounts accrued under any benefit plan, program or arrangement in which Executive participates shall be subject to the terms of the applicable plan, program or arrangement, and any elections Executive has made thereunder. Subject to Section 19, the Company may offset any amounts due and payable by Executive to the Company or its Subsidiaries against any amounts the Company owes Executive hereunder.</w:t>
      </w:r>
    </w:p>
    <w:p>
      <w:pPr>
        <w:spacing w:after="0" w:line="147" w:lineRule="exact"/>
        <w:rPr>
          <w:sz w:val="20"/>
          <w:szCs w:val="20"/>
          <w:color w:val="auto"/>
        </w:rPr>
      </w:pPr>
    </w:p>
    <w:p>
      <w:pPr>
        <w:jc w:val="both"/>
        <w:ind w:firstLine="1305"/>
        <w:spacing w:after="0" w:line="302" w:lineRule="auto"/>
        <w:tabs>
          <w:tab w:leader="none" w:pos="1652"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Acknowledgments</w:t>
      </w:r>
      <w:r>
        <w:rPr>
          <w:rFonts w:ascii="Arial" w:cs="Arial" w:eastAsia="Arial" w:hAnsi="Arial"/>
          <w:sz w:val="17"/>
          <w:szCs w:val="17"/>
          <w:color w:val="auto"/>
        </w:rPr>
        <w:t>. (a) Executive acknowledges that the Company has expended and shall continue to expend substantial amounts of time, money and effort to develop business strategies, employee and customer relationships and goodwill and build an effective organization. Executive acknowledges that Executive is and shall become familiar with the Company’s Confidential Information (as defined below), including trade secrets, and that Executive’s services are of special, unique and extraordinary value to the Company, its Subsidiaries and Affiliates.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 goodwill. Executive acknowledges that Executive’s agreement to enter into this Agreement and be bound by the service commitments set forth herein and the restrictive covenants and agreements set forth in Sections 7, 8, 9 and 10 hereof, is a material inducement to the Company’s willingness to enter into this Agreement, and the Company would not otherwise enter into this Agreement if Executive did not agree to be bound by the commitments set forth herein and the restrictive covenants and agreements set forth in Sections 7, 8, 9 and 10 hereof, and make the commitments to the Company set forth herein.</w:t>
      </w:r>
    </w:p>
    <w:p>
      <w:pPr>
        <w:spacing w:after="0" w:line="184" w:lineRule="exact"/>
        <w:rPr>
          <w:sz w:val="20"/>
          <w:szCs w:val="20"/>
          <w:color w:val="auto"/>
        </w:rPr>
      </w:pPr>
    </w:p>
    <w:p>
      <w:pPr>
        <w:jc w:val="both"/>
        <w:ind w:firstLine="1305"/>
        <w:spacing w:after="0" w:line="290" w:lineRule="auto"/>
        <w:tabs>
          <w:tab w:leader="none" w:pos="169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Executive acknowledges (i) that the business of the Company and its Affiliates is global in scope, without geographical limitation, and capable of being performed from anywhere in the world, and (ii) notwithstanding the jurisdiction of formation or principal office of the Company, or the location of any of their respective executives or employees (including, without limitation, Executive), the Company and its Affiliates have business activities and have valuable business relationships within their respective industries throughout the world.</w:t>
      </w:r>
    </w:p>
    <w:p>
      <w:pPr>
        <w:spacing w:after="0" w:line="188" w:lineRule="exact"/>
        <w:rPr>
          <w:rFonts w:ascii="Arial" w:cs="Arial" w:eastAsia="Arial" w:hAnsi="Arial"/>
          <w:sz w:val="18"/>
          <w:szCs w:val="18"/>
          <w:color w:val="auto"/>
        </w:rPr>
      </w:pPr>
    </w:p>
    <w:p>
      <w:pPr>
        <w:jc w:val="both"/>
        <w:ind w:firstLine="1305"/>
        <w:spacing w:after="0" w:line="322" w:lineRule="auto"/>
        <w:tabs>
          <w:tab w:leader="none" w:pos="180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Executive acknowledges that Executive has carefully read this Agreement and has given careful consideration to the restraints imposed upon Executive by this Agreement, and is in full accord as to the necessity of such restraints for the reasonable and proper protection of the Confidential Information, business strategies, employee and customer relationships and goodwill of the Company and its Affiliates now existing or to be developed in the future. Executive expressly acknowledges and agrees that each and every commitment and restraint imposed by this Agreement is reasonable with respect to subject matter, time period and geographical area, in light of (i) the scope of the business of the Company and its Affiliates, (ii) the importance of Executive to the business of the Company and its Affiliates, (iii) Executive’s status as an officer of the Company business, (iv) Executive’s knowledge of the business of the Company and its Affiliates and (v) Executive’s relationships with the Company’s clients or customers. Accordingly, Executive agrees (x) to be bound by the provisions of Sections 7, 8, 9 and 10, it being the intent and spirit that such provisions be valid and enforceable in all respects and (y) acknowledges and agrees that Executive shall not object to the Company, or any of its successors in interest enforcing Sections 7, 8, 9 and 10 of this Agreement. Executive further acknowledges that although Executive’s compliance with the covenants contained in Sections 7, 8, 9 and 10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ectPr>
          <w:pgSz w:w="11900" w:h="16838" w:orient="portrait"/>
          <w:cols w:equalWidth="0" w:num="1">
            <w:col w:w="11420"/>
          </w:cols>
          <w:pgMar w:left="240" w:top="13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70" w:lineRule="exact"/>
        <w:rPr>
          <w:sz w:val="20"/>
          <w:szCs w:val="20"/>
          <w:color w:val="auto"/>
        </w:rPr>
      </w:pPr>
    </w:p>
    <w:p>
      <w:pPr>
        <w:jc w:val="both"/>
        <w:ind w:firstLine="1305"/>
        <w:spacing w:after="0" w:line="320" w:lineRule="auto"/>
        <w:tabs>
          <w:tab w:leader="none" w:pos="166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Noncompetition and Nonsolicitation</w:t>
      </w:r>
      <w:r>
        <w:rPr>
          <w:rFonts w:ascii="Arial" w:cs="Arial" w:eastAsia="Arial" w:hAnsi="Arial"/>
          <w:sz w:val="16"/>
          <w:szCs w:val="16"/>
          <w:color w:val="auto"/>
        </w:rPr>
        <w:t>. (a) Executive acknowledges that the services Executive are to render to the Company are of a special and unusual character, with a unique value to the Company, the loss of which cannot adequately be compensated by damages or an action at law. In view of the unique value to the Company, its Subsidiaries and Affiliates (collectively, the “</w:t>
      </w:r>
      <w:r>
        <w:rPr>
          <w:rFonts w:ascii="Arial" w:cs="Arial" w:eastAsia="Arial" w:hAnsi="Arial"/>
          <w:sz w:val="16"/>
          <w:szCs w:val="16"/>
          <w:u w:val="single" w:color="auto"/>
          <w:color w:val="auto"/>
        </w:rPr>
        <w:t>Group</w:t>
      </w:r>
      <w:r>
        <w:rPr>
          <w:rFonts w:ascii="Arial" w:cs="Arial" w:eastAsia="Arial" w:hAnsi="Arial"/>
          <w:sz w:val="16"/>
          <w:szCs w:val="16"/>
          <w:color w:val="auto"/>
        </w:rPr>
        <w:t>”) of the services of Executive for which the Company has contracted hereunder, because of the confidential information to be obtained by, or disclosed to, Executive as herein above set forth, Executive covenants and agrees that during Executive’s employment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Executive’s employment is terminated, or if Executive is an employee of any member of the Group, at the time Executive is accused of being in competition with any of the Group pursuant to this Agreement; (ii) in the provision of the business processes provided by the Group at the time Executive’s employment is terminated, or if Executive is an employee of any member of the Group, at the time Executive is accused of being in competition with any member of the Group pursuant to this Agreement; (iii) in the provision of business processes that any of the Group has taken substantial steps to provide to customers at the time Executive’s employment is terminated, or if Executive is an employee of any of the Group, at the time Executive is accused of being in competition with any of the Group pursuant to this Agreement; or (iv) in the provision of business processes that any of the Group are in the process of marketing to existing or potential clients that any of the Group are taking measures to retain as clients of the Group, at the time Executive’s employment is terminated, or if Executive are an employee of any of the Group, at the time Executive is accused of being in competition with any of the Group pursuant to this Agreement, during Executive’s employment with the Group. Executive and the Company acknowledge that clauses (ii), (iii) and (iv) in the immediately preceding sentence shall not be deemed or interpreted to narrow or otherwise limit the scope of clause (i) of such sentence. For purposes of this Agreement, the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shall be the one year period following Executive’s termination of employment for any reason.</w:t>
      </w:r>
    </w:p>
    <w:p>
      <w:pPr>
        <w:spacing w:after="0" w:line="16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 Section 12(g) of the Securities Exchange Act of 1934;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 to take any action, including without limitation, taking a position with another company, which action could potentially be deemed a violation of this Agreement,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If Executive disagrees with the Board’s decision relating to the consent, then a third-party arbitrator (the “</w:t>
      </w:r>
      <w:r>
        <w:rPr>
          <w:rFonts w:ascii="Arial" w:cs="Arial" w:eastAsia="Arial" w:hAnsi="Arial"/>
          <w:sz w:val="17"/>
          <w:szCs w:val="17"/>
          <w:u w:val="single" w:color="auto"/>
          <w:color w:val="auto"/>
        </w:rPr>
        <w:t>Arbitrator</w:t>
      </w:r>
      <w:r>
        <w:rPr>
          <w:rFonts w:ascii="Arial" w:cs="Arial" w:eastAsia="Arial" w:hAnsi="Arial"/>
          <w:sz w:val="17"/>
          <w:szCs w:val="17"/>
          <w:color w:val="auto"/>
        </w:rPr>
        <w:t>”) shall be appointed within five (5) days of the date Executive notifies the Company of Executive’s disagreement, and the third party Arbitrator shall be instructed to make a determination with respect to whether Executive’s action would constitute a legally valid and enforceable violation of this Agreement within not more than thirty (30) days following his appointment and such determination shall be binding on all of the parties hereto. Such arbitrator is to be selected based on mutual agreement of the Company and Executive. If no mutual agreement is reached, each party shall select one arbitrator and these two arbitrators will in turn select a third arbitrator. The three arbitrators will then make a collective determination in accordance with the terms of this paragraph. The cost of the Arbitrator(s) shall be borne by the Company; provided, however, if the Arbitrators’ determination is inconsistent with Executive’s position, then the cost of the Arbitrator shall be borne by Executive.</w:t>
      </w:r>
    </w:p>
    <w:p>
      <w:pPr>
        <w:sectPr>
          <w:pgSz w:w="11900" w:h="16838" w:orient="portrait"/>
          <w:cols w:equalWidth="0" w:num="1">
            <w:col w:w="11420"/>
          </w:cols>
          <w:pgMar w:left="240" w:top="13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70" w:lineRule="exact"/>
        <w:rPr>
          <w:sz w:val="20"/>
          <w:szCs w:val="20"/>
          <w:color w:val="auto"/>
        </w:rPr>
      </w:pPr>
    </w:p>
    <w:p>
      <w:pPr>
        <w:jc w:val="both"/>
        <w:ind w:firstLine="1305"/>
        <w:spacing w:after="0" w:line="285" w:lineRule="auto"/>
        <w:tabs>
          <w:tab w:leader="none" w:pos="181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During Executive’s employment with the Group and for a period of one year thereafter Executive shall make no unfavorable, disparaging or negative comment, remark or statement, whether written or oral (a “</w:t>
      </w:r>
      <w:r>
        <w:rPr>
          <w:rFonts w:ascii="Arial" w:cs="Arial" w:eastAsia="Arial" w:hAnsi="Arial"/>
          <w:sz w:val="18"/>
          <w:szCs w:val="18"/>
          <w:u w:val="single" w:color="auto"/>
          <w:color w:val="auto"/>
        </w:rPr>
        <w:t>Disparaging Statement</w:t>
      </w:r>
      <w:r>
        <w:rPr>
          <w:rFonts w:ascii="Arial" w:cs="Arial" w:eastAsia="Arial" w:hAnsi="Arial"/>
          <w:sz w:val="18"/>
          <w:szCs w:val="18"/>
          <w:color w:val="auto"/>
        </w:rPr>
        <w:t>”), about the Company or any of its affiliates, officers, directors, shareholders, consultants, or employees; provided that Executive may give truthful testimony before a court, governmental agency, arbitration panel, or similar person or body with apparent jurisdiction and may discuss such matters in confidence with Executive’s attorney(s) and other professional advisors. Similarly,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 with apparent jurisdiction and may discuss such matters in confidence with their or the Company’s attorney(s) and other professional advisors.</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On and after the date hereof, during Executive’s employment and for one year following termination of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any (B) prospective employee with whom the Company has had discussions or negotiations within six months prior to Executive’s termination of employment not to establish a relationship with any of the Group, (ii) induce or attempt to induce any current customer to terminate its relationship with any of the Group, or (iii) induce any potential customer with whom the Company has had discussions or negotiations within six months prior to Executive’s termination of employment not to establish a relationship with any of the Group.</w:t>
      </w:r>
    </w:p>
    <w:p>
      <w:pPr>
        <w:spacing w:after="0" w:line="203" w:lineRule="exact"/>
        <w:rPr>
          <w:sz w:val="20"/>
          <w:szCs w:val="20"/>
          <w:color w:val="auto"/>
        </w:rPr>
      </w:pPr>
    </w:p>
    <w:p>
      <w:pPr>
        <w:jc w:val="both"/>
        <w:ind w:firstLine="1305"/>
        <w:spacing w:after="0" w:line="309" w:lineRule="auto"/>
        <w:tabs>
          <w:tab w:leader="none" w:pos="174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a final and non-appealable judicial determination is made by a court of competent jurisdiction that any of the provisions of this Section 7 constitutes an unreasonable or otherwise unenforceable restriction against Executive, the provisions of this Section 7 will not be rendered void but will be deemed to be modified to the minimum extent necessary to remain in force and effect for the longest period and largest geographic area that would not constitute such an unreasonable or unenforceable restriction (and such court shall have the power to reduce the duration or restrict or redefine the geographic scope of such provision and to enforce such provision as so reduced, restricted or redefined).</w:t>
      </w:r>
    </w:p>
    <w:p>
      <w:pPr>
        <w:spacing w:after="0" w:line="173" w:lineRule="exact"/>
        <w:rPr>
          <w:sz w:val="20"/>
          <w:szCs w:val="20"/>
          <w:color w:val="auto"/>
        </w:rPr>
      </w:pPr>
    </w:p>
    <w:p>
      <w:pPr>
        <w:ind w:left="1620" w:hanging="315"/>
        <w:spacing w:after="0"/>
        <w:tabs>
          <w:tab w:leader="none" w:pos="16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Trade Secrets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1953"/>
        <w:spacing w:after="0" w:line="286" w:lineRule="auto"/>
        <w:tabs>
          <w:tab w:leader="none" w:pos="2533"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Access to Confidential Information and Trade Secrets. You understand and acknowledge that as an employee of the Company, You will learn or have access to, or may assist in the development of, highly confidential and sensitive information and trade secrets about the Company, its operations and its clients or prospective clients. “Confidential Information” includes without limitation: (i) financial and business information relating to the Company, such as information with respect to costs, commissions, fees, profits, sales, markets, mailing lists, strategies and plans for future business, new business, product or other development, potential acquisitions or divestitures, and new marketing ideas; (ii) product and technical information relating to the Company, such as product and service formulations, new and innovative product and service ideas, methods, procedures, devices, machines, equipment, data processing programs, software, software codes, computer models, and research and development projects; (iii) client information, such as the identity of the Company’s clients, the names of representatives of the Company’s clients responsible for entering into contracts with the Company, the amounts paid by such clients to the Company, specific client needs and requirements; (iv) information regarding prospective clients, such as the identity of prospective clients, the names of representatives of the prospective clients responsible for entering into contracts with the Company, the amounts proposed to paid by such prospective clients to the Company, specific needs and requirements of such prospective clients; (v) personnel information, such as the identity and number of the Company’s other employees, their salaries, bonuses, benefits, skills, qualifications, and abilities; (vi) any and all information in whatever form relating to any client or prospective client of the Company, including without limitation its business, employees, operations, systems, assets, liabilities, finances, products, and marketing, selling and operating practices; (vii) any information which You know or should know is subject to a restriction on disclosure or which You know or should know is considered by the Company or the Company’s clients or prospective clients to be confidential, sensitive,</w:t>
      </w:r>
    </w:p>
    <w:p>
      <w:pPr>
        <w:sectPr>
          <w:pgSz w:w="11900" w:h="16838" w:orient="portrait"/>
          <w:cols w:equalWidth="0" w:num="1">
            <w:col w:w="11420"/>
          </w:cols>
          <w:pgMar w:left="240" w:top="1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proprietary, a trade secret or is not readily available to the public; and (viii) intellectual property, including inventions and copyrightable works. You also may have access to “Trade Secrets,” which are items of Confidential Information which meet the definition of trade secrets under applicable law. Confidential Information and Trade Secrets are not generally known or available to the general public, but have been developed, compiled or acquired by the Company at its great effort and expense. Confidential Information and Trade Secrets can be in any form: oral, written or machine readable, including electronic files, and stored in any media whatsoever or the unaided human memory.</w:t>
      </w:r>
    </w:p>
    <w:p>
      <w:pPr>
        <w:spacing w:after="0" w:line="188" w:lineRule="exact"/>
        <w:rPr>
          <w:sz w:val="20"/>
          <w:szCs w:val="20"/>
          <w:color w:val="auto"/>
        </w:rPr>
      </w:pPr>
    </w:p>
    <w:p>
      <w:pPr>
        <w:jc w:val="both"/>
        <w:ind w:firstLine="1305"/>
        <w:spacing w:after="0" w:line="269" w:lineRule="auto"/>
        <w:tabs>
          <w:tab w:leader="none" w:pos="174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 and Trade Secrets</w:t>
      </w:r>
      <w:r>
        <w:rPr>
          <w:rFonts w:ascii="Arial" w:cs="Arial" w:eastAsia="Arial" w:hAnsi="Arial"/>
          <w:sz w:val="17"/>
          <w:szCs w:val="17"/>
          <w:color w:val="auto"/>
        </w:rPr>
        <w:t>. You acknowledge and agree that the Company is engaged in a highly competitive business and that its competitive position depends upon its ability to maintain the confidentiality of the Confidential Information and Trade Secrets which were developed, compiled and acquired by the Company at its great effort and expense. You further acknowledge and agree that any disclosing, divulging, revealing, or using of any of the Confidential Information and Trade Secrets, other than in connection with the Company’s business or as specifically authorized by die Company, will be highly detrimental to the Company and cause it to suffer serious loss of business and pecuniary damage. Accordingly, You agree that during Your employment with the Company and following the termination of such employment for any reason, You shall not directly or indirectly divulge or make use of any Confidential Information outside of Your employment with the Company (so long as the information remains confidential) without the prior written consent of an authorized representative of the Company. You shall not directly or indirectly misappropriate, divulge, or make use of Trade Secrets for an indefinite period of time, so long as the information remains a Trade Secret as defined under any applicable trade secrets or other applicable law. You also agree at all times to exercise discretion in discussing with others the affairs of clients, including avoiding unnecessary identification of names, places, and other specifics, and to take reasonable precautions to make sure that such discussions cannot be overheard and electronic communications cannot be intercepted either by client’s employees or outside persons.</w:t>
      </w:r>
    </w:p>
    <w:p>
      <w:pPr>
        <w:spacing w:after="0" w:line="179" w:lineRule="exact"/>
        <w:rPr>
          <w:rFonts w:ascii="Arial" w:cs="Arial" w:eastAsia="Arial" w:hAnsi="Arial"/>
          <w:sz w:val="17"/>
          <w:szCs w:val="17"/>
          <w:color w:val="auto"/>
        </w:rPr>
      </w:pPr>
    </w:p>
    <w:p>
      <w:pPr>
        <w:ind w:firstLine="1305"/>
        <w:spacing w:after="0" w:line="277" w:lineRule="auto"/>
        <w:tabs>
          <w:tab w:leader="none" w:pos="182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Notification of Inquiry Regarding Agreement</w:t>
      </w:r>
      <w:r>
        <w:rPr>
          <w:rFonts w:ascii="Arial" w:cs="Arial" w:eastAsia="Arial" w:hAnsi="Arial"/>
          <w:sz w:val="18"/>
          <w:szCs w:val="18"/>
          <w:color w:val="auto"/>
        </w:rPr>
        <w:t>. You further agree that if You are questioned about information subject to this Agreement by any person or entity not authorized to receive such information, You will notify the Company within twenty-four (24) hours.</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17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You acknowledge and agree that the Company is a public company and that You may receive or have access to material non-public information that is restricted from use and disclosure by federal and state statutes and laws. You agree that other than to benefit the Company in compliance with applicable laws, You will not use for any ‘purposes any “insider information” that may come to Your attention in connection with Your employment with the Company and that You will not disclose such information to anyone outside or the inside the Company who is not an authorized recipient with a need to know such information, The term “use” includes, but is not limited to, purchase or sale of securities influenced by such inside information.</w:t>
      </w:r>
    </w:p>
    <w:p>
      <w:pPr>
        <w:spacing w:after="0" w:line="207" w:lineRule="exact"/>
        <w:rPr>
          <w:sz w:val="20"/>
          <w:szCs w:val="20"/>
          <w:color w:val="auto"/>
        </w:rPr>
      </w:pPr>
    </w:p>
    <w:p>
      <w:pPr>
        <w:jc w:val="both"/>
        <w:ind w:firstLine="1305"/>
        <w:spacing w:after="0" w:line="324" w:lineRule="auto"/>
        <w:tabs>
          <w:tab w:leader="none" w:pos="1706"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Return of Confidential Information and Company Property</w:t>
      </w:r>
      <w:r>
        <w:rPr>
          <w:rFonts w:ascii="Arial" w:cs="Arial" w:eastAsia="Arial" w:hAnsi="Arial"/>
          <w:sz w:val="16"/>
          <w:szCs w:val="16"/>
          <w:color w:val="auto"/>
        </w:rPr>
        <w:t>. You agree to return all Confidential Information and/or Trade Secrets immediately upon termination of your employment for any reason and at any time requested by the Company. To the extent that You maintain Confidential Information and/or Trade Secrets in electronic form on any computers or other electronic devices owned by You, You agree to immediately and irretrievably delete all such information, and certify the deletion of such material. You also agree to return all property in Your possession at the time of the termination of the employment with the Company, including without limitation all documents, records, electronic recordings, and other media of every kind and description relating to the Business of the Company and its Clients or Prospective Clients (as such terms are defined elsewhere in this Agreement), and any copies, in whole or in part, whether or not prepared by You, all of which shall remain the sole and exclusive property of the Company. You further agree upon termination of your employment for any reason to execute and provide the information set forth in the Termination Certification attached hereto as Exhibit C. In addition, upon request of the Company, You shall provide a copy of this Agreement to any subsequent employer.</w:t>
      </w:r>
    </w:p>
    <w:p>
      <w:pPr>
        <w:spacing w:after="0" w:line="168" w:lineRule="exact"/>
        <w:rPr>
          <w:rFonts w:ascii="Arial" w:cs="Arial" w:eastAsia="Arial" w:hAnsi="Arial"/>
          <w:sz w:val="16"/>
          <w:szCs w:val="16"/>
          <w:color w:val="auto"/>
        </w:rPr>
      </w:pPr>
    </w:p>
    <w:p>
      <w:pPr>
        <w:jc w:val="both"/>
        <w:ind w:firstLine="1305"/>
        <w:spacing w:after="0" w:line="295" w:lineRule="auto"/>
        <w:tabs>
          <w:tab w:leader="none" w:pos="176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(a) Executive agrees that the results and proceeds of Executive’s employment by the Company or its Subsidiaries or Affiliates (including, but not limited to, any trade secrets, products, services, processes, know-how, track record, designs, developments, innovations, analyses, drawings, reports,</w:t>
      </w:r>
    </w:p>
    <w:p>
      <w:pPr>
        <w:sectPr>
          <w:pgSz w:w="11900" w:h="16838" w:orient="portrait"/>
          <w:cols w:equalWidth="0" w:num="1">
            <w:col w:w="11420"/>
          </w:cols>
          <w:pgMar w:left="240" w:top="132"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7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employed hereunder by the Company and any works in progress, whether or not patentable or registrable under copyright or similar statutes, that were made, developed, conceived or reduced to practice or learned by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Board, any of its Subsidiaries or Affiliates)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Board determines in its sole discretion, without any further payment to Executive whatsoever. If, for any reason, any of such results and proceeds shall not legally be a work-made-for-hire and/or there are any Proprietary Rights which do not accrue to the Company (or, as the case may be, any of its Subsidiaries or Affiliates)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(or, if applicable or as directed by the Board, any of its Subsidiaries or Affiliates), and the Company or such Subsidiaries or Affiliates shall have the right to use the same in perpetuity throughout the universe in any manner determined by the Board or such Subsidiaries or Affiliates without any further payment to Executive whatsoever. As to any Invention that Executive is required to assign, Executive shall promptly and fully disclose to the Company all information known to Executive concerning such Invention.</w:t>
      </w:r>
    </w:p>
    <w:p>
      <w:pPr>
        <w:spacing w:after="0" w:line="171" w:lineRule="exact"/>
        <w:rPr>
          <w:sz w:val="20"/>
          <w:szCs w:val="20"/>
          <w:color w:val="auto"/>
        </w:rPr>
      </w:pPr>
    </w:p>
    <w:p>
      <w:pPr>
        <w:jc w:val="both"/>
        <w:ind w:firstLine="1305"/>
        <w:spacing w:after="0" w:line="322" w:lineRule="auto"/>
        <w:tabs>
          <w:tab w:leader="none" w:pos="173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Executive agrees that, from time to time, as may be requested by the Board and at the Company’s sole cost and expense, Executive shall do any and all reasonable and lawful things that the Board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10(b) is subject to and shall not be deemed to limit, restrict or constitute any waiver by the Company of any Proprietary Rights of ownership to which the Company may be entitled by operation of law by virtue of Executive’s employment by the Company. Executive further agrees that, from time to time, as may be requested by the Board and at the Company’s sole cost and expense, Executive shall assist the Company in every reasonable,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 to provide reasonable assistance to the Company with respect to Proprietary Rights relating to such Inventions in any and all countries shall continue beyond the termination of the Term.</w:t>
      </w:r>
    </w:p>
    <w:p>
      <w:pPr>
        <w:spacing w:after="0" w:line="167" w:lineRule="exact"/>
        <w:rPr>
          <w:rFonts w:ascii="Arial" w:cs="Arial" w:eastAsia="Arial" w:hAnsi="Arial"/>
          <w:sz w:val="16"/>
          <w:szCs w:val="16"/>
          <w:color w:val="auto"/>
        </w:rPr>
      </w:pPr>
    </w:p>
    <w:p>
      <w:pPr>
        <w:ind w:firstLine="1305"/>
        <w:spacing w:after="0" w:line="309" w:lineRule="auto"/>
        <w:tabs>
          <w:tab w:leader="none" w:pos="173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Executive hereby waives and quitclaims to the Company any and all claims, of any nature whatsoever, that Executive now or may hereafter have for infringement of any Proprietary Rights assigned hereunder to the Company.</w:t>
      </w:r>
    </w:p>
    <w:p>
      <w:pPr>
        <w:spacing w:after="0" w:line="169" w:lineRule="exact"/>
        <w:rPr>
          <w:sz w:val="20"/>
          <w:szCs w:val="20"/>
          <w:color w:val="auto"/>
        </w:rPr>
      </w:pPr>
    </w:p>
    <w:p>
      <w:pPr>
        <w:jc w:val="both"/>
        <w:ind w:firstLine="1305"/>
        <w:spacing w:after="0" w:line="347" w:lineRule="auto"/>
        <w:tabs>
          <w:tab w:leader="none" w:pos="176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Notification of Employment or Service Provider Relationship</w:t>
      </w:r>
      <w:r>
        <w:rPr>
          <w:rFonts w:ascii="Arial" w:cs="Arial" w:eastAsia="Arial" w:hAnsi="Arial"/>
          <w:sz w:val="16"/>
          <w:szCs w:val="16"/>
          <w:color w:val="auto"/>
        </w:rPr>
        <w:t>. Executive hereby agrees that as soon as practical, upon Executive’s consideration of accepting employment with, or agreeing to provide services to, any other Person during any period which Executive remains subject to any of the covenants set forth in Section 7, Executive shall advise his prospective employer of this Agreement and, to the extent necessary, shall provide such</w:t>
      </w:r>
    </w:p>
    <w:p>
      <w:pPr>
        <w:sectPr>
          <w:pgSz w:w="11900" w:h="16838" w:orient="portrait"/>
          <w:cols w:equalWidth="0" w:num="1">
            <w:col w:w="11420"/>
          </w:cols>
          <w:pgMar w:left="240" w:top="13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prospective employer with a copy of Section 7 of this Agreement; provided, however, that if and to the extent this Agreement has been publicly filed in connection the Company’s filings with the Securities and Exchange Commission or related corporate, public company filings, Executive may provide his prospective employer with a copy of the filed version of this Agreement. Promptly after receiving an offer of employment from any other Person, Executive will provide written notice to the Company of his new employer as soon as possible.</w:t>
      </w:r>
    </w:p>
    <w:p>
      <w:pPr>
        <w:spacing w:after="0" w:line="188" w:lineRule="exact"/>
        <w:rPr>
          <w:sz w:val="20"/>
          <w:szCs w:val="20"/>
          <w:color w:val="auto"/>
        </w:rPr>
      </w:pPr>
    </w:p>
    <w:p>
      <w:pPr>
        <w:jc w:val="both"/>
        <w:ind w:firstLine="1305"/>
        <w:spacing w:after="0" w:line="304" w:lineRule="auto"/>
        <w:tabs>
          <w:tab w:leader="none" w:pos="1701"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Remedies and Injunctive Relief</w:t>
      </w:r>
      <w:r>
        <w:rPr>
          <w:rFonts w:ascii="Arial" w:cs="Arial" w:eastAsia="Arial" w:hAnsi="Arial"/>
          <w:sz w:val="17"/>
          <w:szCs w:val="17"/>
          <w:color w:val="auto"/>
        </w:rPr>
        <w:t>. Executive acknowledges that a violation by Executive of any of the covenants contained in Section 7, 8, 9 or 10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Federal court of the Southern District of New York or any state court located in New York County, State of New York for any actual or threatened breach of any of the covenants set forth in Section 7, 8, 9 or 10 in addition to any other legal or equitable remedies it may have. The preceding sentence shall not be construed as a waiver of the rights that the Company may have for damages under this Agreement or otherwise, and all of the Company’s rights shall be unrestricted.</w:t>
      </w:r>
    </w:p>
    <w:p>
      <w:pPr>
        <w:spacing w:after="0" w:line="180" w:lineRule="exact"/>
        <w:rPr>
          <w:rFonts w:ascii="Arial" w:cs="Arial" w:eastAsia="Arial" w:hAnsi="Arial"/>
          <w:sz w:val="17"/>
          <w:szCs w:val="17"/>
          <w:color w:val="auto"/>
        </w:rPr>
      </w:pPr>
    </w:p>
    <w:p>
      <w:pPr>
        <w:ind w:left="1740" w:hanging="435"/>
        <w:spacing w:after="0"/>
        <w:tabs>
          <w:tab w:leader="none" w:pos="174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Representations of Executive and Company; Advice of Counsel</w:t>
      </w:r>
      <w:r>
        <w:rPr>
          <w:rFonts w:ascii="Arial" w:cs="Arial" w:eastAsia="Arial" w:hAnsi="Arial"/>
          <w:sz w:val="16"/>
          <w:szCs w:val="16"/>
          <w:color w:val="auto"/>
        </w:rPr>
        <w:t>. (a) Executive represents, warrants and covenants that as of the date</w:t>
      </w:r>
    </w:p>
    <w:p>
      <w:pPr>
        <w:spacing w:after="0" w:line="59" w:lineRule="exact"/>
        <w:rPr>
          <w:rFonts w:ascii="Arial" w:cs="Arial" w:eastAsia="Arial" w:hAnsi="Arial"/>
          <w:sz w:val="16"/>
          <w:szCs w:val="16"/>
          <w:color w:val="auto"/>
        </w:rPr>
      </w:pPr>
    </w:p>
    <w:p>
      <w:pPr>
        <w:jc w:val="both"/>
        <w:spacing w:after="0" w:line="285" w:lineRule="auto"/>
        <w:rPr>
          <w:rFonts w:ascii="Arial" w:cs="Arial" w:eastAsia="Arial" w:hAnsi="Arial"/>
          <w:sz w:val="16"/>
          <w:szCs w:val="16"/>
          <w:color w:val="auto"/>
        </w:rPr>
      </w:pPr>
      <w:r>
        <w:rPr>
          <w:rFonts w:ascii="Arial" w:cs="Arial" w:eastAsia="Arial" w:hAnsi="Arial"/>
          <w:sz w:val="18"/>
          <w:szCs w:val="18"/>
          <w:color w:val="auto"/>
        </w:rPr>
        <w:t>hereof: (i) Executive has the full right, authority and capacity to enter into this Agreement and perform Executive’s obligations hereunder, (ii) has disclosed all applicable restrictive covenants or other obligations Executive has with any current or former employer,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Executive has not engaged and will not engage in the future in any conduct that is in breach of any restrictive covenant to which Executive may be bound or any fiduciary duty that Executive owes to any employer. The Executive understands and acknowledges that Executive is not expected or permitted to possess, use or disclose any confidential information belonging to any current or former employer in the course of performing his duties for the Company.</w:t>
      </w:r>
    </w:p>
    <w:p>
      <w:pPr>
        <w:spacing w:after="0" w:line="194" w:lineRule="exact"/>
        <w:rPr>
          <w:sz w:val="20"/>
          <w:szCs w:val="20"/>
          <w:color w:val="auto"/>
        </w:rPr>
      </w:pPr>
    </w:p>
    <w:p>
      <w:pPr>
        <w:jc w:val="both"/>
        <w:ind w:firstLine="1305"/>
        <w:spacing w:after="0" w:line="287" w:lineRule="auto"/>
        <w:tabs>
          <w:tab w:leader="none" w:pos="1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90" w:lineRule="exact"/>
        <w:rPr>
          <w:sz w:val="20"/>
          <w:szCs w:val="20"/>
          <w:color w:val="auto"/>
        </w:rPr>
      </w:pPr>
    </w:p>
    <w:p>
      <w:pPr>
        <w:jc w:val="both"/>
        <w:ind w:firstLine="1305"/>
        <w:spacing w:after="0" w:line="327" w:lineRule="auto"/>
        <w:tabs>
          <w:tab w:leader="none" w:pos="172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the Term, the Company</w:t>
      </w:r>
    </w:p>
    <w:p>
      <w:pPr>
        <w:sectPr>
          <w:pgSz w:w="11900" w:h="16838" w:orient="portrait"/>
          <w:cols w:equalWidth="0" w:num="1">
            <w:col w:w="11420"/>
          </w:cols>
          <w:pgMar w:left="240" w:top="132"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7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shall reimburse Executive for expenses reasonably incurred in connection therewith, including reasonable and necessary attorney fees where the attorney is engaged in consultation with the Company, and shall schedule such cooperation to the extent reasonably practicable so as not to unreasonably interfere with Executive’s business or personal affairs.</w:t>
      </w:r>
    </w:p>
    <w:p>
      <w:pPr>
        <w:spacing w:after="0" w:line="182" w:lineRule="exact"/>
        <w:rPr>
          <w:sz w:val="20"/>
          <w:szCs w:val="20"/>
          <w:color w:val="auto"/>
        </w:rPr>
      </w:pPr>
    </w:p>
    <w:p>
      <w:pPr>
        <w:jc w:val="both"/>
        <w:ind w:firstLine="1305"/>
        <w:spacing w:after="0" w:line="347" w:lineRule="auto"/>
        <w:tabs>
          <w:tab w:leader="none" w:pos="1756"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xml:space="preserve"> The Company may deduct and withhold from any amounts payable under this Agreement such Federal, state, local, non-U.S. or other taxes as are required or permitted to be withheld pursuant to any applicable law or regulation. Executive shall be responsible for all taxes (including self-employment taxes) in connection with his status as a member of the Company for U.S. federal income tax purposes.</w:t>
      </w:r>
    </w:p>
    <w:p>
      <w:pPr>
        <w:spacing w:after="0" w:line="147" w:lineRule="exact"/>
        <w:rPr>
          <w:rFonts w:ascii="Arial" w:cs="Arial" w:eastAsia="Arial" w:hAnsi="Arial"/>
          <w:sz w:val="16"/>
          <w:szCs w:val="16"/>
          <w:color w:val="auto"/>
        </w:rPr>
      </w:pPr>
    </w:p>
    <w:p>
      <w:pPr>
        <w:ind w:firstLine="1305"/>
        <w:spacing w:after="0" w:line="309" w:lineRule="auto"/>
        <w:tabs>
          <w:tab w:leader="none" w:pos="170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(a) This Agreement is personal to Executive and without the prior written consent of the Board shall not be assignable by Executive, and any assignment in violation of this Agreement shall be void.</w:t>
      </w:r>
    </w:p>
    <w:p>
      <w:pPr>
        <w:spacing w:after="0" w:line="169" w:lineRule="exact"/>
        <w:rPr>
          <w:sz w:val="20"/>
          <w:szCs w:val="20"/>
          <w:color w:val="auto"/>
        </w:rPr>
      </w:pPr>
    </w:p>
    <w:p>
      <w:pPr>
        <w:jc w:val="both"/>
        <w:ind w:firstLine="1305"/>
        <w:spacing w:after="0" w:line="295" w:lineRule="auto"/>
        <w:tabs>
          <w:tab w:leader="none" w:pos="17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Executive’s estate and heirs in the case of any payments due to Executive hereunder).</w:t>
      </w:r>
    </w:p>
    <w:p>
      <w:pPr>
        <w:spacing w:after="0" w:line="182" w:lineRule="exact"/>
        <w:rPr>
          <w:rFonts w:ascii="Arial" w:cs="Arial" w:eastAsia="Arial" w:hAnsi="Arial"/>
          <w:sz w:val="18"/>
          <w:szCs w:val="18"/>
          <w:color w:val="auto"/>
        </w:rPr>
      </w:pPr>
    </w:p>
    <w:p>
      <w:pPr>
        <w:jc w:val="both"/>
        <w:ind w:firstLine="1305"/>
        <w:spacing w:after="0" w:line="295" w:lineRule="auto"/>
        <w:tabs>
          <w:tab w:leader="none" w:pos="175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Executive acknowledges and agrees that all of Executive’s covenants and obligations to the Company, as well as the rights of the Company hereunder, shall run in favor of and shall be enforceable by the Company and any successor or assign to all or substantially all of the Company’s business or assets.</w:t>
      </w:r>
    </w:p>
    <w:p>
      <w:pPr>
        <w:spacing w:after="0" w:line="182" w:lineRule="exact"/>
        <w:rPr>
          <w:sz w:val="20"/>
          <w:szCs w:val="20"/>
          <w:color w:val="auto"/>
        </w:rPr>
      </w:pPr>
    </w:p>
    <w:p>
      <w:pPr>
        <w:jc w:val="both"/>
        <w:ind w:firstLine="1305"/>
        <w:spacing w:after="0" w:line="337" w:lineRule="auto"/>
        <w:tabs>
          <w:tab w:leader="none" w:pos="181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Governing Law; No Construction Against Drafter.</w:t>
      </w:r>
      <w:r>
        <w:rPr>
          <w:rFonts w:ascii="Arial" w:cs="Arial" w:eastAsia="Arial" w:hAnsi="Arial"/>
          <w:sz w:val="16"/>
          <w:szCs w:val="16"/>
          <w:color w:val="auto"/>
        </w:rPr>
        <w:t xml:space="preserve"> This Agreement shall be deemed to be made in New York, and the validity, interpretation, construction, and performance of this Agreement in all respects shall be governed by the laws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55" w:lineRule="exact"/>
        <w:rPr>
          <w:rFonts w:ascii="Arial" w:cs="Arial" w:eastAsia="Arial" w:hAnsi="Arial"/>
          <w:sz w:val="16"/>
          <w:szCs w:val="16"/>
          <w:color w:val="auto"/>
        </w:rPr>
      </w:pPr>
    </w:p>
    <w:p>
      <w:pPr>
        <w:jc w:val="both"/>
        <w:ind w:right="20" w:firstLine="1305"/>
        <w:spacing w:after="0" w:line="290" w:lineRule="auto"/>
        <w:tabs>
          <w:tab w:leader="none" w:pos="172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controversy or other claim, other than claims solely for injunctive relief pursuant to Section 7, 8, 9 or 10, arising out of or relating to (i) this Agreement, or (ii) Executive’s employment with the Company shall be resolved by binding confidential arbitration, to be held in New York, New York in accordance with the Commercial Arbitration Rules of the American Arbitration Association. Judgment upon the award rendered by arbitrator(s) may be entered in any court having jurisdiction thereof.</w:t>
      </w:r>
    </w:p>
    <w:p>
      <w:pPr>
        <w:spacing w:after="0" w:line="188" w:lineRule="exact"/>
        <w:rPr>
          <w:rFonts w:ascii="Arial" w:cs="Arial" w:eastAsia="Arial" w:hAnsi="Arial"/>
          <w:sz w:val="18"/>
          <w:szCs w:val="18"/>
          <w:color w:val="auto"/>
        </w:rPr>
      </w:pPr>
    </w:p>
    <w:p>
      <w:pPr>
        <w:ind w:firstLine="1305"/>
        <w:spacing w:after="0" w:line="309" w:lineRule="auto"/>
        <w:tabs>
          <w:tab w:leader="none" w:pos="174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Amendment; No Waiver; 409A.</w:t>
      </w:r>
      <w:r>
        <w:rPr>
          <w:rFonts w:ascii="Arial" w:cs="Arial" w:eastAsia="Arial" w:hAnsi="Arial"/>
          <w:sz w:val="18"/>
          <w:szCs w:val="18"/>
          <w:color w:val="auto"/>
        </w:rPr>
        <w:t xml:space="preserve"> (a) No provisions of this Agreement may be amended, modified, waived or discharged except by a written document signed by Executive and a duly authorized officer of the Company (other than Executive).</w:t>
      </w:r>
    </w:p>
    <w:p>
      <w:pPr>
        <w:spacing w:after="0" w:line="169" w:lineRule="exact"/>
        <w:rPr>
          <w:sz w:val="20"/>
          <w:szCs w:val="20"/>
          <w:color w:val="auto"/>
        </w:rPr>
      </w:pPr>
    </w:p>
    <w:p>
      <w:pPr>
        <w:jc w:val="both"/>
        <w:ind w:firstLine="1305"/>
        <w:spacing w:after="0" w:line="288" w:lineRule="auto"/>
        <w:tabs>
          <w:tab w:leader="none" w:pos="168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9" w:lineRule="exact"/>
        <w:rPr>
          <w:rFonts w:ascii="Arial" w:cs="Arial" w:eastAsia="Arial" w:hAnsi="Arial"/>
          <w:sz w:val="18"/>
          <w:szCs w:val="18"/>
          <w:color w:val="auto"/>
        </w:rPr>
      </w:pPr>
    </w:p>
    <w:p>
      <w:pPr>
        <w:ind w:firstLine="1305"/>
        <w:spacing w:after="0" w:line="309" w:lineRule="auto"/>
        <w:tabs>
          <w:tab w:leader="none" w:pos="17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 is the intention of the Company and Executive that this Agreement comply with the requirements of Section 409A, and this Agreement will be interpreted in a manner intended to comply with or be exempt</w:t>
      </w:r>
    </w:p>
    <w:p>
      <w:pPr>
        <w:sectPr>
          <w:pgSz w:w="11900" w:h="16838" w:orient="portrait"/>
          <w:cols w:equalWidth="0" w:num="1">
            <w:col w:w="11420"/>
          </w:cols>
          <w:pgMar w:left="240" w:top="132"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7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from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 shall have any obligation to indemnify or otherwise hold Executive (or any beneficiary) harmless from any or all of such taxes or penalties.</w:t>
      </w:r>
    </w:p>
    <w:p>
      <w:pPr>
        <w:spacing w:after="0" w:line="190" w:lineRule="exact"/>
        <w:rPr>
          <w:sz w:val="20"/>
          <w:szCs w:val="20"/>
          <w:color w:val="auto"/>
        </w:rPr>
      </w:pPr>
    </w:p>
    <w:p>
      <w:pPr>
        <w:jc w:val="both"/>
        <w:ind w:firstLine="1305"/>
        <w:spacing w:after="0" w:line="332" w:lineRule="auto"/>
        <w:tabs>
          <w:tab w:leader="none" w:pos="168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that Executive is deemed to be a “specified employee” within the meaning of Section 409A(a)(2)(B)(i), no payments hereunder that are “deferred compensation” subject to Section 409A shall be made to Executive prior to the date that is six (6) months after the date of Executive’s “separation from service” (as defined in Treasury Regulation Section 1.409A-1(h)) or, if earlier, Executive’s date of death. Following any applicable six (6) month delay, all such delayed payments will be paid in a single lump sum on the earliest permissible payment date. For purposes of Section 409A, each of the payments that may be made under this Agreement are designated as separate payments.</w:t>
      </w:r>
    </w:p>
    <w:p>
      <w:pPr>
        <w:spacing w:after="0" w:line="158" w:lineRule="exact"/>
        <w:rPr>
          <w:rFonts w:ascii="Arial" w:cs="Arial" w:eastAsia="Arial" w:hAnsi="Arial"/>
          <w:sz w:val="16"/>
          <w:szCs w:val="16"/>
          <w:color w:val="auto"/>
        </w:rPr>
      </w:pPr>
    </w:p>
    <w:p>
      <w:pPr>
        <w:jc w:val="both"/>
        <w:ind w:firstLine="1305"/>
        <w:spacing w:after="0" w:line="295" w:lineRule="auto"/>
        <w:tabs>
          <w:tab w:leader="none" w:pos="167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purposes of this Agreement, with respect to payments of any amounts that are considered to be “deferred compensation” subject to Section 409A, references to “termination of employment” (and substantially similar phrases) shall be interpreted and applied in a manner that is consistent with the requirements of Section 409A relating to “separation from service”.</w:t>
      </w:r>
    </w:p>
    <w:p>
      <w:pPr>
        <w:spacing w:after="0" w:line="182" w:lineRule="exact"/>
        <w:rPr>
          <w:rFonts w:ascii="Arial" w:cs="Arial" w:eastAsia="Arial" w:hAnsi="Arial"/>
          <w:sz w:val="18"/>
          <w:szCs w:val="18"/>
          <w:color w:val="auto"/>
        </w:rPr>
      </w:pPr>
    </w:p>
    <w:p>
      <w:pPr>
        <w:jc w:val="both"/>
        <w:ind w:firstLine="1305"/>
        <w:spacing w:after="0" w:line="288" w:lineRule="auto"/>
        <w:tabs>
          <w:tab w:leader="none" w:pos="166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the extent that any reimbursements pursuant to Section 4(j) or 14 are taxable to Executive, any such reimbursement payment due to Executive shall be paid to Executive as promptly as practicable, and in all events on or before the last day of Executive’s taxable year following the taxable year in which the related expense was incurred. The reimbursements pursuant to Section 4(j) and 14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90" w:lineRule="exact"/>
        <w:rPr>
          <w:sz w:val="20"/>
          <w:szCs w:val="20"/>
          <w:color w:val="auto"/>
        </w:rPr>
      </w:pPr>
    </w:p>
    <w:p>
      <w:pPr>
        <w:jc w:val="both"/>
        <w:ind w:firstLine="1305"/>
        <w:spacing w:after="0" w:line="329" w:lineRule="auto"/>
        <w:tabs>
          <w:tab w:leader="none" w:pos="1701"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or any part thereof of this Agreement, including Sections 7, 8, 9 and 10 hereof, as applied to either party or to any circumstances, shall be adjudged by a court of competent jurisdiction to be invalid or unenforceable, the same shall in no way affect any other provision or remaining part thereof of this Agreement, which shall be given full effect without regard to the invalid or unenforceable provision or part thereof, or the validity or enforceability of this Agreement.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61" w:lineRule="exact"/>
        <w:rPr>
          <w:rFonts w:ascii="Arial" w:cs="Arial" w:eastAsia="Arial" w:hAnsi="Arial"/>
          <w:sz w:val="16"/>
          <w:szCs w:val="16"/>
          <w:color w:val="auto"/>
        </w:rPr>
      </w:pPr>
    </w:p>
    <w:p>
      <w:pPr>
        <w:jc w:val="both"/>
        <w:ind w:firstLine="1305"/>
        <w:spacing w:after="0" w:line="284" w:lineRule="auto"/>
        <w:tabs>
          <w:tab w:leader="none" w:pos="1769"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 For the avoidance of doubt the Original Employment Agreement shall be null and void and of no further force and effect as of the Effective Date. Notwithstanding the foregoing, if and to the extent any amounts are due and owing to the Executive under the Original Employment Agreement for services performed through December 31, 2015 and which have yet to be paid as of the date of signature, the Company shall not be relieved of its obligation to make all such payments.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rights and obligations of the parties under the provisions of this Agreement (including without limitation, Sections 7 through 12 and Section 14) shall survive, and remain binding and enforceable, notwithstanding the expiration of the Term, the termination of this Agreement, the termination of Executive’s employment hereunder or any settlement of the financial rights and</w:t>
      </w:r>
    </w:p>
    <w:p>
      <w:pPr>
        <w:sectPr>
          <w:pgSz w:w="11900" w:h="16838" w:orient="portrait"/>
          <w:cols w:equalWidth="0" w:num="1">
            <w:col w:w="11420"/>
          </w:cols>
          <w:pgMar w:left="240" w:top="132"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obligations arising from Executive’s employment hereunder, to the extent necessary to preserve the intended benefits of such provisions.</w:t>
      </w:r>
    </w:p>
    <w:p>
      <w:pPr>
        <w:spacing w:after="0" w:line="252" w:lineRule="exact"/>
        <w:rPr>
          <w:sz w:val="20"/>
          <w:szCs w:val="20"/>
          <w:color w:val="auto"/>
        </w:rPr>
      </w:pPr>
    </w:p>
    <w:p>
      <w:pPr>
        <w:jc w:val="both"/>
        <w:ind w:firstLine="1305"/>
        <w:spacing w:after="0" w:line="312" w:lineRule="auto"/>
        <w:tabs>
          <w:tab w:leader="none" w:pos="1701"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business day in the case of express mail or overnight courier service) to the parties at the following addresses or facsimiles (or at such other address for a party as shall be specified by like notice):</w:t>
      </w:r>
    </w:p>
    <w:p>
      <w:pPr>
        <w:spacing w:after="0" w:line="1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the Company:</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ExlService Holdings, Inc.</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2660"/>
        <w:spacing w:after="0"/>
        <w:rPr>
          <w:sz w:val="20"/>
          <w:szCs w:val="20"/>
          <w:color w:val="auto"/>
        </w:rPr>
      </w:pPr>
      <w:r>
        <w:rPr>
          <w:rFonts w:ascii="Arial" w:cs="Arial" w:eastAsia="Arial" w:hAnsi="Arial"/>
          <w:sz w:val="18"/>
          <w:szCs w:val="18"/>
          <w:color w:val="auto"/>
        </w:rPr>
        <w:t>New York, New York 10017</w:t>
      </w:r>
    </w:p>
    <w:p>
      <w:pPr>
        <w:spacing w:after="0" w:line="20"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Attn: Nancy Saltzman, Esq.</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Fax: (212) 624-5933</w:t>
      </w:r>
    </w:p>
    <w:p>
      <w:pPr>
        <w:spacing w:after="0" w:line="27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a copy to: ExlService Holdings, Inc.</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ind w:left="2660"/>
        <w:spacing w:after="0"/>
        <w:rPr>
          <w:sz w:val="20"/>
          <w:szCs w:val="20"/>
          <w:color w:val="auto"/>
        </w:rPr>
      </w:pPr>
      <w:r>
        <w:rPr>
          <w:rFonts w:ascii="Arial" w:cs="Arial" w:eastAsia="Arial" w:hAnsi="Arial"/>
          <w:sz w:val="18"/>
          <w:szCs w:val="18"/>
          <w:color w:val="auto"/>
        </w:rPr>
        <w:t>New York, New York 10017</w:t>
      </w:r>
    </w:p>
    <w:p>
      <w:pPr>
        <w:spacing w:after="0" w:line="20"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Attn: Nalin Kumar Miglani</w:t>
      </w:r>
    </w:p>
    <w:p>
      <w:pPr>
        <w:spacing w:after="0" w:line="3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Fax: (212) 624-5933</w:t>
      </w:r>
    </w:p>
    <w:p>
      <w:pPr>
        <w:spacing w:after="0" w:line="2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to Executive:</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Vishal Chhibbar</w:t>
      </w:r>
    </w:p>
    <w:p>
      <w:pPr>
        <w:ind w:left="900"/>
        <w:spacing w:after="0" w:line="200" w:lineRule="auto"/>
        <w:rPr>
          <w:sz w:val="20"/>
          <w:szCs w:val="20"/>
          <w:color w:val="auto"/>
        </w:rPr>
      </w:pPr>
      <w:r>
        <w:rPr>
          <w:rFonts w:ascii="Arial" w:cs="Arial" w:eastAsia="Arial" w:hAnsi="Arial"/>
          <w:sz w:val="18"/>
          <w:szCs w:val="18"/>
          <w:color w:val="auto"/>
        </w:rPr>
        <w:t>280 Park Avenue, 38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Attn: Vishal Chhibbar</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Fax: (212) 624-5933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Notices delivered by electronic mail shall have the same legal effect as if such notice had been delivered in person.</w:t>
      </w:r>
    </w:p>
    <w:p>
      <w:pPr>
        <w:spacing w:after="0" w:line="239" w:lineRule="exact"/>
        <w:rPr>
          <w:sz w:val="20"/>
          <w:szCs w:val="20"/>
          <w:color w:val="auto"/>
        </w:rPr>
      </w:pPr>
    </w:p>
    <w:p>
      <w:pPr>
        <w:jc w:val="both"/>
        <w:ind w:firstLine="1305"/>
        <w:spacing w:after="0" w:line="295" w:lineRule="auto"/>
        <w:tabs>
          <w:tab w:leader="none" w:pos="178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Headings and References.</w:t>
      </w:r>
      <w:r>
        <w:rPr>
          <w:rFonts w:ascii="Arial" w:cs="Arial" w:eastAsia="Arial" w:hAnsi="Arial"/>
          <w:sz w:val="18"/>
          <w:szCs w:val="18"/>
          <w:color w:val="auto"/>
        </w:rPr>
        <w:t xml:space="preserve">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spacing w:after="0" w:line="182" w:lineRule="exact"/>
        <w:rPr>
          <w:rFonts w:ascii="Arial" w:cs="Arial" w:eastAsia="Arial" w:hAnsi="Arial"/>
          <w:sz w:val="18"/>
          <w:szCs w:val="18"/>
          <w:color w:val="auto"/>
        </w:rPr>
      </w:pPr>
    </w:p>
    <w:p>
      <w:pPr>
        <w:jc w:val="both"/>
        <w:ind w:firstLine="1305"/>
        <w:spacing w:after="0" w:line="295" w:lineRule="auto"/>
        <w:tabs>
          <w:tab w:leader="none" w:pos="181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ectPr>
          <w:pgSz w:w="11900" w:h="16838" w:orient="portrait"/>
          <w:cols w:equalWidth="0" w:num="1">
            <w:col w:w="11420"/>
          </w:cols>
          <w:pgMar w:left="240" w:top="13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WITNESS WHEREOF, this Agreement has been duly executed by the parties as of the date set forth below.</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Rohit Kapoor</w:t>
      </w:r>
      <w:r>
        <w:rPr>
          <w:rFonts w:ascii="Arial" w:cs="Arial" w:eastAsia="Arial" w:hAnsi="Arial"/>
          <w:sz w:val="18"/>
          <w:szCs w:val="18"/>
          <w:color w:val="auto"/>
        </w:rPr>
        <w:t>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Rohit Kapoor</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Chairman &amp; CEO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Date: March 31,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VISHAL CHHIBBAR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u w:val="single" w:color="auto"/>
          <w:color w:val="auto"/>
        </w:rPr>
        <w:t>/s/ Vishal Chhibbar</w:t>
      </w:r>
      <w:r>
        <w:rPr>
          <w:rFonts w:ascii="Arial" w:cs="Arial" w:eastAsia="Arial" w:hAnsi="Arial"/>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Date: March 31, 2016</w:t>
      </w:r>
    </w:p>
    <w:p>
      <w:pPr>
        <w:sectPr>
          <w:pgSz w:w="11900" w:h="16838" w:orient="portrait"/>
          <w:cols w:equalWidth="0" w:num="1">
            <w:col w:w="10220"/>
          </w:cols>
          <w:pgMar w:left="1440" w:top="13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April 28, 2016</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March 31, 2016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28, 2016</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March 31, 2016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28,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decimal"/>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lvl w:ilvl="1">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1)"/>
      <w:numFmt w:val="lowerLetter"/>
      <w:start w:val="1"/>
    </w:lvl>
  </w:abstractNum>
  <w:abstractNum w:abstractNumId="11">
    <w:nsid w:val="168E121F"/>
    <w:multiLevelType w:val="hybridMultilevel"/>
    <w:lvl w:ilvl="0">
      <w:lvlJc w:val="left"/>
      <w:lvlText w:val="(%1)"/>
      <w:numFmt w:val="decimal"/>
      <w:start w:val="1"/>
    </w:lvl>
  </w:abstractNum>
  <w:abstractNum w:abstractNumId="12">
    <w:nsid w:val="1EBA5D23"/>
    <w:multiLevelType w:val="hybridMultilevel"/>
    <w:lvl w:ilvl="0">
      <w:lvlJc w:val="left"/>
      <w:lvlText w:val="%1."/>
      <w:numFmt w:val="decimal"/>
      <w:start w:val="1"/>
    </w:lvl>
  </w:abstractNum>
  <w:abstractNum w:abstractNumId="13">
    <w:nsid w:val="661E3F1E"/>
    <w:multiLevelType w:val="hybridMultilevel"/>
    <w:lvl w:ilvl="0">
      <w:lvlJc w:val="left"/>
      <w:lvlText w:val="(%1)"/>
      <w:numFmt w:val="lowerLetter"/>
      <w:start w:val="2"/>
    </w:lvl>
  </w:abstractNum>
  <w:abstractNum w:abstractNumId="14">
    <w:nsid w:val="5DC79EA8"/>
    <w:multiLevelType w:val="hybridMultilevel"/>
    <w:lvl w:ilvl="0">
      <w:lvlJc w:val="left"/>
      <w:lvlText w:val="%1."/>
      <w:numFmt w:val="decimal"/>
      <w:start w:val="2"/>
    </w:lvl>
  </w:abstractNum>
  <w:abstractNum w:abstractNumId="15">
    <w:nsid w:val="540A471C"/>
    <w:multiLevelType w:val="hybridMultilevel"/>
    <w:lvl w:ilvl="0">
      <w:lvlJc w:val="left"/>
      <w:lvlText w:val="(%1)"/>
      <w:numFmt w:val="lowerLetter"/>
      <w:start w:val="1"/>
    </w:lvl>
  </w:abstractNum>
  <w:abstractNum w:abstractNumId="16">
    <w:nsid w:val="7BD3EE7B"/>
    <w:multiLevelType w:val="hybridMultilevel"/>
    <w:lvl w:ilvl="0">
      <w:lvlJc w:val="left"/>
      <w:lvlText w:val="%1."/>
      <w:numFmt w:val="decimal"/>
      <w:start w:val="3"/>
    </w:lvl>
  </w:abstractNum>
  <w:abstractNum w:abstractNumId="17">
    <w:nsid w:val="51D9C564"/>
    <w:multiLevelType w:val="hybridMultilevel"/>
    <w:lvl w:ilvl="0">
      <w:lvlJc w:val="left"/>
      <w:lvlText w:val="(%1)"/>
      <w:numFmt w:val="lowerLetter"/>
      <w:start w:val="2"/>
    </w:lvl>
  </w:abstractNum>
  <w:abstractNum w:abstractNumId="18">
    <w:nsid w:val="613EFDC5"/>
    <w:multiLevelType w:val="hybridMultilevel"/>
    <w:lvl w:ilvl="0">
      <w:lvlJc w:val="left"/>
      <w:lvlText w:val="%1."/>
      <w:numFmt w:val="decimal"/>
      <w:start w:val="4"/>
    </w:lvl>
  </w:abstractNum>
  <w:abstractNum w:abstractNumId="19">
    <w:nsid w:val="BF72B14"/>
    <w:multiLevelType w:val="hybridMultilevel"/>
    <w:lvl w:ilvl="0">
      <w:lvlJc w:val="left"/>
      <w:lvlText w:val="(%1)"/>
      <w:numFmt w:val="lowerLetter"/>
      <w:start w:val="2"/>
    </w:lvl>
  </w:abstractNum>
  <w:abstractNum w:abstractNumId="20">
    <w:nsid w:val="11447B73"/>
    <w:multiLevelType w:val="hybridMultilevel"/>
    <w:lvl w:ilvl="0">
      <w:lvlJc w:val="left"/>
      <w:lvlText w:val="%1"/>
      <w:numFmt w:val="lowerLetter"/>
      <w:start w:val="1"/>
    </w:lvl>
    <w:lvl w:ilvl="1">
      <w:lvlJc w:val="left"/>
      <w:lvlText w:val="(%2)"/>
      <w:numFmt w:val="lowerLetter"/>
      <w:start w:val="4"/>
    </w:lvl>
  </w:abstractNum>
  <w:abstractNum w:abstractNumId="21">
    <w:nsid w:val="42963E5A"/>
    <w:multiLevelType w:val="hybridMultilevel"/>
    <w:lvl w:ilvl="0">
      <w:lvlJc w:val="left"/>
      <w:lvlText w:val="(%1)"/>
      <w:numFmt w:val="lowerLetter"/>
      <w:start w:val="3"/>
    </w:lvl>
    <w:lvl w:ilvl="1">
      <w:lvlJc w:val="left"/>
      <w:lvlText w:val="(%2)"/>
      <w:numFmt w:val="lowerLetter"/>
      <w:start w:val="5"/>
    </w:lvl>
  </w:abstractNum>
  <w:abstractNum w:abstractNumId="22">
    <w:nsid w:val="A0382C5"/>
    <w:multiLevelType w:val="hybridMultilevel"/>
    <w:lvl w:ilvl="0">
      <w:lvlJc w:val="left"/>
      <w:lvlText w:val="(%1)"/>
      <w:numFmt w:val="lowerLetter"/>
      <w:start w:val="8"/>
    </w:lvl>
  </w:abstractNum>
  <w:abstractNum w:abstractNumId="23">
    <w:nsid w:val="8F2B15E"/>
    <w:multiLevelType w:val="hybridMultilevel"/>
    <w:lvl w:ilvl="0">
      <w:lvlJc w:val="left"/>
      <w:lvlText w:val="%1."/>
      <w:numFmt w:val="decimal"/>
      <w:start w:val="5"/>
    </w:lvl>
  </w:abstractNum>
  <w:abstractNum w:abstractNumId="24">
    <w:nsid w:val="1A32234B"/>
    <w:multiLevelType w:val="hybridMultilevel"/>
    <w:lvl w:ilvl="0">
      <w:lvlJc w:val="left"/>
      <w:lvlText w:val="%1"/>
      <w:numFmt w:val="lowerLetter"/>
      <w:start w:val="1"/>
    </w:lvl>
    <w:lvl w:ilvl="1">
      <w:lvlJc w:val="left"/>
      <w:lvlText w:val="(%2)"/>
      <w:numFmt w:val="lowerLetter"/>
      <w:start w:val="1"/>
    </w:lvl>
  </w:abstractNum>
  <w:abstractNum w:abstractNumId="25">
    <w:nsid w:val="3B0FD379"/>
    <w:multiLevelType w:val="hybridMultilevel"/>
    <w:lvl w:ilvl="0">
      <w:lvlJc w:val="left"/>
      <w:lvlText w:val="(%1)"/>
      <w:numFmt w:val="lowerLetter"/>
      <w:start w:val="35"/>
    </w:lvl>
    <w:lvl w:ilvl="1">
      <w:lvlJc w:val="left"/>
      <w:lvlText w:val="(%2)"/>
      <w:numFmt w:val="lowerLetter"/>
      <w:start w:val="2"/>
    </w:lvl>
  </w:abstractNum>
  <w:abstractNum w:abstractNumId="26">
    <w:nsid w:val="68EB2F63"/>
    <w:multiLevelType w:val="hybridMultilevel"/>
    <w:lvl w:ilvl="0">
      <w:lvlJc w:val="left"/>
      <w:lvlText w:val="(%1)"/>
      <w:numFmt w:val="lowerLetter"/>
      <w:start w:val="3"/>
    </w:lvl>
  </w:abstractNum>
  <w:abstractNum w:abstractNumId="27">
    <w:nsid w:val="4962813B"/>
    <w:multiLevelType w:val="hybridMultilevel"/>
    <w:lvl w:ilvl="0">
      <w:lvlJc w:val="left"/>
      <w:lvlText w:val="(%1)"/>
      <w:numFmt w:val="lowerRoman"/>
      <w:start w:val="3"/>
    </w:lvl>
  </w:abstractNum>
  <w:abstractNum w:abstractNumId="28">
    <w:nsid w:val="60B6DF70"/>
    <w:multiLevelType w:val="hybridMultilevel"/>
    <w:lvl w:ilvl="0">
      <w:lvlJc w:val="left"/>
      <w:lvlText w:val="(%1)"/>
      <w:numFmt w:val="lowerLetter"/>
      <w:start w:val="4"/>
    </w:lvl>
  </w:abstractNum>
  <w:abstractNum w:abstractNumId="29">
    <w:nsid w:val="6A5EE64"/>
    <w:multiLevelType w:val="hybridMultilevel"/>
    <w:lvl w:ilvl="0">
      <w:lvlJc w:val="left"/>
      <w:lvlText w:val="%1."/>
      <w:numFmt w:val="decimal"/>
      <w:start w:val="6"/>
    </w:lvl>
  </w:abstractNum>
  <w:abstractNum w:abstractNumId="30">
    <w:nsid w:val="14330624"/>
    <w:multiLevelType w:val="hybridMultilevel"/>
    <w:lvl w:ilvl="0">
      <w:lvlJc w:val="left"/>
      <w:lvlText w:val="(%1)"/>
      <w:numFmt w:val="lowerLetter"/>
      <w:start w:val="2"/>
    </w:lvl>
  </w:abstractNum>
  <w:abstractNum w:abstractNumId="31">
    <w:nsid w:val="7FFFCA11"/>
    <w:multiLevelType w:val="hybridMultilevel"/>
    <w:lvl w:ilvl="0">
      <w:lvlJc w:val="left"/>
      <w:lvlText w:val="(%1)"/>
      <w:numFmt w:val="lowerLetter"/>
      <w:start w:val="3"/>
    </w:lvl>
  </w:abstractNum>
  <w:abstractNum w:abstractNumId="32">
    <w:nsid w:val="1A27709E"/>
    <w:multiLevelType w:val="hybridMultilevel"/>
    <w:lvl w:ilvl="0">
      <w:lvlJc w:val="left"/>
      <w:lvlText w:val="%1."/>
      <w:numFmt w:val="decimal"/>
      <w:start w:val="7"/>
    </w:lvl>
  </w:abstractNum>
  <w:abstractNum w:abstractNumId="33">
    <w:nsid w:val="71EA1109"/>
    <w:multiLevelType w:val="hybridMultilevel"/>
    <w:lvl w:ilvl="0">
      <w:lvlJc w:val="left"/>
      <w:lvlText w:val="(%1)"/>
      <w:numFmt w:val="lowerLetter"/>
      <w:start w:val="2"/>
    </w:lvl>
  </w:abstractNum>
  <w:abstractNum w:abstractNumId="34">
    <w:nsid w:val="100F59DC"/>
    <w:multiLevelType w:val="hybridMultilevel"/>
    <w:lvl w:ilvl="0">
      <w:lvlJc w:val="left"/>
      <w:lvlText w:val="(%1)"/>
      <w:numFmt w:val="lowerLetter"/>
      <w:start w:val="3"/>
    </w:lvl>
  </w:abstractNum>
  <w:abstractNum w:abstractNumId="35">
    <w:nsid w:val="7FB7E0AA"/>
    <w:multiLevelType w:val="hybridMultilevel"/>
    <w:lvl w:ilvl="0">
      <w:lvlJc w:val="left"/>
      <w:lvlText w:val="%1."/>
      <w:numFmt w:val="decimal"/>
      <w:start w:val="8"/>
    </w:lvl>
  </w:abstractNum>
  <w:abstractNum w:abstractNumId="36">
    <w:nsid w:val="6EB5BD4"/>
    <w:multiLevelType w:val="hybridMultilevel"/>
    <w:lvl w:ilvl="0">
      <w:lvlJc w:val="left"/>
      <w:lvlText w:val="%1"/>
      <w:numFmt w:val="lowerLetter"/>
      <w:start w:val="1"/>
    </w:lvl>
    <w:lvl w:ilvl="1">
      <w:lvlJc w:val="left"/>
      <w:lvlText w:val="(%2)"/>
      <w:numFmt w:val="lowerLetter"/>
      <w:start w:val="1"/>
    </w:lvl>
  </w:abstractNum>
  <w:abstractNum w:abstractNumId="37">
    <w:nsid w:val="6F6DD9AC"/>
    <w:multiLevelType w:val="hybridMultilevel"/>
    <w:lvl w:ilvl="0">
      <w:lvlJc w:val="left"/>
      <w:lvlText w:val="(%1)"/>
      <w:numFmt w:val="lowerLetter"/>
      <w:start w:val="2"/>
    </w:lvl>
    <w:lvl w:ilvl="1">
      <w:lvlJc w:val="left"/>
      <w:lvlText w:val="%2"/>
      <w:numFmt w:val="lowerLetter"/>
      <w:start w:val="1"/>
    </w:lvl>
  </w:abstractNum>
  <w:abstractNum w:abstractNumId="38">
    <w:nsid w:val="94211F2"/>
    <w:multiLevelType w:val="hybridMultilevel"/>
    <w:lvl w:ilvl="0">
      <w:lvlJc w:val="left"/>
      <w:lvlText w:val="%1."/>
      <w:numFmt w:val="decimal"/>
      <w:start w:val="9"/>
    </w:lvl>
  </w:abstractNum>
  <w:abstractNum w:abstractNumId="39">
    <w:nsid w:val="885E1B"/>
    <w:multiLevelType w:val="hybridMultilevel"/>
    <w:lvl w:ilvl="0">
      <w:lvlJc w:val="left"/>
      <w:lvlText w:val="(%1)"/>
      <w:numFmt w:val="lowerLetter"/>
      <w:start w:val="2"/>
    </w:lvl>
  </w:abstractNum>
  <w:abstractNum w:abstractNumId="40">
    <w:nsid w:val="76272110"/>
    <w:multiLevelType w:val="hybridMultilevel"/>
    <w:lvl w:ilvl="0">
      <w:lvlJc w:val="left"/>
      <w:lvlText w:val="(%1)"/>
      <w:numFmt w:val="lowerLetter"/>
      <w:start w:val="3"/>
    </w:lvl>
  </w:abstractNum>
  <w:abstractNum w:abstractNumId="41">
    <w:nsid w:val="4C04A8AF"/>
    <w:multiLevelType w:val="hybridMultilevel"/>
    <w:lvl w:ilvl="0">
      <w:lvlJc w:val="left"/>
      <w:lvlText w:val="%1."/>
      <w:numFmt w:val="decimal"/>
      <w:start w:val="11"/>
    </w:lvl>
  </w:abstractNum>
  <w:abstractNum w:abstractNumId="42">
    <w:nsid w:val="1716703B"/>
    <w:multiLevelType w:val="hybridMultilevel"/>
    <w:lvl w:ilvl="0">
      <w:lvlJc w:val="left"/>
      <w:lvlText w:val="(%1)"/>
      <w:numFmt w:val="lowerLetter"/>
      <w:start w:val="2"/>
    </w:lvl>
  </w:abstractNum>
  <w:abstractNum w:abstractNumId="43">
    <w:nsid w:val="14E17E33"/>
    <w:multiLevelType w:val="hybridMultilevel"/>
    <w:lvl w:ilvl="0">
      <w:lvlJc w:val="left"/>
      <w:lvlText w:val="%1."/>
      <w:numFmt w:val="decimal"/>
      <w:start w:val="14"/>
    </w:lvl>
  </w:abstractNum>
  <w:abstractNum w:abstractNumId="44">
    <w:nsid w:val="3222E7CD"/>
    <w:multiLevelType w:val="hybridMultilevel"/>
    <w:lvl w:ilvl="0">
      <w:lvlJc w:val="left"/>
      <w:lvlText w:val="(%1)"/>
      <w:numFmt w:val="lowerLetter"/>
      <w:start w:val="2"/>
    </w:lvl>
  </w:abstractNum>
  <w:abstractNum w:abstractNumId="45">
    <w:nsid w:val="74DE0EE3"/>
    <w:multiLevelType w:val="hybridMultilevel"/>
    <w:lvl w:ilvl="0">
      <w:lvlJc w:val="left"/>
      <w:lvlText w:val="%1."/>
      <w:numFmt w:val="decimal"/>
      <w:start w:val="17"/>
    </w:lvl>
  </w:abstractNum>
  <w:abstractNum w:abstractNumId="46">
    <w:nsid w:val="68EBC550"/>
    <w:multiLevelType w:val="hybridMultilevel"/>
    <w:lvl w:ilvl="0">
      <w:lvlJc w:val="left"/>
      <w:lvlText w:val="%1."/>
      <w:numFmt w:val="decimal"/>
      <w:start w:val="18"/>
    </w:lvl>
  </w:abstractNum>
  <w:abstractNum w:abstractNumId="47">
    <w:nsid w:val="2DF6D648"/>
    <w:multiLevelType w:val="hybridMultilevel"/>
    <w:lvl w:ilvl="0">
      <w:lvlJc w:val="left"/>
      <w:lvlText w:val="(%1)"/>
      <w:numFmt w:val="lowerLetter"/>
      <w:start w:val="2"/>
    </w:lvl>
  </w:abstractNum>
  <w:abstractNum w:abstractNumId="48">
    <w:nsid w:val="46B7D447"/>
    <w:multiLevelType w:val="hybridMultilevel"/>
    <w:lvl w:ilvl="0">
      <w:lvlJc w:val="left"/>
      <w:lvlText w:val="%1."/>
      <w:numFmt w:val="decimal"/>
      <w:start w:val="20"/>
    </w:lvl>
  </w:abstractNum>
  <w:abstractNum w:abstractNumId="49">
    <w:nsid w:val="4A2AC315"/>
    <w:multiLevelType w:val="hybridMultilevel"/>
    <w:lvl w:ilvl="0">
      <w:lvlJc w:val="left"/>
      <w:lvlText w:val="%1."/>
      <w:numFmt w:val="decimal"/>
      <w:start w:val="21"/>
    </w:lvl>
  </w:abstractNum>
  <w:abstractNum w:abstractNumId="50">
    <w:nsid w:val="39EE015C"/>
    <w:multiLevelType w:val="hybridMultilevel"/>
    <w:lvl w:ilvl="0">
      <w:lvlJc w:val="left"/>
      <w:lvlText w:val="%1."/>
      <w:numFmt w:val="decimal"/>
      <w:start w:val="24"/>
    </w:lvl>
  </w:abstractNum>
  <w:abstractNum w:abstractNumId="51">
    <w:nsid w:val="57FC4FBB"/>
    <w:multiLevelType w:val="hybridMultilevel"/>
    <w:lvl w:ilvl="0">
      <w:lvlJc w:val="left"/>
      <w:lvlText w:val="%1."/>
      <w:numFmt w:val="decimal"/>
      <w:start w:val="25"/>
    </w:lvl>
  </w:abstractNum>
  <w:abstractNum w:abstractNumId="52">
    <w:nsid w:val="CC1016F"/>
    <w:multiLevelType w:val="hybridMultilevel"/>
    <w:lvl w:ilvl="0">
      <w:lvlJc w:val="left"/>
      <w:lvlText w:val="%1."/>
      <w:numFmt w:val="decimal"/>
      <w:start w:val="1"/>
    </w:lvl>
  </w:abstractNum>
  <w:abstractNum w:abstractNumId="53">
    <w:nsid w:val="43F18422"/>
    <w:multiLevelType w:val="hybridMultilevel"/>
    <w:lvl w:ilvl="0">
      <w:lvlJc w:val="left"/>
      <w:lvlText w:val="(%1)"/>
      <w:numFmt w:val="lowerLetter"/>
      <w:start w:val="2"/>
    </w:lvl>
  </w:abstractNum>
  <w:abstractNum w:abstractNumId="54">
    <w:nsid w:val="60EF0119"/>
    <w:multiLevelType w:val="hybridMultilevel"/>
    <w:lvl w:ilvl="0">
      <w:lvlJc w:val="left"/>
      <w:lvlText w:val="%1."/>
      <w:numFmt w:val="decimal"/>
      <w:start w:val="2"/>
    </w:lvl>
  </w:abstractNum>
  <w:abstractNum w:abstractNumId="55">
    <w:nsid w:val="26F324BA"/>
    <w:multiLevelType w:val="hybridMultilevel"/>
    <w:lvl w:ilvl="0">
      <w:lvlJc w:val="left"/>
      <w:lvlText w:val="(%1)"/>
      <w:numFmt w:val="lowerLetter"/>
      <w:start w:val="1"/>
    </w:lvl>
  </w:abstractNum>
  <w:abstractNum w:abstractNumId="56">
    <w:nsid w:val="7F01579B"/>
    <w:multiLevelType w:val="hybridMultilevel"/>
    <w:lvl w:ilvl="0">
      <w:lvlJc w:val="left"/>
      <w:lvlText w:val="%1."/>
      <w:numFmt w:val="decimal"/>
      <w:start w:val="3"/>
    </w:lvl>
  </w:abstractNum>
  <w:abstractNum w:abstractNumId="57">
    <w:nsid w:val="49DA307D"/>
    <w:multiLevelType w:val="hybridMultilevel"/>
    <w:lvl w:ilvl="0">
      <w:lvlJc w:val="left"/>
      <w:lvlText w:val="(%1)"/>
      <w:numFmt w:val="lowerLetter"/>
      <w:start w:val="1"/>
    </w:lvl>
    <w:lvl w:ilvl="1">
      <w:lvlJc w:val="left"/>
      <w:lvlText w:val="(%2)"/>
      <w:numFmt w:val="lowerLetter"/>
      <w:start w:val="2"/>
    </w:lvl>
  </w:abstractNum>
  <w:abstractNum w:abstractNumId="58">
    <w:nsid w:val="7055A5F5"/>
    <w:multiLevelType w:val="hybridMultilevel"/>
    <w:lvl w:ilvl="0">
      <w:lvlJc w:val="left"/>
      <w:lvlText w:val="%1."/>
      <w:numFmt w:val="decimal"/>
      <w:start w:val="4"/>
    </w:lvl>
  </w:abstractNum>
  <w:abstractNum w:abstractNumId="59">
    <w:nsid w:val="5FB8370B"/>
    <w:multiLevelType w:val="hybridMultilevel"/>
    <w:lvl w:ilvl="0">
      <w:lvlJc w:val="left"/>
      <w:lvlText w:val="(%1)"/>
      <w:numFmt w:val="lowerLetter"/>
      <w:start w:val="2"/>
    </w:lvl>
  </w:abstractNum>
  <w:abstractNum w:abstractNumId="60">
    <w:nsid w:val="50801EE1"/>
    <w:multiLevelType w:val="hybridMultilevel"/>
    <w:lvl w:ilvl="0">
      <w:lvlJc w:val="left"/>
      <w:lvlText w:val="%1"/>
      <w:numFmt w:val="lowerLetter"/>
      <w:start w:val="1"/>
    </w:lvl>
    <w:lvl w:ilvl="1">
      <w:lvlJc w:val="left"/>
      <w:lvlText w:val="(%2)"/>
      <w:numFmt w:val="lowerLetter"/>
      <w:start w:val="4"/>
    </w:lvl>
  </w:abstractNum>
  <w:abstractNum w:abstractNumId="61">
    <w:nsid w:val="488AC1A"/>
    <w:multiLevelType w:val="hybridMultilevel"/>
    <w:lvl w:ilvl="0">
      <w:lvlJc w:val="left"/>
      <w:lvlText w:val="(%1)"/>
      <w:numFmt w:val="lowerLetter"/>
      <w:start w:val="3"/>
    </w:lvl>
    <w:lvl w:ilvl="1">
      <w:lvlJc w:val="left"/>
      <w:lvlText w:val="(%2)"/>
      <w:numFmt w:val="lowerLetter"/>
      <w:start w:val="5"/>
    </w:lvl>
  </w:abstractNum>
  <w:abstractNum w:abstractNumId="62">
    <w:nsid w:val="5FB8011C"/>
    <w:multiLevelType w:val="hybridMultilevel"/>
    <w:lvl w:ilvl="0">
      <w:lvlJc w:val="left"/>
      <w:lvlText w:val="(%1)"/>
      <w:numFmt w:val="lowerLetter"/>
      <w:start w:val="7"/>
    </w:lvl>
  </w:abstractNum>
  <w:abstractNum w:abstractNumId="63">
    <w:nsid w:val="6AA78F7F"/>
    <w:multiLevelType w:val="hybridMultilevel"/>
    <w:lvl w:ilvl="0">
      <w:lvlJc w:val="left"/>
      <w:lvlText w:val="%1."/>
      <w:numFmt w:val="decimal"/>
      <w:start w:val="5"/>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upperLetter"/>
      <w:start w:val="1"/>
    </w:lvl>
    <w:lvl w:ilvl="1">
      <w:lvlJc w:val="left"/>
      <w:lvlText w:val="(%2)"/>
      <w:numFmt w:val="lowerRoman"/>
      <w:start w:val="2"/>
    </w:lvl>
  </w:abstractNum>
  <w:abstractNum w:abstractNumId="66">
    <w:nsid w:val="6A5F7029"/>
    <w:multiLevelType w:val="hybridMultilevel"/>
    <w:lvl w:ilvl="0">
      <w:lvlJc w:val="left"/>
      <w:lvlText w:val="(%1)"/>
      <w:numFmt w:val="upperLetter"/>
      <w:start w:val="7"/>
    </w:lvl>
    <w:lvl w:ilvl="1">
      <w:lvlJc w:val="left"/>
      <w:lvlText w:val="(%2)"/>
      <w:numFmt w:val="lowerRoman"/>
      <w:start w:val="4"/>
    </w:lvl>
  </w:abstractNum>
  <w:abstractNum w:abstractNumId="67">
    <w:nsid w:val="7D5E18F8"/>
    <w:multiLevelType w:val="hybridMultilevel"/>
    <w:lvl w:ilvl="0">
      <w:lvlJc w:val="left"/>
      <w:lvlText w:val="(%1)"/>
      <w:numFmt w:val="lowerRoman"/>
      <w:start w:val="5"/>
    </w:lvl>
  </w:abstractNum>
  <w:abstractNum w:abstractNumId="68">
    <w:nsid w:val="5F3534A4"/>
    <w:multiLevelType w:val="hybridMultilevel"/>
    <w:lvl w:ilvl="0">
      <w:lvlJc w:val="left"/>
      <w:lvlText w:val="(%1)"/>
      <w:numFmt w:val="lowerLetter"/>
      <w:start w:val="4"/>
    </w:lvl>
  </w:abstractNum>
  <w:abstractNum w:abstractNumId="69">
    <w:nsid w:val="73A1821B"/>
    <w:multiLevelType w:val="hybridMultilevel"/>
    <w:lvl w:ilvl="0">
      <w:lvlJc w:val="left"/>
      <w:lvlText w:val="%1."/>
      <w:numFmt w:val="decimal"/>
      <w:start w:val="5"/>
    </w:lvl>
  </w:abstractNum>
  <w:abstractNum w:abstractNumId="70">
    <w:nsid w:val="7DE67713"/>
    <w:multiLevelType w:val="hybridMultilevel"/>
    <w:lvl w:ilvl="0">
      <w:lvlJc w:val="left"/>
      <w:lvlText w:val="(%1)"/>
      <w:numFmt w:val="lowerLetter"/>
      <w:start w:val="1"/>
    </w:lvl>
  </w:abstractNum>
  <w:abstractNum w:abstractNumId="71">
    <w:nsid w:val="555C55B5"/>
    <w:multiLevelType w:val="hybridMultilevel"/>
    <w:lvl w:ilvl="0">
      <w:lvlJc w:val="left"/>
      <w:lvlText w:val="%1."/>
      <w:numFmt w:val="decimal"/>
      <w:start w:val="6"/>
    </w:lvl>
  </w:abstractNum>
  <w:abstractNum w:abstractNumId="72">
    <w:nsid w:val="3FA62ACA"/>
    <w:multiLevelType w:val="hybridMultilevel"/>
    <w:lvl w:ilvl="0">
      <w:lvlJc w:val="left"/>
      <w:lvlText w:val="(%1)"/>
      <w:numFmt w:val="lowerLetter"/>
      <w:start w:val="1"/>
    </w:lvl>
  </w:abstractNum>
  <w:abstractNum w:abstractNumId="73">
    <w:nsid w:val="14FCE74E"/>
    <w:multiLevelType w:val="hybridMultilevel"/>
    <w:lvl w:ilvl="0">
      <w:lvlJc w:val="left"/>
      <w:lvlText w:val="(%1)"/>
      <w:numFmt w:val="lowerLetter"/>
      <w:start w:val="2"/>
    </w:lvl>
  </w:abstractNum>
  <w:abstractNum w:abstractNumId="74">
    <w:nsid w:val="6A3DD3E8"/>
    <w:multiLevelType w:val="hybridMultilevel"/>
    <w:lvl w:ilvl="0">
      <w:lvlJc w:val="left"/>
      <w:lvlText w:val="(%1)"/>
      <w:numFmt w:val="lowerLetter"/>
      <w:start w:val="3"/>
    </w:lvl>
  </w:abstractNum>
  <w:abstractNum w:abstractNumId="75">
    <w:nsid w:val="71C91298"/>
    <w:multiLevelType w:val="hybridMultilevel"/>
    <w:lvl w:ilvl="0">
      <w:lvlJc w:val="left"/>
      <w:lvlText w:val="%1."/>
      <w:numFmt w:val="decimal"/>
      <w:start w:val="7"/>
    </w:lvl>
  </w:abstractNum>
  <w:abstractNum w:abstractNumId="76">
    <w:nsid w:val="9DAF632"/>
    <w:multiLevelType w:val="hybridMultilevel"/>
    <w:lvl w:ilvl="0">
      <w:lvlJc w:val="left"/>
      <w:lvlText w:val="(%1)"/>
      <w:numFmt w:val="lowerLetter"/>
      <w:start w:val="1"/>
    </w:lvl>
  </w:abstractNum>
  <w:abstractNum w:abstractNumId="77">
    <w:nsid w:val="53299938"/>
    <w:multiLevelType w:val="hybridMultilevel"/>
    <w:lvl w:ilvl="0">
      <w:lvlJc w:val="left"/>
      <w:lvlText w:val="(%1)"/>
      <w:numFmt w:val="lowerRoman"/>
      <w:start w:val="7"/>
    </w:lvl>
    <w:lvl w:ilvl="1">
      <w:lvlJc w:val="left"/>
      <w:lvlText w:val="(%2)"/>
      <w:numFmt w:val="lowerLetter"/>
      <w:start w:val="2"/>
    </w:lvl>
  </w:abstractNum>
  <w:abstractNum w:abstractNumId="78">
    <w:nsid w:val="1FBFE8E0"/>
    <w:multiLevelType w:val="hybridMultilevel"/>
    <w:lvl w:ilvl="0">
      <w:lvlJc w:val="left"/>
      <w:lvlText w:val="%1."/>
      <w:numFmt w:val="decimal"/>
      <w:start w:val="8"/>
    </w:lvl>
  </w:abstractNum>
  <w:abstractNum w:abstractNumId="79">
    <w:nsid w:val="5092CA79"/>
    <w:multiLevelType w:val="hybridMultilevel"/>
    <w:lvl w:ilvl="0">
      <w:lvlJc w:val="left"/>
      <w:lvlText w:val="(%1)"/>
      <w:numFmt w:val="lowerLetter"/>
      <w:start w:val="2"/>
    </w:lvl>
  </w:abstractNum>
  <w:abstractNum w:abstractNumId="80">
    <w:nsid w:val="1D545C4D"/>
    <w:multiLevelType w:val="hybridMultilevel"/>
    <w:lvl w:ilvl="0">
      <w:lvlJc w:val="left"/>
      <w:lvlText w:val="(%1)"/>
      <w:numFmt w:val="lowerLetter"/>
      <w:start w:val="3"/>
    </w:lvl>
  </w:abstractNum>
  <w:abstractNum w:abstractNumId="81">
    <w:nsid w:val="59ADEA3D"/>
    <w:multiLevelType w:val="hybridMultilevel"/>
    <w:lvl w:ilvl="0">
      <w:lvlJc w:val="left"/>
      <w:lvlText w:val="%1."/>
      <w:numFmt w:val="decimal"/>
      <w:start w:val="10"/>
    </w:lvl>
  </w:abstractNum>
  <w:abstractNum w:abstractNumId="82">
    <w:nsid w:val="288F1A34"/>
    <w:multiLevelType w:val="hybridMultilevel"/>
    <w:lvl w:ilvl="0">
      <w:lvlJc w:val="left"/>
      <w:lvlText w:val="(%1)"/>
      <w:numFmt w:val="lowerLetter"/>
      <w:start w:val="2"/>
    </w:lvl>
  </w:abstractNum>
  <w:abstractNum w:abstractNumId="83">
    <w:nsid w:val="2A155DBC"/>
    <w:multiLevelType w:val="hybridMultilevel"/>
    <w:lvl w:ilvl="0">
      <w:lvlJc w:val="left"/>
      <w:lvlText w:val="%1."/>
      <w:numFmt w:val="decimal"/>
      <w:start w:val="13"/>
    </w:lvl>
  </w:abstractNum>
  <w:abstractNum w:abstractNumId="84">
    <w:nsid w:val="1D9F6E5F"/>
    <w:multiLevelType w:val="hybridMultilevel"/>
    <w:lvl w:ilvl="0">
      <w:lvlJc w:val="left"/>
      <w:lvlText w:val="(%1)"/>
      <w:numFmt w:val="lowerLetter"/>
      <w:start w:val="2"/>
    </w:lvl>
  </w:abstractNum>
  <w:abstractNum w:abstractNumId="85">
    <w:nsid w:val="97E1B4E"/>
    <w:multiLevelType w:val="hybridMultilevel"/>
    <w:lvl w:ilvl="0">
      <w:lvlJc w:val="left"/>
      <w:lvlText w:val="%1."/>
      <w:numFmt w:val="decimal"/>
      <w:start w:val="16"/>
    </w:lvl>
  </w:abstractNum>
  <w:abstractNum w:abstractNumId="86">
    <w:nsid w:val="51088277"/>
    <w:multiLevelType w:val="hybridMultilevel"/>
    <w:lvl w:ilvl="0">
      <w:lvlJc w:val="left"/>
      <w:lvlText w:val="(%1)"/>
      <w:numFmt w:val="lowerLetter"/>
      <w:start w:val="2"/>
    </w:lvl>
  </w:abstractNum>
  <w:abstractNum w:abstractNumId="87">
    <w:nsid w:val="1CA0C5FA"/>
    <w:multiLevelType w:val="hybridMultilevel"/>
    <w:lvl w:ilvl="0">
      <w:lvlJc w:val="left"/>
      <w:lvlText w:val="(%1)"/>
      <w:numFmt w:val="lowerLetter"/>
      <w:start w:val="5"/>
    </w:lvl>
  </w:abstractNum>
  <w:abstractNum w:abstractNumId="88">
    <w:nsid w:val="53584BCB"/>
    <w:multiLevelType w:val="hybridMultilevel"/>
    <w:lvl w:ilvl="0">
      <w:lvlJc w:val="left"/>
      <w:lvlText w:val="%1."/>
      <w:numFmt w:val="decimal"/>
      <w:start w:val="19"/>
    </w:lvl>
  </w:abstractNum>
  <w:abstractNum w:abstractNumId="89">
    <w:nsid w:val="415E286C"/>
    <w:multiLevelType w:val="hybridMultilevel"/>
    <w:lvl w:ilvl="0">
      <w:lvlJc w:val="left"/>
      <w:lvlText w:val="%1."/>
      <w:numFmt w:val="decimal"/>
      <w:start w:val="23"/>
    </w:lvl>
  </w:abstractNum>
  <w:abstractNum w:abstractNumId="90">
    <w:nsid w:val="7C58FD05"/>
    <w:multiLevelType w:val="hybridMultilevel"/>
    <w:lvl w:ilvl="0">
      <w:lvlJc w:val="left"/>
      <w:lvlText w:val="%1."/>
      <w:numFmt w:val="decimal"/>
      <w:start w:val="1"/>
    </w:lvl>
  </w:abstractNum>
  <w:abstractNum w:abstractNumId="91">
    <w:nsid w:val="23D86AAC"/>
    <w:multiLevelType w:val="hybridMultilevel"/>
    <w:lvl w:ilvl="0">
      <w:lvlJc w:val="left"/>
      <w:lvlText w:val="(%1)"/>
      <w:numFmt w:val="lowerLetter"/>
      <w:start w:val="2"/>
    </w:lvl>
  </w:abstractNum>
  <w:abstractNum w:abstractNumId="92">
    <w:nsid w:val="45E6D486"/>
    <w:multiLevelType w:val="hybridMultilevel"/>
    <w:lvl w:ilvl="0">
      <w:lvlJc w:val="left"/>
      <w:lvlText w:val="%1."/>
      <w:numFmt w:val="decimal"/>
      <w:start w:val="2"/>
    </w:lvl>
  </w:abstractNum>
  <w:abstractNum w:abstractNumId="93">
    <w:nsid w:val="5C10FE21"/>
    <w:multiLevelType w:val="hybridMultilevel"/>
    <w:lvl w:ilvl="0">
      <w:lvlJc w:val="left"/>
      <w:lvlText w:val="(%1)"/>
      <w:numFmt w:val="lowerLetter"/>
      <w:start w:val="1"/>
    </w:lvl>
  </w:abstractNum>
  <w:abstractNum w:abstractNumId="94">
    <w:nsid w:val="E7FFA2B"/>
    <w:multiLevelType w:val="hybridMultilevel"/>
    <w:lvl w:ilvl="0">
      <w:lvlJc w:val="left"/>
      <w:lvlText w:val="%1."/>
      <w:numFmt w:val="decimal"/>
      <w:start w:val="3"/>
    </w:lvl>
  </w:abstractNum>
  <w:abstractNum w:abstractNumId="95">
    <w:nsid w:val="3C5991AA"/>
    <w:multiLevelType w:val="hybridMultilevel"/>
    <w:lvl w:ilvl="0">
      <w:lvlJc w:val="left"/>
      <w:lvlText w:val="(%1)"/>
      <w:numFmt w:val="lowerLetter"/>
      <w:start w:val="2"/>
    </w:lvl>
  </w:abstractNum>
  <w:abstractNum w:abstractNumId="96">
    <w:nsid w:val="4BD8591A"/>
    <w:multiLevelType w:val="hybridMultilevel"/>
    <w:lvl w:ilvl="0">
      <w:lvlJc w:val="left"/>
      <w:lvlText w:val="%1."/>
      <w:numFmt w:val="decimal"/>
      <w:start w:val="4"/>
    </w:lvl>
  </w:abstractNum>
  <w:abstractNum w:abstractNumId="97">
    <w:nsid w:val="78DF6A55"/>
    <w:multiLevelType w:val="hybridMultilevel"/>
    <w:lvl w:ilvl="0">
      <w:lvlJc w:val="left"/>
      <w:lvlText w:val="(%1)"/>
      <w:numFmt w:val="lowerLetter"/>
      <w:start w:val="2"/>
    </w:lvl>
  </w:abstractNum>
  <w:abstractNum w:abstractNumId="98">
    <w:nsid w:val="39B7AAA2"/>
    <w:multiLevelType w:val="hybridMultilevel"/>
    <w:lvl w:ilvl="0">
      <w:lvlJc w:val="left"/>
      <w:lvlText w:val="(%1)"/>
      <w:numFmt w:val="lowerLetter"/>
      <w:start w:val="3"/>
    </w:lvl>
  </w:abstractNum>
  <w:abstractNum w:abstractNumId="99">
    <w:nsid w:val="2B0D8DBE"/>
    <w:multiLevelType w:val="hybridMultilevel"/>
    <w:lvl w:ilvl="0">
      <w:lvlJc w:val="left"/>
      <w:lvlText w:val="(%1)"/>
      <w:numFmt w:val="lowerRoman"/>
      <w:start w:val="4"/>
    </w:lvl>
  </w:abstractNum>
  <w:abstractNum w:abstractNumId="100">
    <w:nsid w:val="6C80EC70"/>
    <w:multiLevelType w:val="hybridMultilevel"/>
    <w:lvl w:ilvl="0">
      <w:lvlJc w:val="left"/>
      <w:lvlText w:val="(%1)"/>
      <w:numFmt w:val="lowerLetter"/>
      <w:start w:val="6"/>
    </w:lvl>
  </w:abstractNum>
  <w:abstractNum w:abstractNumId="101">
    <w:nsid w:val="379E21B5"/>
    <w:multiLevelType w:val="hybridMultilevel"/>
    <w:lvl w:ilvl="0">
      <w:lvlJc w:val="left"/>
      <w:lvlText w:val="%1."/>
      <w:numFmt w:val="decimal"/>
      <w:start w:val="5"/>
    </w:lvl>
  </w:abstractNum>
  <w:abstractNum w:abstractNumId="102">
    <w:nsid w:val="69E37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3">
    <w:nsid w:val="2C27173B"/>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35"/>
    </w:lvl>
  </w:abstractNum>
  <w:abstractNum w:abstractNumId="104">
    <w:nsid w:val="4C9B0904"/>
    <w:multiLevelType w:val="hybridMultilevel"/>
    <w:lvl w:ilvl="0">
      <w:lvlJc w:val="left"/>
      <w:lvlText w:val="%1"/>
      <w:numFmt w:val="decimal"/>
      <w:start w:val="1"/>
    </w:lvl>
    <w:lvl w:ilvl="1">
      <w:lvlJc w:val="left"/>
      <w:lvlText w:val="(%2)"/>
      <w:numFmt w:val="lowerRoman"/>
      <w:start w:val="3"/>
    </w:lvl>
  </w:abstractNum>
  <w:abstractNum w:abstractNumId="105">
    <w:nsid w:val="6AA7B75C"/>
    <w:multiLevelType w:val="hybridMultilevel"/>
    <w:lvl w:ilvl="0">
      <w:lvlJc w:val="left"/>
      <w:lvlText w:val="(%1)"/>
      <w:numFmt w:val="decimal"/>
      <w:start w:val="15"/>
    </w:lvl>
    <w:lvl w:ilvl="1">
      <w:lvlJc w:val="left"/>
      <w:lvlText w:val="(%2)"/>
      <w:numFmt w:val="lowerRoman"/>
      <w:start w:val="4"/>
    </w:lvl>
  </w:abstractNum>
  <w:abstractNum w:abstractNumId="106">
    <w:nsid w:val="1DF029D3"/>
    <w:multiLevelType w:val="hybridMultilevel"/>
    <w:lvl w:ilvl="0">
      <w:lvlJc w:val="left"/>
      <w:lvlText w:val="%1"/>
      <w:numFmt w:val="lowerLetter"/>
      <w:start w:val="1"/>
    </w:lvl>
    <w:lvl w:ilvl="1">
      <w:lvlJc w:val="left"/>
      <w:lvlText w:val="(%2)"/>
      <w:numFmt w:val="lowerLetter"/>
      <w:start w:val="4"/>
    </w:lvl>
  </w:abstractNum>
  <w:abstractNum w:abstractNumId="107">
    <w:nsid w:val="5675FF36"/>
    <w:multiLevelType w:val="hybridMultilevel"/>
    <w:lvl w:ilvl="0">
      <w:lvlJc w:val="left"/>
      <w:lvlText w:val="(%1)"/>
      <w:numFmt w:val="lowerLetter"/>
      <w:start w:val="5"/>
    </w:lvl>
    <w:lvl w:ilvl="1">
      <w:lvlJc w:val="left"/>
      <w:lvlText w:val="%2"/>
      <w:numFmt w:val="lowerLetter"/>
      <w:start w:val="1"/>
    </w:lvl>
  </w:abstractNum>
  <w:abstractNum w:abstractNumId="108">
    <w:nsid w:val="3DD15094"/>
    <w:multiLevelType w:val="hybridMultilevel"/>
    <w:lvl w:ilvl="0">
      <w:lvlJc w:val="left"/>
      <w:lvlText w:val="%1."/>
      <w:numFmt w:val="decimal"/>
      <w:start w:val="6"/>
    </w:lvl>
  </w:abstractNum>
  <w:abstractNum w:abstractNumId="109">
    <w:nsid w:val="3DB012B3"/>
    <w:multiLevelType w:val="hybridMultilevel"/>
    <w:lvl w:ilvl="0">
      <w:lvlJc w:val="left"/>
      <w:lvlText w:val="(%1)"/>
      <w:numFmt w:val="lowerLetter"/>
      <w:start w:val="2"/>
    </w:lvl>
  </w:abstractNum>
  <w:abstractNum w:abstractNumId="110">
    <w:nsid w:val="2708C9AF"/>
    <w:multiLevelType w:val="hybridMultilevel"/>
    <w:lvl w:ilvl="0">
      <w:lvlJc w:val="left"/>
      <w:lvlText w:val="%1."/>
      <w:numFmt w:val="decimal"/>
      <w:start w:val="7"/>
    </w:lvl>
  </w:abstractNum>
  <w:abstractNum w:abstractNumId="111">
    <w:nsid w:val="5B25ACE2"/>
    <w:multiLevelType w:val="hybridMultilevel"/>
    <w:lvl w:ilvl="0">
      <w:lvlJc w:val="left"/>
      <w:lvlText w:val="(%1)"/>
      <w:numFmt w:val="lowerLetter"/>
      <w:start w:val="2"/>
    </w:lvl>
  </w:abstractNum>
  <w:abstractNum w:abstractNumId="112">
    <w:nsid w:val="175DFCF0"/>
    <w:multiLevelType w:val="hybridMultilevel"/>
    <w:lvl w:ilvl="0">
      <w:lvlJc w:val="left"/>
      <w:lvlText w:val="(%1)"/>
      <w:numFmt w:val="lowerLetter"/>
      <w:start w:val="3"/>
    </w:lvl>
  </w:abstractNum>
  <w:abstractNum w:abstractNumId="113">
    <w:nsid w:val="4F97E3E4"/>
    <w:multiLevelType w:val="hybridMultilevel"/>
    <w:lvl w:ilvl="0">
      <w:lvlJc w:val="left"/>
      <w:lvlText w:val="%1."/>
      <w:numFmt w:val="decimal"/>
      <w:start w:val="8"/>
    </w:lvl>
    <w:lvl w:ilvl="1">
      <w:lvlJc w:val="left"/>
      <w:lvlText w:val="(%2)"/>
      <w:numFmt w:val="lowerLetter"/>
      <w:start w:val="1"/>
    </w:lvl>
  </w:abstractNum>
  <w:abstractNum w:abstractNumId="114">
    <w:nsid w:val="53B0A9E"/>
    <w:multiLevelType w:val="hybridMultilevel"/>
    <w:lvl w:ilvl="0">
      <w:lvlJc w:val="left"/>
      <w:lvlText w:val="(%1)"/>
      <w:numFmt w:val="lowerLetter"/>
      <w:start w:val="2"/>
    </w:lvl>
  </w:abstractNum>
  <w:abstractNum w:abstractNumId="115">
    <w:nsid w:val="34FD6B4F"/>
    <w:multiLevelType w:val="hybridMultilevel"/>
    <w:lvl w:ilvl="0">
      <w:lvlJc w:val="left"/>
      <w:lvlText w:val="%1."/>
      <w:numFmt w:val="decimal"/>
      <w:start w:val="9"/>
    </w:lvl>
  </w:abstractNum>
  <w:abstractNum w:abstractNumId="116">
    <w:nsid w:val="5915FF32"/>
    <w:multiLevelType w:val="hybridMultilevel"/>
    <w:lvl w:ilvl="0">
      <w:lvlJc w:val="left"/>
      <w:lvlText w:val="(%1)"/>
      <w:numFmt w:val="lowerLetter"/>
      <w:start w:val="2"/>
    </w:lvl>
  </w:abstractNum>
  <w:abstractNum w:abstractNumId="117">
    <w:nsid w:val="56438D15"/>
    <w:multiLevelType w:val="hybridMultilevel"/>
    <w:lvl w:ilvl="0">
      <w:lvlJc w:val="left"/>
      <w:lvlText w:val="%1."/>
      <w:numFmt w:val="decimal"/>
      <w:start w:val="11"/>
    </w:lvl>
  </w:abstractNum>
  <w:abstractNum w:abstractNumId="118">
    <w:nsid w:val="519E3149"/>
    <w:multiLevelType w:val="hybridMultilevel"/>
    <w:lvl w:ilvl="0">
      <w:lvlJc w:val="left"/>
      <w:lvlText w:val="%1."/>
      <w:numFmt w:val="decimal"/>
      <w:start w:val="12"/>
    </w:lvl>
  </w:abstractNum>
  <w:abstractNum w:abstractNumId="119">
    <w:nsid w:val="2C6E4AFD"/>
    <w:multiLevelType w:val="hybridMultilevel"/>
    <w:lvl w:ilvl="0">
      <w:lvlJc w:val="left"/>
      <w:lvlText w:val="(%1)"/>
      <w:numFmt w:val="lowerLetter"/>
      <w:start w:val="2"/>
    </w:lvl>
  </w:abstractNum>
  <w:abstractNum w:abstractNumId="120">
    <w:nsid w:val="17A1B582"/>
    <w:multiLevelType w:val="hybridMultilevel"/>
    <w:lvl w:ilvl="0">
      <w:lvlJc w:val="left"/>
      <w:lvlText w:val="%1."/>
      <w:numFmt w:val="decimal"/>
      <w:start w:val="14"/>
    </w:lvl>
  </w:abstractNum>
  <w:abstractNum w:abstractNumId="121">
    <w:nsid w:val="4DF72E4E"/>
    <w:multiLevelType w:val="hybridMultilevel"/>
    <w:lvl w:ilvl="0">
      <w:lvlJc w:val="left"/>
      <w:lvlText w:val="%1."/>
      <w:numFmt w:val="decimal"/>
      <w:start w:val="15"/>
    </w:lvl>
  </w:abstractNum>
  <w:abstractNum w:abstractNumId="122">
    <w:nsid w:val="5046B5A9"/>
    <w:multiLevelType w:val="hybridMultilevel"/>
    <w:lvl w:ilvl="0">
      <w:lvlJc w:val="left"/>
      <w:lvlText w:val="(%1)"/>
      <w:numFmt w:val="lowerLetter"/>
      <w:start w:val="2"/>
    </w:lvl>
  </w:abstractNum>
  <w:abstractNum w:abstractNumId="123">
    <w:nsid w:val="5D888A08"/>
    <w:multiLevelType w:val="hybridMultilevel"/>
    <w:lvl w:ilvl="0">
      <w:lvlJc w:val="left"/>
      <w:lvlText w:val="%1."/>
      <w:numFmt w:val="decimal"/>
      <w:start w:val="17"/>
    </w:lvl>
  </w:abstractNum>
  <w:abstractNum w:abstractNumId="124">
    <w:nsid w:val="2A082C70"/>
    <w:multiLevelType w:val="hybridMultilevel"/>
    <w:lvl w:ilvl="0">
      <w:lvlJc w:val="left"/>
      <w:lvlText w:val="(%1)"/>
      <w:numFmt w:val="lowerLetter"/>
      <w:start w:val="2"/>
    </w:lvl>
  </w:abstractNum>
  <w:abstractNum w:abstractNumId="125">
    <w:nsid w:val="5EC6AFD4"/>
    <w:multiLevelType w:val="hybridMultilevel"/>
    <w:lvl w:ilvl="0">
      <w:lvlJc w:val="left"/>
      <w:lvlText w:val="(%1)"/>
      <w:numFmt w:val="lowerLetter"/>
      <w:start w:val="4"/>
    </w:lvl>
  </w:abstractNum>
  <w:abstractNum w:abstractNumId="126">
    <w:nsid w:val="19E21BB2"/>
    <w:multiLevelType w:val="hybridMultilevel"/>
    <w:lvl w:ilvl="0">
      <w:lvlJc w:val="left"/>
      <w:lvlText w:val="%1."/>
      <w:numFmt w:val="decimal"/>
      <w:start w:val="20"/>
    </w:lvl>
  </w:abstractNum>
  <w:abstractNum w:abstractNumId="127">
    <w:nsid w:val="75E0858A"/>
    <w:multiLevelType w:val="hybridMultilevel"/>
    <w:lvl w:ilvl="0">
      <w:lvlJc w:val="left"/>
      <w:lvlText w:val="%1."/>
      <w:numFmt w:val="decimal"/>
      <w:start w:val="22"/>
    </w:lvl>
  </w:abstractNum>
  <w:abstractNum w:abstractNumId="128">
    <w:nsid w:val="57A61A29"/>
    <w:multiLevelType w:val="hybridMultilevel"/>
    <w:lvl w:ilvl="0">
      <w:lvlJc w:val="left"/>
      <w:lvlText w:val="%1."/>
      <w:numFmt w:val="decimal"/>
      <w:start w:val="23"/>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lowerLetter"/>
      <w:start w:val="1"/>
    </w:lvl>
  </w:abstractNum>
  <w:abstractNum w:abstractNumId="132">
    <w:nsid w:val="B37E80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2019-12-29T12:58:40Z</dcterms:created>
  <dcterms:modified xsi:type="dcterms:W3CDTF">2019-12-29T12:58:40Z</dcterms:modified>
</cp:coreProperties>
</file>