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1,700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8,523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589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7,934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3,600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11,534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1,246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10,288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93"/>
              </w:rPr>
              <w:t>297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10,585</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103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10,482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1,700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1,700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3,600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3,600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5"/>
              </w:rPr>
              <w:t>4,800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297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78"/>
              <w:spacing w:after="0" w:line="149" w:lineRule="exact"/>
              <w:rPr>
                <w:sz w:val="20"/>
                <w:szCs w:val="20"/>
                <w:color w:val="auto"/>
              </w:rPr>
            </w:pPr>
            <w:r>
              <w:rPr>
                <w:rFonts w:ascii="Arial" w:cs="Arial" w:eastAsia="Arial" w:hAnsi="Arial"/>
                <w:sz w:val="14"/>
                <w:szCs w:val="14"/>
                <w:color w:val="0000FF"/>
                <w:w w:val="85"/>
              </w:rPr>
              <w:t>297</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4,250 restricted stock units, 10 percent of the restricted stock units became vested on February 7, 2013; an additional 20 percent of the restricted stock units became vested on February 7, 2014; an additional 30 percent of the restricted stock units became vested on February 7, 2015; and the remaining balance i/n/o 1,700 shares of the restricted stock units became vested on February 7, 2016.</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12,000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i/n/o 4,800 restricted stock units will vest on February 8, 2017.</w:t>
      </w:r>
    </w:p>
    <w:p>
      <w:pPr>
        <w:spacing w:after="0" w:line="30" w:lineRule="exact"/>
        <w:rPr>
          <w:rFonts w:ascii="Arial" w:cs="Arial" w:eastAsia="Arial" w:hAnsi="Arial"/>
          <w:sz w:val="14"/>
          <w:szCs w:val="14"/>
          <w:color w:val="008000"/>
        </w:rPr>
      </w:pPr>
    </w:p>
    <w:p>
      <w:pPr>
        <w:ind w:left="40" w:right="3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8, 2013, the reporting person was granted 890 restricted stock units, vesting in three annual installments beginning on the first anniversary of the grant date. 296 restricted stock units became vested on February 8, 2014, an additional 297 restricted stock units became vested on February 8, 2015, and the remaining balance i/n/o 297 restricted stock units became vested on February 8, 2016.</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520"/>
          </w:cols>
          <w:pgMar w:left="240" w:top="226" w:right="1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 Lazbart Oseni, Attorney-in-  02/09/2016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2019-12-08T02:42:32Z</dcterms:created>
  <dcterms:modified xsi:type="dcterms:W3CDTF">2019-12-08T02:42:32Z</dcterms:modified>
</cp:coreProperties>
</file>