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8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895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Bhalla Vikas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2"/>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320 PARK AVENUE</w:t>
            </w:r>
          </w:p>
        </w:tc>
        <w:tc>
          <w:tcPr>
            <w:tcW w:w="880" w:type="dxa"/>
            <w:vAlign w:val="bottom"/>
          </w:tcPr>
          <w:p>
            <w:pPr>
              <w:spacing w:after="0"/>
              <w:rPr>
                <w:sz w:val="22"/>
                <w:szCs w:val="22"/>
                <w:color w:val="auto"/>
              </w:rPr>
            </w:pPr>
          </w:p>
        </w:tc>
      </w:tr>
      <w:tr>
        <w:trPr>
          <w:trHeight w:val="470"/>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880" w:type="dxa"/>
            <w:vAlign w:val="bottom"/>
          </w:tcPr>
          <w:p>
            <w:pPr>
              <w:ind w:left="420"/>
              <w:spacing w:after="0"/>
              <w:rPr>
                <w:sz w:val="20"/>
                <w:szCs w:val="20"/>
                <w:color w:val="auto"/>
              </w:rPr>
            </w:pPr>
            <w:r>
              <w:rPr>
                <w:rFonts w:ascii="Arial" w:cs="Arial" w:eastAsia="Arial" w:hAnsi="Arial"/>
                <w:sz w:val="16"/>
                <w:szCs w:val="16"/>
                <w:color w:val="0000FF"/>
                <w:w w:val="98"/>
              </w:rPr>
              <w:t>10022</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ExlService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EXLS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2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20"/>
              <w:spacing w:after="0"/>
              <w:rPr>
                <w:sz w:val="20"/>
                <w:szCs w:val="20"/>
                <w:color w:val="auto"/>
              </w:rPr>
            </w:pPr>
            <w:r>
              <w:rPr>
                <w:rFonts w:ascii="Arial" w:cs="Arial" w:eastAsia="Arial" w:hAnsi="Arial"/>
                <w:sz w:val="16"/>
                <w:szCs w:val="16"/>
                <w:color w:val="0000FF"/>
              </w:rPr>
              <w:t>EVP &amp; Head of Outsourcing</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1"/>
              </w:rPr>
              <w:t>20,295</w:t>
            </w:r>
            <w:r>
              <w:rPr>
                <w:rFonts w:ascii="Arial" w:cs="Arial" w:eastAsia="Arial" w:hAnsi="Arial"/>
                <w:sz w:val="21"/>
                <w:szCs w:val="21"/>
                <w:color w:val="008000"/>
                <w:w w:val="8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63"/>
              <w:spacing w:after="0"/>
              <w:rPr>
                <w:sz w:val="20"/>
                <w:szCs w:val="20"/>
                <w:color w:val="auto"/>
              </w:rPr>
            </w:pPr>
            <w:r>
              <w:rPr>
                <w:rFonts w:ascii="Arial" w:cs="Arial" w:eastAsia="Arial" w:hAnsi="Arial"/>
                <w:sz w:val="16"/>
                <w:szCs w:val="16"/>
                <w:color w:val="0000FF"/>
              </w:rPr>
              <w:t>96,025</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7,916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29.23</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88,109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gridSpan w:val="8"/>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ind w:left="80"/>
              <w:spacing w:after="0" w:line="277"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20,295</w:t>
            </w:r>
            <w:r>
              <w:rPr>
                <w:rFonts w:ascii="Arial" w:cs="Arial" w:eastAsia="Arial" w:hAnsi="Arial"/>
                <w:sz w:val="21"/>
                <w:szCs w:val="21"/>
                <w:color w:val="008000"/>
                <w:vertAlign w:val="superscript"/>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2"/>
              </w:rPr>
              <w:t>Stock,</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3"/>
              </w:rPr>
              <w:t>20,295</w:t>
            </w:r>
            <w:r>
              <w:rPr>
                <w:rFonts w:ascii="Arial" w:cs="Arial" w:eastAsia="Arial" w:hAnsi="Arial"/>
                <w:sz w:val="21"/>
                <w:szCs w:val="21"/>
                <w:color w:val="008000"/>
                <w:w w:val="93"/>
                <w:vertAlign w:val="superscript"/>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40,610</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09/01/2023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w w:val="97"/>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number of securities has been adjusted to reflect the impact of the 5-for-1 forward stock split effective August 1, 2023.</w:t>
      </w:r>
    </w:p>
    <w:p>
      <w:pPr>
        <w:spacing w:after="0" w:line="39" w:lineRule="exact"/>
        <w:rPr>
          <w:rFonts w:ascii="Arial" w:cs="Arial" w:eastAsia="Arial" w:hAnsi="Arial"/>
          <w:sz w:val="13"/>
          <w:szCs w:val="13"/>
          <w:color w:val="008000"/>
        </w:rPr>
      </w:pPr>
    </w:p>
    <w:p>
      <w:pPr>
        <w:ind w:left="40" w:right="360" w:hanging="1"/>
        <w:spacing w:after="0" w:line="28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September 1,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rFonts w:ascii="Arial" w:cs="Arial" w:eastAsia="Arial" w:hAnsi="Arial"/>
          <w:sz w:val="12"/>
          <w:szCs w:val="12"/>
          <w:color w:val="008000"/>
        </w:rPr>
      </w:pPr>
    </w:p>
    <w:p>
      <w:pPr>
        <w:ind w:left="40" w:right="16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2021, the reporting person was granted 12,181 restricted stock units, vesting in two installment installments beginning on the second anniversary of the grant date. 33% of the restricted stock units became vested on September 1, 2023 and the remaining balance of 67% of the restricted stock units will vest on September 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Lazbart Oseni,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09/06/2023</w:t>
            </w: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w:t>
            </w:r>
          </w:p>
        </w:tc>
        <w:tc>
          <w:tcPr>
            <w:tcW w:w="8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2023-09-06T16:03:49Z</dcterms:created>
  <dcterms:modified xsi:type="dcterms:W3CDTF">2023-09-06T16:03:49Z</dcterms:modified>
</cp:coreProperties>
</file>