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Bhalla Vikas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01/31/2022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EVP &amp; Head of Outsourcing</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2"/>
            <w:vMerge w:val="restart"/>
          </w:tcPr>
          <w:p>
            <w:pPr>
              <w:ind w:left="480"/>
              <w:spacing w:after="0"/>
              <w:rPr>
                <w:sz w:val="20"/>
                <w:szCs w:val="20"/>
                <w:color w:val="auto"/>
              </w:rPr>
            </w:pPr>
            <w:r>
              <w:rPr>
                <w:rFonts w:ascii="Arial" w:cs="Arial" w:eastAsia="Arial" w:hAnsi="Arial"/>
                <w:sz w:val="17"/>
                <w:szCs w:val="17"/>
                <w:color w:val="0000FF"/>
              </w:rPr>
              <w:t>01/31/2022</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M</w:t>
            </w:r>
          </w:p>
        </w:tc>
        <w:tc>
          <w:tcPr>
            <w:tcW w:w="760" w:type="dxa"/>
            <w:vAlign w:val="bottom"/>
            <w:vMerge w:val="restart"/>
          </w:tcPr>
          <w:p>
            <w:pPr>
              <w:jc w:val="right"/>
              <w:ind w:right="132"/>
              <w:spacing w:after="0"/>
              <w:rPr>
                <w:sz w:val="20"/>
                <w:szCs w:val="20"/>
                <w:color w:val="auto"/>
              </w:rPr>
            </w:pPr>
            <w:r>
              <w:rPr>
                <w:rFonts w:ascii="Arial" w:cs="Arial" w:eastAsia="Arial" w:hAnsi="Arial"/>
                <w:sz w:val="17"/>
                <w:szCs w:val="17"/>
                <w:color w:val="0000FF"/>
              </w:rPr>
              <w:t>9,102</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60" w:type="dxa"/>
            <w:vAlign w:val="bottom"/>
            <w:gridSpan w:val="2"/>
            <w:vMerge w:val="restart"/>
          </w:tcPr>
          <w:p>
            <w:pPr>
              <w:jc w:val="center"/>
              <w:ind w:right="40"/>
              <w:spacing w:after="0"/>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200" w:type="dxa"/>
            <w:vAlign w:val="bottom"/>
          </w:tcPr>
          <w:p>
            <w:pPr>
              <w:spacing w:after="0"/>
              <w:rPr>
                <w:sz w:val="22"/>
                <w:szCs w:val="22"/>
                <w:color w:val="auto"/>
              </w:rPr>
            </w:pP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16,588</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2"/>
            <w:vMerge w:val="restart"/>
          </w:tcPr>
          <w:p>
            <w:pPr>
              <w:ind w:left="480"/>
              <w:spacing w:after="0"/>
              <w:rPr>
                <w:sz w:val="20"/>
                <w:szCs w:val="20"/>
                <w:color w:val="auto"/>
              </w:rPr>
            </w:pPr>
            <w:r>
              <w:rPr>
                <w:rFonts w:ascii="Arial" w:cs="Arial" w:eastAsia="Arial" w:hAnsi="Arial"/>
                <w:sz w:val="17"/>
                <w:szCs w:val="17"/>
                <w:color w:val="0000FF"/>
              </w:rPr>
              <w:t>01/31/2022</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13"/>
                <w:szCs w:val="13"/>
                <w:color w:val="0000FF"/>
              </w:rPr>
              <w:t>F</w:t>
            </w:r>
          </w:p>
        </w:tc>
        <w:tc>
          <w:tcPr>
            <w:tcW w:w="760" w:type="dxa"/>
            <w:vAlign w:val="bottom"/>
            <w:vMerge w:val="restart"/>
          </w:tcPr>
          <w:p>
            <w:pPr>
              <w:jc w:val="right"/>
              <w:ind w:right="132"/>
              <w:spacing w:after="0"/>
              <w:rPr>
                <w:sz w:val="20"/>
                <w:szCs w:val="20"/>
                <w:color w:val="auto"/>
              </w:rPr>
            </w:pPr>
            <w:r>
              <w:rPr>
                <w:rFonts w:ascii="Arial" w:cs="Arial" w:eastAsia="Arial" w:hAnsi="Arial"/>
                <w:sz w:val="17"/>
                <w:szCs w:val="17"/>
                <w:color w:val="0000FF"/>
              </w:rPr>
              <w:t>3,892</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118.09</w:t>
            </w:r>
            <w:r>
              <w:rPr>
                <w:rFonts w:ascii="Arial" w:cs="Arial" w:eastAsia="Arial" w:hAnsi="Arial"/>
                <w:sz w:val="22"/>
                <w:szCs w:val="22"/>
                <w:color w:val="008000"/>
                <w:w w:val="98"/>
                <w:vertAlign w:val="superscript"/>
              </w:rPr>
              <w:t>(2)</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12,696</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shares of common stock, par value $0.001 per share (the "Common Stock") reported in this report were earned pursuant to the performance restricted stock units ("PRSUs") of ExlService Holdings, Inc. (the "Company") granted on February 20, 2019. Such shares of Common Stock were deemed earned on January 31, 2022 based on the Compensation Committee of the Board of Directors administering the award certifying the achievement of performance targets applicable to the PRSUs for the performance period ending on December 31, 2021.</w:t>
      </w:r>
    </w:p>
    <w:p>
      <w:pPr>
        <w:spacing w:after="0" w:line="8" w:lineRule="exact"/>
        <w:rPr>
          <w:rFonts w:ascii="Arial" w:cs="Arial" w:eastAsia="Arial" w:hAnsi="Arial"/>
          <w:sz w:val="12"/>
          <w:szCs w:val="12"/>
          <w:color w:val="008000"/>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2022-02-02T16:29:37Z</dcterms:created>
  <dcterms:modified xsi:type="dcterms:W3CDTF">2022-02-02T16:29:37Z</dcterms:modified>
</cp:coreProperties>
</file>