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42"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54"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23, 2016</w:t>
      </w:r>
    </w:p>
    <w:p>
      <w:pPr>
        <w:spacing w:after="0" w:line="5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3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0860"/>
          </w:cols>
          <w:pgMar w:left="240" w:top="993" w:right="7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1980"/>
          </w:cols>
          <w:pgMar w:left="240" w:top="993" w:right="799" w:bottom="1440" w:gutter="0" w:footer="0" w:header="0"/>
          <w:type w:val="continuous"/>
        </w:sectPr>
      </w:pPr>
    </w:p>
    <w:p>
      <w:pPr>
        <w:spacing w:after="0" w:line="23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280 Park Avenue, 38th Floor</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7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277-7100</w:t>
      </w:r>
    </w:p>
    <w:p>
      <w:pPr>
        <w:spacing w:after="0" w:line="26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0860"/>
          </w:cols>
          <w:pgMar w:left="240" w:top="993" w:right="799" w:bottom="1440" w:gutter="0" w:footer="0" w:header="0"/>
          <w:type w:val="continuous"/>
        </w:sectPr>
      </w:pPr>
    </w:p>
    <w:p>
      <w:pPr>
        <w:spacing w:after="0" w:line="24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364" w:lineRule="exact"/>
        <w:rPr>
          <w:sz w:val="24"/>
          <w:szCs w:val="24"/>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993" w:right="7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23, 2016, ExlService Holdings, Inc. (the “Company”) reported its results of operations for the three months and twelve months ended December 31, 2015.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0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Press Release, dated February 23, 2016 (furnished pursuant to Item 2.02).</w:t>
            </w:r>
          </w:p>
        </w:tc>
      </w:tr>
    </w:tbl>
    <w:p>
      <w:pPr>
        <w:sectPr>
          <w:pgSz w:w="11900" w:h="16838" w:orient="portrait"/>
          <w:cols w:equalWidth="0" w:num="1">
            <w:col w:w="11340"/>
          </w:cols>
          <w:pgMar w:left="240" w:top="84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798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400" w:type="dxa"/>
            <w:vAlign w:val="bottom"/>
          </w:tcPr>
          <w:p>
            <w:pPr>
              <w:spacing w:after="0"/>
              <w:rPr>
                <w:sz w:val="20"/>
                <w:szCs w:val="20"/>
                <w:color w:val="auto"/>
              </w:rPr>
            </w:pPr>
          </w:p>
        </w:tc>
        <w:tc>
          <w:tcPr>
            <w:tcW w:w="2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(Registrant)</w:t>
            </w:r>
          </w:p>
        </w:tc>
        <w:tc>
          <w:tcPr>
            <w:tcW w:w="5020" w:type="dxa"/>
            <w:vAlign w:val="bottom"/>
          </w:tcPr>
          <w:p>
            <w:pPr>
              <w:spacing w:after="0"/>
              <w:rPr>
                <w:sz w:val="20"/>
                <w:szCs w:val="20"/>
                <w:color w:val="auto"/>
              </w:rPr>
            </w:pPr>
          </w:p>
        </w:tc>
      </w:tr>
      <w:tr>
        <w:trPr>
          <w:trHeight w:val="86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2016</w:t>
            </w:r>
          </w:p>
        </w:tc>
        <w:tc>
          <w:tcPr>
            <w:tcW w:w="2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Nancy Saltzman</w:t>
            </w:r>
          </w:p>
        </w:tc>
      </w:tr>
      <w:tr>
        <w:trPr>
          <w:trHeight w:val="41"/>
        </w:trPr>
        <w:tc>
          <w:tcPr>
            <w:tcW w:w="3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400" w:type="dxa"/>
            <w:vAlign w:val="bottom"/>
          </w:tcPr>
          <w:p>
            <w:pPr>
              <w:spacing w:after="0"/>
              <w:rPr>
                <w:sz w:val="21"/>
                <w:szCs w:val="21"/>
                <w:color w:val="auto"/>
              </w:rPr>
            </w:pPr>
          </w:p>
        </w:tc>
        <w:tc>
          <w:tcPr>
            <w:tcW w:w="2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Nancy Saltzman</w:t>
            </w:r>
          </w:p>
        </w:tc>
      </w:tr>
      <w:tr>
        <w:trPr>
          <w:trHeight w:val="252"/>
        </w:trPr>
        <w:tc>
          <w:tcPr>
            <w:tcW w:w="3400" w:type="dxa"/>
            <w:vAlign w:val="bottom"/>
          </w:tcPr>
          <w:p>
            <w:pPr>
              <w:spacing w:after="0"/>
              <w:rPr>
                <w:sz w:val="21"/>
                <w:szCs w:val="21"/>
                <w:color w:val="auto"/>
              </w:rPr>
            </w:pPr>
          </w:p>
        </w:tc>
        <w:tc>
          <w:tcPr>
            <w:tcW w:w="2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420"/>
          </w:cols>
          <w:pgMar w:left="240" w:top="61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tcPr>
          <w:p>
            <w:pPr>
              <w:ind w:left="252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2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9"/>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Press Release, dated February 23, 2016 (furnished pursuant to Item 2.02).</w:t>
            </w:r>
          </w:p>
        </w:tc>
      </w:tr>
    </w:tbl>
    <w:p>
      <w:pPr>
        <w:sectPr>
          <w:pgSz w:w="11900" w:h="16838" w:orient="portrait"/>
          <w:cols w:equalWidth="0" w:num="1">
            <w:col w:w="10219"/>
          </w:cols>
          <w:pgMar w:left="240" w:top="621"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Steven N. Barlow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right="10060" w:firstLine="8"/>
        <w:spacing w:after="0" w:line="290"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624-5913 </w:t>
      </w:r>
      <w:r>
        <w:rPr>
          <w:rFonts w:ascii="Times New Roman" w:cs="Times New Roman" w:eastAsia="Times New Roman" w:hAnsi="Times New Roman"/>
          <w:sz w:val="17"/>
          <w:szCs w:val="17"/>
          <w:u w:val="single" w:color="auto"/>
          <w:color w:val="0000FF"/>
        </w:rPr>
        <w:t>ir@exlservice.com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REPORTS 2015 FOURTH QUARTER AND FULL YEAR RESULTS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2015 Fourth Quarter Revenues of $165.9 Million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Diluted EPS (GAAP) of $0.43</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Adjusted Diluted EPS (Non-GAAP) of $0.56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2015 Revenues of $628.5 Million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Diluted EPS (GAAP) of $1.51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Adjusted Diluted EPS (Non-GAAP) of $2.03</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York, NY - February 23, 2016 - ExlService Holdings, Inc. (NASDAQ: EXLS), a leading provider of Operations Management and Analytics services, today announced its financial results for the fourth quarter and full year 2015 and provided guidance for full year 2016.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EXL had revenues of $165.9 million, an increase of 22.6% from fourth quarter 2014 (15.3% excluding disentanglement costs) and an increase of 1.4% sequentially. In the fourth quarter, EXL delivered diluted EPS of $0.43 and adjusted diluted EPS of $0.56.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full year 2015, EXL achieved revenues of $628.5 million, an increase of 25.9% from 2014 (19.6% excluding disentanglement costs). Operations Management revenues were up 16.8% (10.1% excluding disentanglement costs) from 2014 with increases across verticals. Analytics revenues grew 86.2% year-over-year driven by strong organic growth and the acquisition of RPM Direct. For the full year 2015, EXL delivered diluted EPS of $1.51 and adjusted diluted EPS of $2.03.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Rohit Kapoor, Vice Chairman and CEO, commented, “EXL had a great 2015. Our performance in 2015 demonstrated the strength of our strategy. We delivered strong revenue growth and sustainable margin improvement. Our strategy of differentiated operations management capabilities powered by the Business EXLerator framework and a suite of BPaaS solutions helped us grow revenue with existing clients and acquire new clients. Our domain expertise both in Operations Management and in Analytics made us the partner of choice for our clients. The significant development of our Analytics capabilities and the successful acquisition of RPM solidified our position as a front-runner in Analytics.”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Vishal Chhibbar, EXL’s CFO, commented, “We feel confident about 2016 because we have strong momentum from 2015, and our strategy is enabling us to capitalize on a healthy demand in our Operations Management and Analytics businesses. For 2016, we are providing revenue guidance of $690 million to $706 million, representing annual revenue growth of 11% to 14% at constant currency. Our adjusted diluted earnings per share guidance is $2.25 to $2.35, representing an increase of 11% to 16%.”</w:t>
      </w:r>
    </w:p>
    <w:p>
      <w:pPr>
        <w:sectPr>
          <w:pgSz w:w="11900" w:h="16838" w:orient="portrait"/>
          <w:cols w:equalWidth="0" w:num="1">
            <w:col w:w="11420"/>
          </w:cols>
          <w:pgMar w:left="240" w:top="698" w:right="239" w:bottom="1440" w:gutter="0" w:footer="0" w:header="0"/>
        </w:sectPr>
      </w:pPr>
    </w:p>
    <w:bookmarkStart w:id="5" w:name="page6"/>
    <w:bookmarkEnd w:id="5"/>
    <w:p>
      <w:pPr>
        <w:jc w:val="both"/>
        <w:ind w:firstLine="405"/>
        <w:spacing w:after="0" w:line="314" w:lineRule="auto"/>
        <w:rPr>
          <w:sz w:val="20"/>
          <w:szCs w:val="20"/>
          <w:color w:val="auto"/>
        </w:rPr>
      </w:pPr>
      <w:r>
        <w:rPr>
          <w:rFonts w:ascii="Times New Roman" w:cs="Times New Roman" w:eastAsia="Times New Roman" w:hAnsi="Times New Roman"/>
          <w:sz w:val="18"/>
          <w:szCs w:val="18"/>
          <w:i w:val="1"/>
          <w:iCs w:val="1"/>
          <w:color w:val="auto"/>
        </w:rPr>
        <w:t>Effective for the quarter and year ended December 31, 2015, EXL revised the composition of its reportable segments in line with how it manages its business. The new reportable segments are Operations Management and Analytics. Business Transformation (previously part of the Analytics and Business Transformation segment) is now included within the Operations Management segment. All prior period numbers referred to in this press release have been restated to reflect the new reporting segments. Reconciliations of adjusted financial measures to GAAP are included at the end of this release.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Fourth Quarter 2015</w:t>
      </w:r>
    </w:p>
    <w:p>
      <w:pPr>
        <w:spacing w:after="0" w:line="310"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quarter ended December 31, 2015 were $165.9 million compared to $135.3 million ($143.8 million excluding disentanglement costs) for the quarter ended December 31, 2014, an increase of 22.6% (15.3% excluding disentanglement costs). Revenues for the quarter ended September 30, 2015 were $163.5 million, an increase of 1.4% sequentially.</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Management revenues for the quarter ended December 31, 2015 were $129.4 million compared to $116.3 million ($124.8 million excluding disentanglement costs) for the quarter ended December 31, 2014, an increase of 11.3% (3.7% excluding disentanglement costs). Revenues for the quarter ended September 30, 2015 were $128.0 million, an increase of 1.1% sequentially. Analytics revenues for the quarter ended December 31, 2015 were $36.5 million compared to $19.0 million for the quarter ended December 31, 2014, an increase of 92.0%. Revenues for quarter ended September 30, 2015 were $35.5 million, an increase of 2.8% sequentially.</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quarter ended December 31, 2015 was 36.0% compared to 32.5% (36.5% excluding disentanglement costs) for the quarter ended December 31, 2014 and 36.9% for the quarter ended September 30, 2015. Operations Management gross margin for the quarter ended December 31, 2015 was 36.6% compared to 32.7% (37.3% excluding disentanglement costs) for the quarter ended December 31, 2014 and 36.4% for the quarter ended September 30, 2015. Analytics gross margin for the quarter ended December 31, 2015 was 34.0% compared to 30.7% for the quarter ended December 31, 2014 and 38.7% for the quarter ended September 30, 2015.</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for the quarter ended December 31, 2015 was 10.8% compared to 5.2% (10.8% excluding disentanglement costs) for the quarter ended December 31, 2014 and 12.7% for the quarter ended September 30, 2015. Adjusted operating margin for the quarter ended December 31, 2015 was 14.7% compared to 14.1% for the quarter ended December 31, 2014 and 17.0% for the quarter ended September 30, 2015.</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December 31, 2015 was $0.43 compared to $0.22 for the quarter ended December 31, 2014 and $0.44 for the quarter ended September 30, 2015. Adjusted diluted earnings per share for the quarter ended December 31, 2015 was $0.56 compared to $0.48 for the quarter ended December 31, 2014 and $0.58 for the quarter ended September 30, 2015.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Full Year 2015</w:t>
      </w:r>
    </w:p>
    <w:p>
      <w:pPr>
        <w:spacing w:after="0" w:line="310"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year ended December 31, 2015 were $628.5 million compared to $499.3 million ($525.6 million excluding disentanglement costs) for the year ended December 31, 2014, an increase of 25.9% (19.6% excluding disentanglement costs).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Management revenues for the year ended December 31, 2015 were $506.3 million compared to $433.7 million ($460.0 million excluding disentanglement costs) for the year ended December 31, 2014, an increase of 16.8% (10.1% excluding disentanglement costs). Analytics revenues for the year ended December 31, 2015 were $122.2 million compared to $65.6 million for the year ended December 31, 2014, an increase of 86.2%.</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year ended December 31, 2015 was 35.9% compared to 33.4% (36.7% excluding disentanglement costs) for the year ended December 31, 2014. Operations Management gross margin for the year ended December 31, 2015 was 36.0% compared to 33.9% (37.7% excluding disentanglement costs) for the year ended December 31, 2014. Analytics gross margin for the year ended December 31, 2015 was 35.5% compared to 29.8% for the year ended December 31, 2014.</w:t>
      </w:r>
    </w:p>
    <w:p>
      <w:pPr>
        <w:spacing w:after="0" w:line="180"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for the year ended December 31, 2015 was 10.7% compared to 6.8% (11.5% excluding disentanglement costs) for the year ended December 31, 2014. Adjusted operating margin for the year ended December 31, 2015 was 14.9% compared to 14.8% for the year ended December 31, 2014.</w:t>
      </w:r>
    </w:p>
    <w:p>
      <w:pPr>
        <w:sectPr>
          <w:pgSz w:w="11900" w:h="16838" w:orient="portrait"/>
          <w:cols w:equalWidth="0" w:num="1">
            <w:col w:w="11420"/>
          </w:cols>
          <w:pgMar w:left="240" w:top="686" w:right="239" w:bottom="1440" w:gutter="0" w:footer="0" w:header="0"/>
        </w:sectPr>
      </w:pPr>
    </w:p>
    <w:bookmarkStart w:id="6" w:name="page7"/>
    <w:bookmarkEnd w:id="6"/>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year ended December 31, 2015 was $1.51 compared to $0.96 for the year ended December 31, 2014. Adjusted diluted earnings per share for the year ended December 31, 2015 was $2.03 compared to $1.82 for the year ended December 31,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 Fourth Quarter 2015</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Won nine new clients in the quarter ended December 31, 2015 and 34 new clients in 2015, consisting of 25 new clients in Operations Management and nine new clients in Analytics.</w:t>
      </w:r>
    </w:p>
    <w:p>
      <w:pPr>
        <w:spacing w:after="0" w:line="53"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multiple Operations Management relationships, including migrating 38 new processes in the fourth quarter of 2015 and 136 new processes in 2015.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Nitin Sahney, an experienced executive in the healthcare industry, was appointed to the Board of Directors effective January 1,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Positioned as a “Leader” in NelsonHall’s “Analytics and Reporting BPS NEAT.”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an “Industry Leader” in information security by winning the 2015 BPM Security Excellence Award by NASSCOM and the Data Security Council of India.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Positioned in the “Winner’s Circle” in the “HfS Blueprint Report: Utilities BPO 2015.”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an “Emerging Player” in Mindfield’s “Robotic Process Automation: Driving the Next Wave of Cost Rationalization.”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XCelent Customer Base award in Celent’s “North American Policy Administration Systems 2015: Life, Annuities, Pension, And Health ABCD Vendor View.”</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headcount as of December 31, 2015 of 24,061 compared to 23,715 as of September 30, 2015 and 22,822 (including employees under managed services) as of December 31, 2014.</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Reported employee attrition for the quarter ended December 31, 2015 of 30.6%, compared with 34.5% for the quarter ended September 30, 2015 and 33.5% for the quarter ended December 31, 2014.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Guidance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current visibility and an Indian rupee to U.S. dollar exchange rate of 68.0, Philippine Peso to U.S. dollar exchange rate of 47.5 and all other currencies at current exchange rates, the Company is providing the following guidance for the calendar year 2016:</w:t>
      </w:r>
    </w:p>
    <w:p>
      <w:pPr>
        <w:spacing w:after="0" w:line="54" w:lineRule="exact"/>
        <w:rPr>
          <w:sz w:val="20"/>
          <w:szCs w:val="20"/>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$690 million to $706 million, representing annual revenue growth 11% to 14% at constant currency.</w:t>
      </w:r>
    </w:p>
    <w:p>
      <w:pPr>
        <w:spacing w:after="0" w:line="117" w:lineRule="exact"/>
        <w:rPr>
          <w:rFonts w:ascii="Times New Roman" w:cs="Times New Roman" w:eastAsia="Times New Roman" w:hAnsi="Times New Roman"/>
          <w:sz w:val="18"/>
          <w:szCs w:val="18"/>
          <w:color w:val="auto"/>
        </w:rPr>
      </w:pPr>
    </w:p>
    <w:p>
      <w:pPr>
        <w:ind w:left="640" w:right="20" w:hanging="308"/>
        <w:spacing w:after="0" w:line="282" w:lineRule="auto"/>
        <w:tabs>
          <w:tab w:leader="none" w:pos="6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excluding the impact of stock-based compensation expense, amortization of intangibles and associated tax impacts, of $2.25 to $2.35, representing an increase of 11% to 16%.</w:t>
      </w:r>
    </w:p>
    <w:p>
      <w:pPr>
        <w:sectPr>
          <w:pgSz w:w="11900" w:h="16838" w:orient="portrait"/>
          <w:cols w:equalWidth="0" w:num="1">
            <w:col w:w="11420"/>
          </w:cols>
          <w:pgMar w:left="240" w:top="796"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ExlService Holdings, Inc. will host a conference call on Tuesday, February 23, 2016 at 8:00 a.m. U.S. eastern time to discuss the Company’s quarterly operating and 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000000"/>
        </w:rPr>
        <w:t>, where an accompanying investor-friendly spreadsheet of historical operating and financial data can also be accessed. Please go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website at least fifteen minutes prior to the call to register, download and install any necessary audio software.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217170</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131445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EXL (NASDAQ: EXLS) is a leading operations management and analytics company that helps businesses enhance growth and profitability in the face of relentless competition and continuous disruption. Using our proprietary award-winning Business EXLerator Framework™, which integrate analytics, automation, benchmarking, BPO, consulting, industry best practices and technology platforms to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24,000 professionals in locations throughout the United States, Europe, Asia (primarily India and Philippines), Latin America, Australia and South Africa. For more information, visit </w:t>
      </w:r>
      <w:r>
        <w:rPr>
          <w:rFonts w:ascii="Times New Roman" w:cs="Times New Roman" w:eastAsia="Times New Roman" w:hAnsi="Times New Roman"/>
          <w:sz w:val="18"/>
          <w:szCs w:val="18"/>
          <w:u w:val="single" w:color="auto"/>
          <w:color w:val="0000FF"/>
        </w:rPr>
        <w:t>www.exlservice.com.</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Continuing Statement Regarding Forward-Looking Statements </w:t>
      </w:r>
      <w:r>
        <w:rPr>
          <w:rFonts w:ascii="Times New Roman" w:cs="Times New Roman" w:eastAsia="Times New Roman" w:hAnsi="Times New Roman"/>
          <w:sz w:val="18"/>
          <w:szCs w:val="18"/>
          <w:i w:val="1"/>
          <w:iCs w:val="1"/>
          <w:color w:val="auto"/>
        </w:rPr>
        <w:t>This press release contains forward-looking statements, including our financial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You should not place undue 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2014.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576" w:right="2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8"/>
                <w:szCs w:val="18"/>
                <w:color w:val="auto"/>
              </w:rPr>
            </w:pPr>
          </w:p>
        </w:tc>
        <w:tc>
          <w:tcPr>
            <w:tcW w:w="292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628,492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499,278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165,858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135,286</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 (exclusive of depreciation and</w:t>
            </w:r>
          </w:p>
        </w:tc>
        <w:tc>
          <w:tcPr>
            <w:tcW w:w="320" w:type="dxa"/>
            <w:vAlign w:val="bottom"/>
          </w:tcPr>
          <w:p>
            <w:pPr>
              <w:spacing w:after="0"/>
              <w:rPr>
                <w:sz w:val="18"/>
                <w:szCs w:val="18"/>
                <w:color w:val="auto"/>
              </w:rPr>
            </w:pPr>
          </w:p>
        </w:tc>
        <w:tc>
          <w:tcPr>
            <w:tcW w:w="10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402,917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332,535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106,116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91,371</w:t>
            </w:r>
          </w:p>
        </w:tc>
        <w:tc>
          <w:tcPr>
            <w:tcW w:w="0" w:type="dxa"/>
            <w:vAlign w:val="bottom"/>
          </w:tcPr>
          <w:p>
            <w:pPr>
              <w:spacing w:after="0"/>
              <w:rPr>
                <w:sz w:val="1"/>
                <w:szCs w:val="1"/>
                <w:color w:val="auto"/>
              </w:rPr>
            </w:pPr>
          </w:p>
        </w:tc>
      </w:tr>
      <w:tr>
        <w:trPr>
          <w:trHeight w:val="10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225,575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166,743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43,915</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18,389</w:t>
            </w:r>
          </w:p>
        </w:tc>
        <w:tc>
          <w:tcPr>
            <w:tcW w:w="0" w:type="dxa"/>
            <w:vAlign w:val="bottom"/>
          </w:tcPr>
          <w:p>
            <w:pPr>
              <w:spacing w:after="0"/>
              <w:rPr>
                <w:sz w:val="1"/>
                <w:szCs w:val="1"/>
                <w:color w:val="auto"/>
              </w:rPr>
            </w:pPr>
          </w:p>
        </w:tc>
      </w:tr>
      <w:tr>
        <w:trPr>
          <w:trHeight w:val="224"/>
        </w:trPr>
        <w:tc>
          <w:tcPr>
            <w:tcW w:w="3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10,482</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7,979</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158,232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132,703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41,864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36,850</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7,065</w:t>
            </w:r>
          </w:p>
        </w:tc>
        <w:tc>
          <w:tcPr>
            <w:tcW w:w="0" w:type="dxa"/>
            <w:vAlign w:val="bottom"/>
          </w:tcPr>
          <w:p>
            <w:pPr>
              <w:spacing w:after="0"/>
              <w:rPr>
                <w:sz w:val="1"/>
                <w:szCs w:val="1"/>
                <w:color w:val="auto"/>
              </w:rPr>
            </w:pPr>
          </w:p>
        </w:tc>
      </w:tr>
      <w:tr>
        <w:trPr>
          <w:trHeight w:val="22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gain/(loss), net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75,776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37,638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19,664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8,131</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51,565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32,445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14,762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7,461</w:t>
            </w:r>
          </w:p>
        </w:tc>
        <w:tc>
          <w:tcPr>
            <w:tcW w:w="0" w:type="dxa"/>
            <w:vAlign w:val="bottom"/>
          </w:tcPr>
          <w:p>
            <w:pPr>
              <w:spacing w:after="0"/>
              <w:rPr>
                <w:sz w:val="1"/>
                <w:szCs w:val="1"/>
                <w:color w:val="auto"/>
              </w:rPr>
            </w:pPr>
          </w:p>
        </w:tc>
      </w:tr>
      <w:tr>
        <w:trPr>
          <w:trHeight w:val="73"/>
        </w:trPr>
        <w:tc>
          <w:tcPr>
            <w:tcW w:w="35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24"/>
        </w:trPr>
        <w:tc>
          <w:tcPr>
            <w:tcW w:w="49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computing earnings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33,298,104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32,804,606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33,231,716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32,986,276</w:t>
            </w:r>
          </w:p>
        </w:tc>
        <w:tc>
          <w:tcPr>
            <w:tcW w:w="0" w:type="dxa"/>
            <w:vAlign w:val="bottom"/>
          </w:tcPr>
          <w:p>
            <w:pPr>
              <w:spacing w:after="0"/>
              <w:rPr>
                <w:sz w:val="1"/>
                <w:szCs w:val="1"/>
                <w:color w:val="auto"/>
              </w:rPr>
            </w:pPr>
          </w:p>
        </w:tc>
      </w:tr>
      <w:tr>
        <w:trPr>
          <w:trHeight w:val="224"/>
        </w:trPr>
        <w:tc>
          <w:tcPr>
            <w:tcW w:w="3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34,178,340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33,636,593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34,272,731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33,761,462</w:t>
            </w:r>
          </w:p>
        </w:tc>
        <w:tc>
          <w:tcPr>
            <w:tcW w:w="0" w:type="dxa"/>
            <w:vAlign w:val="bottom"/>
          </w:tcPr>
          <w:p>
            <w:pPr>
              <w:spacing w:after="0"/>
              <w:rPr>
                <w:sz w:val="1"/>
                <w:szCs w:val="1"/>
                <w:color w:val="auto"/>
              </w:rPr>
            </w:pPr>
          </w:p>
        </w:tc>
      </w:tr>
    </w:tbl>
    <w:p>
      <w:pPr>
        <w:sectPr>
          <w:pgSz w:w="11900" w:h="16838" w:orient="portrait"/>
          <w:cols w:equalWidth="0" w:num="1">
            <w:col w:w="9600"/>
          </w:cols>
          <w:pgMar w:left="1160" w:top="792" w:right="11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176,499</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11,577</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80,244</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5,783</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9,905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12,533</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339,199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297,936</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assets, net</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47,991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45,369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16,440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46,979</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139,599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23,975</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573,556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4,663</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7,690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employee cost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37,606</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40,206</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capital lease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107,079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90,968</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borrowings</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lease obligations, less current portion</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12,870</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185,012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154,398</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34,781,201 shares issued and 33,091,223</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outstanding as of December 31, 2015 and 34,203,352 shares issued and 32,905,467 shares outstanding as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of December 31, 2014</w:t>
            </w:r>
          </w:p>
        </w:tc>
        <w:tc>
          <w:tcPr>
            <w:tcW w:w="16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233,173</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320,989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269,424</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including shares held in treasury</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507,751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447,122</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1,689,978 shares as of December 31, 2015 and 1,297,885 shares as of December 31, 2014, held in treasury, at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(27,964)</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465,592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419,158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465,771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419,158</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573,556</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76" w:right="2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adjusted financial measures (adjusted operating margin, adjusted EBITDA, adjusted net income and adjusted diluted earnings per share)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EXL believes that it is unreasonably difficult to provide its financial outlook in accordance with GAAP for a number of reasons including, without limitation, EXL’s inability to predict its future stock-based compensation expense under ASC Topic 718 and the amortization of intangibles associated with further acquisitions. EXL also incurs significant non-cash charges for depreciation that may not be indicative of the Company’s ability to generate cash flow.</w:t>
      </w:r>
    </w:p>
    <w:p>
      <w:pPr>
        <w:spacing w:after="0" w:line="19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EXL provides certain information on a constant currency basis, which reflects a comparison of current period results translated at the prior period currency rates. This information is provided because EXL believes that it provides useful incremental information to investors regarding EXL’s operating performance.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reconciliation of these adjusted financial measures from GAAP measures for the year ended December 31,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the three months ended December 31, 2015 and December 31, 2014 and for the three months ended September 30,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60" w:type="dxa"/>
            <w:vAlign w:val="bottom"/>
          </w:tcPr>
          <w:p>
            <w:pPr>
              <w:spacing w:after="0"/>
              <w:rPr>
                <w:sz w:val="17"/>
                <w:szCs w:val="17"/>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 (GAAP)</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628,492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499,278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165,858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135,286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163,503</w:t>
            </w:r>
          </w:p>
        </w:tc>
        <w:tc>
          <w:tcPr>
            <w:tcW w:w="0" w:type="dxa"/>
            <w:vAlign w:val="bottom"/>
          </w:tcPr>
          <w:p>
            <w:pPr>
              <w:spacing w:after="0"/>
              <w:rPr>
                <w:sz w:val="1"/>
                <w:szCs w:val="1"/>
                <w:color w:val="auto"/>
              </w:rPr>
            </w:pPr>
          </w:p>
        </w:tc>
      </w:tr>
      <w:tr>
        <w:trPr>
          <w:trHeight w:val="224"/>
        </w:trPr>
        <w:tc>
          <w:tcPr>
            <w:tcW w:w="5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Reimbursement of transition and disentanglement costs (a)</w:t>
            </w:r>
          </w:p>
        </w:tc>
        <w:tc>
          <w:tcPr>
            <w:tcW w:w="2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26,347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 (Non-GAAP)</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628,492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525,625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165,858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143,818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163,503</w:t>
            </w:r>
          </w:p>
        </w:tc>
        <w:tc>
          <w:tcPr>
            <w:tcW w:w="0" w:type="dxa"/>
            <w:vAlign w:val="bottom"/>
          </w:tcPr>
          <w:p>
            <w:pPr>
              <w:spacing w:after="0"/>
              <w:rPr>
                <w:sz w:val="1"/>
                <w:szCs w:val="1"/>
                <w:color w:val="auto"/>
              </w:rPr>
            </w:pPr>
          </w:p>
        </w:tc>
      </w:tr>
      <w:tr>
        <w:trPr>
          <w:trHeight w:val="224"/>
        </w:trPr>
        <w:tc>
          <w:tcPr>
            <w:tcW w:w="5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subtract: Cost of revenues (GAAP)</w:t>
            </w: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(332,535)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(106,116)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(103,198)</w:t>
            </w:r>
          </w:p>
        </w:tc>
        <w:tc>
          <w:tcPr>
            <w:tcW w:w="0" w:type="dxa"/>
            <w:vAlign w:val="bottom"/>
          </w:tcPr>
          <w:p>
            <w:pPr>
              <w:spacing w:after="0"/>
              <w:rPr>
                <w:sz w:val="1"/>
                <w:szCs w:val="1"/>
                <w:color w:val="auto"/>
              </w:rPr>
            </w:pPr>
          </w:p>
        </w:tc>
      </w:tr>
      <w:tr>
        <w:trPr>
          <w:trHeight w:val="47"/>
        </w:trPr>
        <w:tc>
          <w:tcPr>
            <w:tcW w:w="5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subtract: Operating expenses (GAAP)</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(158,232)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(132,703)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(39,556)</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Income from operations (Non- GAAP)</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67,343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60,387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17,878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15,597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20,749</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Stock-based compensation expense (b)</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4,471</w:t>
            </w:r>
          </w:p>
        </w:tc>
        <w:tc>
          <w:tcPr>
            <w:tcW w:w="0" w:type="dxa"/>
            <w:vAlign w:val="bottom"/>
          </w:tcPr>
          <w:p>
            <w:pPr>
              <w:spacing w:after="0"/>
              <w:rPr>
                <w:sz w:val="1"/>
                <w:szCs w:val="1"/>
                <w:color w:val="auto"/>
              </w:rPr>
            </w:pPr>
          </w:p>
        </w:tc>
      </w:tr>
      <w:tr>
        <w:trPr>
          <w:trHeight w:val="224"/>
        </w:trPr>
        <w:tc>
          <w:tcPr>
            <w:tcW w:w="5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Amortization of acquisition-related intangibles (c)</w:t>
            </w:r>
          </w:p>
        </w:tc>
        <w:tc>
          <w:tcPr>
            <w:tcW w:w="22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93,616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27,862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Adjusted operating income margin as a % of Revenues (Non-GAAP)</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17.0%</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21,239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21,405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5,415</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114,855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99,426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29,940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26,069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33,277</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Adjusted EBITDA margin as a % of Revenues (Non-GAAP)</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i w:val="1"/>
                <w:iCs w:val="1"/>
                <w:color w:val="auto"/>
              </w:rPr>
              <w:t>18.3%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i w:val="1"/>
                <w:iCs w:val="1"/>
                <w:color w:val="auto"/>
              </w:rPr>
              <w:t>18.9%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i w:val="1"/>
                <w:iCs w:val="1"/>
                <w:color w:val="auto"/>
              </w:rPr>
              <w:t>18.1%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i w:val="1"/>
                <w:iCs w:val="1"/>
                <w:color w:val="auto"/>
              </w:rPr>
              <w:t>18.1%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i w:val="1"/>
                <w:iCs w:val="1"/>
                <w:color w:val="auto"/>
              </w:rPr>
              <w:t>20.4%</w:t>
            </w:r>
          </w:p>
        </w:tc>
        <w:tc>
          <w:tcPr>
            <w:tcW w:w="0" w:type="dxa"/>
            <w:vAlign w:val="bottom"/>
          </w:tcPr>
          <w:p>
            <w:pPr>
              <w:spacing w:after="0"/>
              <w:rPr>
                <w:sz w:val="1"/>
                <w:szCs w:val="1"/>
                <w:color w:val="auto"/>
              </w:rPr>
            </w:pPr>
          </w:p>
        </w:tc>
      </w:tr>
      <w:tr>
        <w:trPr>
          <w:trHeight w:val="33"/>
        </w:trPr>
        <w:tc>
          <w:tcPr>
            <w:tcW w:w="5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60" w:hanging="225"/>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reimbursement of transition and disentanglement costs for a disclosed client issue.</w:t>
      </w:r>
    </w:p>
    <w:p>
      <w:pPr>
        <w:spacing w:after="0" w:line="26" w:lineRule="exact"/>
        <w:rPr>
          <w:rFonts w:ascii="Times New Roman" w:cs="Times New Roman" w:eastAsia="Times New Roman" w:hAnsi="Times New Roman"/>
          <w:sz w:val="16"/>
          <w:szCs w:val="16"/>
          <w:color w:val="auto"/>
        </w:rPr>
      </w:pPr>
    </w:p>
    <w:p>
      <w:pPr>
        <w:ind w:left="260" w:hanging="225"/>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stock-based compensation expense under ASC Topic 718.</w:t>
      </w:r>
    </w:p>
    <w:p>
      <w:pPr>
        <w:spacing w:after="0" w:line="18" w:lineRule="exact"/>
        <w:rPr>
          <w:rFonts w:ascii="Times New Roman" w:cs="Times New Roman" w:eastAsia="Times New Roman" w:hAnsi="Times New Roman"/>
          <w:sz w:val="16"/>
          <w:szCs w:val="16"/>
          <w:color w:val="auto"/>
        </w:rPr>
      </w:pPr>
    </w:p>
    <w:p>
      <w:pPr>
        <w:ind w:left="260" w:hanging="225"/>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amortization of acquisition-related intangibles.</w:t>
      </w:r>
    </w:p>
    <w:p>
      <w:pPr>
        <w:sectPr>
          <w:pgSz w:w="11900" w:h="16838" w:orient="portrait"/>
          <w:cols w:equalWidth="0" w:num="1">
            <w:col w:w="11420"/>
          </w:cols>
          <w:pgMar w:left="240" w:top="698"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12"/>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3"/>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2015</w:t>
            </w:r>
          </w:p>
        </w:tc>
      </w:tr>
      <w:tr>
        <w:trPr>
          <w:trHeight w:val="47"/>
        </w:trPr>
        <w:tc>
          <w:tcPr>
            <w:tcW w:w="55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51,565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32,445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14,762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7,461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15,162</w:t>
            </w:r>
          </w:p>
        </w:tc>
      </w:tr>
      <w:tr>
        <w:trPr>
          <w:trHeight w:val="224"/>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Stock-based compensation expense (a)</w:t>
            </w:r>
          </w:p>
        </w:tc>
        <w:tc>
          <w:tcPr>
            <w:tcW w:w="2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4,471</w:t>
            </w:r>
          </w:p>
        </w:tc>
      </w:tr>
      <w:tr>
        <w:trPr>
          <w:trHeight w:val="47"/>
        </w:trPr>
        <w:tc>
          <w:tcPr>
            <w:tcW w:w="5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Amortization of acquisition-related intangibles (b)</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2,642</w:t>
            </w:r>
          </w:p>
        </w:tc>
      </w:tr>
      <w:tr>
        <w:trPr>
          <w:trHeight w:val="224"/>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reimbursement of transition and disentanglement costs (c)</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26,347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subtract: Tax impact on 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24"/>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subtract: Tax impact on amortization of acquisition-related intangibles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47"/>
        </w:trPr>
        <w:tc>
          <w:tcPr>
            <w:tcW w:w="5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subtract: Tax impact on reimbursement of transition and disentanglement costs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69,273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61,330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19,137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16,102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19,915</w:t>
            </w:r>
          </w:p>
        </w:tc>
      </w:tr>
      <w:tr>
        <w:trPr>
          <w:trHeight w:val="73"/>
        </w:trPr>
        <w:tc>
          <w:tcPr>
            <w:tcW w:w="55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04"/>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0.58</w:t>
            </w:r>
          </w:p>
        </w:tc>
      </w:tr>
      <w:tr>
        <w:trPr>
          <w:trHeight w:val="33"/>
        </w:trPr>
        <w:tc>
          <w:tcPr>
            <w:tcW w:w="5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16" w:lineRule="exact"/>
        <w:rPr>
          <w:sz w:val="20"/>
          <w:szCs w:val="20"/>
          <w:color w:val="auto"/>
        </w:rPr>
      </w:pPr>
    </w:p>
    <w:p>
      <w:pPr>
        <w:ind w:left="260" w:hanging="225"/>
        <w:spacing w:after="0"/>
        <w:tabs>
          <w:tab w:leader="none" w:pos="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stock-based compensation expense under ASC Topic 718.</w:t>
      </w:r>
    </w:p>
    <w:p>
      <w:pPr>
        <w:spacing w:after="0" w:line="26" w:lineRule="exact"/>
        <w:rPr>
          <w:rFonts w:ascii="Times New Roman" w:cs="Times New Roman" w:eastAsia="Times New Roman" w:hAnsi="Times New Roman"/>
          <w:sz w:val="16"/>
          <w:szCs w:val="16"/>
          <w:color w:val="auto"/>
        </w:rPr>
      </w:pPr>
    </w:p>
    <w:p>
      <w:pPr>
        <w:ind w:left="260" w:hanging="225"/>
        <w:spacing w:after="0"/>
        <w:tabs>
          <w:tab w:leader="none" w:pos="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amortization of acquisition-related intangibles.</w:t>
      </w:r>
    </w:p>
    <w:p>
      <w:pPr>
        <w:spacing w:after="0" w:line="18" w:lineRule="exact"/>
        <w:rPr>
          <w:rFonts w:ascii="Times New Roman" w:cs="Times New Roman" w:eastAsia="Times New Roman" w:hAnsi="Times New Roman"/>
          <w:sz w:val="16"/>
          <w:szCs w:val="16"/>
          <w:color w:val="auto"/>
        </w:rPr>
      </w:pPr>
    </w:p>
    <w:p>
      <w:pPr>
        <w:ind w:left="260" w:hanging="225"/>
        <w:spacing w:after="0"/>
        <w:tabs>
          <w:tab w:leader="none" w:pos="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reimbursement of transition and disentanglement costs for a disclosed client issue.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21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2019-12-29T14:25:34Z</dcterms:created>
  <dcterms:modified xsi:type="dcterms:W3CDTF">2019-12-29T14:25:34Z</dcterms:modified>
</cp:coreProperties>
</file>