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BAGAI PAVAN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6"/>
        <w:spacing w:after="0"/>
        <w:rPr>
          <w:sz w:val="20"/>
          <w:szCs w:val="20"/>
          <w:color w:val="auto"/>
        </w:rPr>
      </w:pPr>
      <w:r>
        <w:rPr>
          <w:rFonts w:ascii="Arial" w:cs="Arial" w:eastAsia="Arial" w:hAnsi="Arial"/>
          <w:sz w:val="18"/>
          <w:szCs w:val="18"/>
          <w:color w:val="0000FF"/>
        </w:rPr>
        <w:t>VP, Head of Ops of EXL India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tcPr>
          <w:p>
            <w:pPr>
              <w:jc w:val="right"/>
              <w:ind w:right="840"/>
              <w:spacing w:after="0"/>
              <w:rPr>
                <w:sz w:val="20"/>
                <w:szCs w:val="20"/>
                <w:color w:val="auto"/>
              </w:rPr>
            </w:pPr>
            <w:r>
              <w:rPr>
                <w:rFonts w:ascii="Arial" w:cs="Arial" w:eastAsia="Arial" w:hAnsi="Arial"/>
                <w:sz w:val="18"/>
                <w:szCs w:val="18"/>
                <w:color w:val="0000FF"/>
              </w:rPr>
              <w:t>362,360</w:t>
            </w:r>
          </w:p>
        </w:tc>
        <w:tc>
          <w:tcPr>
            <w:tcW w:w="7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2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01/01/2013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25,000</w:t>
            </w:r>
          </w:p>
        </w:tc>
        <w:tc>
          <w:tcPr>
            <w:tcW w:w="880" w:type="dxa"/>
            <w:vAlign w:val="bottom"/>
            <w:vMerge w:val="restart"/>
          </w:tcPr>
          <w:p>
            <w:pPr>
              <w:jc w:val="right"/>
              <w:ind w:right="207"/>
              <w:spacing w:after="0"/>
              <w:rPr>
                <w:sz w:val="20"/>
                <w:szCs w:val="20"/>
                <w:color w:val="auto"/>
              </w:rPr>
            </w:pPr>
            <w:r>
              <w:rPr>
                <w:rFonts w:ascii="Arial" w:cs="Arial" w:eastAsia="Arial" w:hAnsi="Arial"/>
                <w:sz w:val="18"/>
                <w:szCs w:val="18"/>
                <w:color w:val="0000FF"/>
              </w:rPr>
              <w:t>0.12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07/27/2016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30,000</w:t>
            </w:r>
          </w:p>
        </w:tc>
        <w:tc>
          <w:tcPr>
            <w:tcW w:w="880" w:type="dxa"/>
            <w:vAlign w:val="bottom"/>
            <w:vMerge w:val="restart"/>
          </w:tcPr>
          <w:p>
            <w:pPr>
              <w:jc w:val="right"/>
              <w:ind w:right="167"/>
              <w:spacing w:after="0"/>
              <w:rPr>
                <w:sz w:val="20"/>
                <w:szCs w:val="20"/>
                <w:color w:val="auto"/>
              </w:rPr>
            </w:pPr>
            <w:r>
              <w:rPr>
                <w:rFonts w:ascii="Arial" w:cs="Arial" w:eastAsia="Arial" w:hAnsi="Arial"/>
                <w:sz w:val="18"/>
                <w:szCs w:val="18"/>
                <w:color w:val="0000FF"/>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12,500 of these options are currently vested and the remaining 12,500 will vest on January 1, 2007. Upon vesting, options are immediately exerciseable.</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 of these options will vest on April 20, 2007, an additional 20% of these options will vest on April 20, 2008, an additional 30% of these options will vest on April 20, 2009, and the remaining 40% of these options will vest on April 20, 2010. Upon vesting, options are immediately exerciseable.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Pavan Bagai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Pavan Bagai</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Pavan Bagai</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4134"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2019-12-16T15:16:25Z</dcterms:created>
  <dcterms:modified xsi:type="dcterms:W3CDTF">2019-12-16T15:16:25Z</dcterms:modified>
</cp:coreProperties>
</file>