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color w:val="auto"/>
        </w:rPr>
        <w:t>SEC Form 4</w:t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ind w:left="7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ind w:left="380"/>
        <w:spacing w:after="0" w:line="239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39370</wp:posOffset>
            </wp:positionH>
            <wp:positionV relativeFrom="paragraph">
              <wp:posOffset>-244475</wp:posOffset>
            </wp:positionV>
            <wp:extent cx="137160" cy="13716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160" cy="1371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6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5"/>
        </w:trPr>
        <w:tc>
          <w:tcPr>
            <w:tcW w:w="6580" w:type="dxa"/>
            <w:vAlign w:val="bottom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5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2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9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5506720</wp:posOffset>
            </wp:positionH>
            <wp:positionV relativeFrom="paragraph">
              <wp:posOffset>-655320</wp:posOffset>
            </wp:positionV>
            <wp:extent cx="59690" cy="66865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4168775</wp:posOffset>
            </wp:positionH>
            <wp:positionV relativeFrom="paragraph">
              <wp:posOffset>-655320</wp:posOffset>
            </wp:positionV>
            <wp:extent cx="59690" cy="66865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-1670685</wp:posOffset>
            </wp:positionH>
            <wp:positionV relativeFrom="paragraph">
              <wp:posOffset>13970</wp:posOffset>
            </wp:positionV>
            <wp:extent cx="7272020" cy="933640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72020" cy="933640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96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80" w:space="240"/>
            <w:col w:w="8800"/>
          </w:cols>
          <w:pgMar w:left="240" w:top="226" w:right="239" w:bottom="528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2"/>
          <w:szCs w:val="22"/>
          <w:u w:val="single" w:color="auto"/>
          <w:color w:val="0000EE"/>
        </w:rPr>
      </w:pPr>
      <w:hyperlink r:id="rId12">
        <w:r>
          <w:rPr>
            <w:rFonts w:ascii="Arial" w:cs="Arial" w:eastAsia="Arial" w:hAnsi="Arial"/>
            <w:sz w:val="22"/>
            <w:szCs w:val="22"/>
            <w:u w:val="single" w:color="auto"/>
            <w:color w:val="0000EE"/>
          </w:rPr>
          <w:t>Kapoor Rohit</w:t>
        </w:r>
      </w:hyperlink>
    </w:p>
    <w:p>
      <w:pPr>
        <w:spacing w:after="0" w:line="317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80" w:val="left"/>
          <w:tab w:leader="none" w:pos="26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(Middle)</w:t>
      </w:r>
    </w:p>
    <w:p>
      <w:pPr>
        <w:spacing w:after="0" w:line="61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350 PARK AVENUE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2. Issuer Name </w:t>
      </w: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Ticker or Trading Symbol</w:t>
      </w:r>
    </w:p>
    <w:p>
      <w:pPr>
        <w:spacing w:after="0" w:line="1" w:lineRule="exact"/>
        <w:rPr>
          <w:sz w:val="24"/>
          <w:szCs w:val="24"/>
          <w:color w:val="auto"/>
        </w:rPr>
      </w:pPr>
    </w:p>
    <w:p>
      <w:pPr>
        <w:jc w:val="center"/>
        <w:ind w:right="277"/>
        <w:spacing w:after="0"/>
        <w:rPr>
          <w:rFonts w:ascii="Arial" w:cs="Arial" w:eastAsia="Arial" w:hAnsi="Arial"/>
          <w:sz w:val="19"/>
          <w:szCs w:val="19"/>
          <w:color w:val="0000EE"/>
        </w:rPr>
      </w:pPr>
      <w:hyperlink r:id="rId13">
        <w:r>
          <w:rPr>
            <w:rFonts w:ascii="Arial" w:cs="Arial" w:eastAsia="Arial" w:hAnsi="Arial"/>
            <w:sz w:val="19"/>
            <w:szCs w:val="19"/>
            <w:u w:val="single" w:color="auto"/>
            <w:color w:val="0000EE"/>
          </w:rPr>
          <w:t>ExlService Holdings, Inc.</w:t>
        </w:r>
        <w:r>
          <w:rPr>
            <w:rFonts w:ascii="Arial" w:cs="Arial" w:eastAsia="Arial" w:hAnsi="Arial"/>
            <w:sz w:val="19"/>
            <w:szCs w:val="19"/>
            <w:color w:val="0000EE"/>
          </w:rPr>
          <w:t xml:space="preserve"> </w:t>
        </w:r>
      </w:hyperlink>
      <w:r>
        <w:rPr>
          <w:rFonts w:ascii="Arial" w:cs="Arial" w:eastAsia="Arial" w:hAnsi="Arial"/>
          <w:sz w:val="19"/>
          <w:szCs w:val="19"/>
          <w:color w:val="000000"/>
        </w:rPr>
        <w:t>[</w:t>
      </w:r>
      <w:r>
        <w:rPr>
          <w:rFonts w:ascii="Arial" w:cs="Arial" w:eastAsia="Arial" w:hAnsi="Arial"/>
          <w:sz w:val="19"/>
          <w:szCs w:val="19"/>
          <w:color w:val="0000EE"/>
        </w:rPr>
        <w:t xml:space="preserve"> </w:t>
      </w:r>
      <w:r>
        <w:rPr>
          <w:rFonts w:ascii="Arial" w:cs="Arial" w:eastAsia="Arial" w:hAnsi="Arial"/>
          <w:sz w:val="15"/>
          <w:szCs w:val="15"/>
          <w:color w:val="0000FF"/>
        </w:rPr>
        <w:t>EXLS</w:t>
      </w:r>
      <w:r>
        <w:rPr>
          <w:rFonts w:ascii="Arial" w:cs="Arial" w:eastAsia="Arial" w:hAnsi="Arial"/>
          <w:sz w:val="19"/>
          <w:szCs w:val="19"/>
          <w:color w:val="0000EE"/>
        </w:rPr>
        <w:t xml:space="preserve"> </w:t>
      </w:r>
      <w:r>
        <w:rPr>
          <w:rFonts w:ascii="Arial" w:cs="Arial" w:eastAsia="Arial" w:hAnsi="Arial"/>
          <w:sz w:val="19"/>
          <w:szCs w:val="19"/>
          <w:color w:val="000000"/>
        </w:rPr>
        <w:t>]</w:t>
      </w:r>
    </w:p>
    <w:p>
      <w:pPr>
        <w:spacing w:after="0" w:line="379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3. Date of Earliest Transaction (Month/Day/Year)</w:t>
      </w:r>
    </w:p>
    <w:p>
      <w:pPr>
        <w:spacing w:after="0" w:line="17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11/23/2009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ind w:left="3" w:right="520" w:hanging="3"/>
        <w:spacing w:after="0" w:line="231" w:lineRule="auto"/>
        <w:tabs>
          <w:tab w:leader="none" w:pos="153" w:val="left"/>
        </w:tabs>
        <w:numPr>
          <w:ilvl w:val="0"/>
          <w:numId w:val="1"/>
        </w:numPr>
        <w:rPr>
          <w:rFonts w:ascii="Arial" w:cs="Arial" w:eastAsia="Arial" w:hAnsi="Arial"/>
          <w:sz w:val="14"/>
          <w:szCs w:val="14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Relationship of Reporting Person(s) to Issuer (Check all applicable)</w:t>
      </w:r>
    </w:p>
    <w:p>
      <w:pPr>
        <w:spacing w:after="0" w:line="20" w:lineRule="exact"/>
        <w:rPr>
          <w:sz w:val="24"/>
          <w:szCs w:val="24"/>
          <w:color w:val="auto"/>
        </w:rPr>
      </w:pPr>
    </w:p>
    <w:tbl>
      <w:tblPr>
        <w:tblLayout w:type="fixed"/>
        <w:tblInd w:w="203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22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X</w:t>
            </w:r>
          </w:p>
        </w:tc>
        <w:tc>
          <w:tcPr>
            <w:tcW w:w="14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Director</w:t>
            </w:r>
          </w:p>
        </w:tc>
        <w:tc>
          <w:tcPr>
            <w:tcW w:w="118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4"/>
        </w:trPr>
        <w:tc>
          <w:tcPr>
            <w:tcW w:w="2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X</w:t>
            </w:r>
          </w:p>
        </w:tc>
        <w:tc>
          <w:tcPr>
            <w:tcW w:w="14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Officer (give title</w:t>
            </w:r>
          </w:p>
        </w:tc>
        <w:tc>
          <w:tcPr>
            <w:tcW w:w="118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4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7"/>
        </w:trPr>
        <w:tc>
          <w:tcPr>
            <w:tcW w:w="2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below)</w:t>
            </w:r>
          </w:p>
        </w:tc>
        <w:tc>
          <w:tcPr>
            <w:tcW w:w="1180" w:type="dxa"/>
            <w:vAlign w:val="bottom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6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8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33" w:lineRule="exact"/>
        <w:rPr>
          <w:sz w:val="24"/>
          <w:szCs w:val="24"/>
          <w:color w:val="auto"/>
        </w:rPr>
      </w:pPr>
    </w:p>
    <w:p>
      <w:pPr>
        <w:ind w:left="963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CEO and President</w:t>
      </w:r>
    </w:p>
    <w:p>
      <w:pPr>
        <w:spacing w:after="0" w:line="267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360" w:space="720"/>
            <w:col w:w="3257" w:space="720"/>
            <w:col w:w="3363"/>
          </w:cols>
          <w:pgMar w:left="240" w:top="226" w:right="239" w:bottom="528" w:gutter="0" w:footer="0" w:header="0"/>
          <w:type w:val="continuous"/>
        </w:sectPr>
      </w:pPr>
    </w:p>
    <w:p>
      <w:pPr>
        <w:spacing w:after="0" w:line="20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120" w:type="dxa"/>
            <w:vAlign w:val="bottom"/>
            <w:shd w:val="clear" w:color="auto" w:fill="9A9A9A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60" w:type="dxa"/>
            <w:vAlign w:val="bottom"/>
            <w:shd w:val="clear" w:color="auto" w:fill="9A9A9A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160" w:type="dxa"/>
            <w:vAlign w:val="bottom"/>
            <w:shd w:val="clear" w:color="auto" w:fill="9A9A9A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60" w:type="dxa"/>
            <w:vAlign w:val="bottom"/>
            <w:shd w:val="clear" w:color="auto" w:fill="9A9A9A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800" w:type="dxa"/>
            <w:vAlign w:val="bottom"/>
            <w:gridSpan w:val="5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4. If Amendment, Date of Original Filed (Month/Day/Year)</w:t>
            </w:r>
          </w:p>
        </w:tc>
        <w:tc>
          <w:tcPr>
            <w:tcW w:w="3700" w:type="dxa"/>
            <w:vAlign w:val="bottom"/>
            <w:gridSpan w:val="5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(Street)</w:t>
            </w: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70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340"/>
              <w:spacing w:after="0" w:line="15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Line)</w:t>
            </w: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NEW YORK</w:t>
            </w:r>
          </w:p>
        </w:tc>
        <w:tc>
          <w:tcPr>
            <w:tcW w:w="86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NY</w:t>
            </w:r>
          </w:p>
        </w:tc>
        <w:tc>
          <w:tcPr>
            <w:tcW w:w="1160" w:type="dxa"/>
            <w:vAlign w:val="bottom"/>
          </w:tcPr>
          <w:p>
            <w:pPr>
              <w:ind w:left="5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10022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700" w:type="dxa"/>
            <w:vAlign w:val="bottom"/>
            <w:gridSpan w:val="5"/>
          </w:tcPr>
          <w:p>
            <w:pPr>
              <w:ind w:left="5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 xml:space="preserve">X   </w:t>
            </w:r>
            <w:r>
              <w:rPr>
                <w:rFonts w:ascii="Arial" w:cs="Arial" w:eastAsia="Arial" w:hAnsi="Arial"/>
                <w:sz w:val="13"/>
                <w:szCs w:val="13"/>
                <w:color w:val="000000"/>
              </w:rPr>
              <w:t>Form filed by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960" w:type="dxa"/>
            <w:vAlign w:val="bottom"/>
            <w:gridSpan w:val="4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Form filed by More than One Reporting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96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(City)</w:t>
            </w:r>
          </w:p>
        </w:tc>
        <w:tc>
          <w:tcPr>
            <w:tcW w:w="860" w:type="dxa"/>
            <w:vAlign w:val="bottom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(State)</w:t>
            </w:r>
          </w:p>
        </w:tc>
        <w:tc>
          <w:tcPr>
            <w:tcW w:w="1160" w:type="dxa"/>
            <w:vAlign w:val="bottom"/>
            <w:vMerge w:val="restart"/>
          </w:tcPr>
          <w:p>
            <w:pPr>
              <w:ind w:left="5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(Zip)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Person</w:t>
            </w: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700" w:type="dxa"/>
            <w:vAlign w:val="bottom"/>
            <w:tcBorders>
              <w:bottom w:val="single" w:sz="8" w:color="2C2C2C"/>
            </w:tcBorders>
            <w:gridSpan w:val="7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520" w:type="dxa"/>
            <w:vAlign w:val="bottom"/>
            <w:tcBorders>
              <w:top w:val="single" w:sz="8" w:color="2C2C2C"/>
            </w:tcBorders>
            <w:gridSpan w:val="9"/>
          </w:tcPr>
          <w:p>
            <w:pPr>
              <w:jc w:val="right"/>
              <w:ind w:right="49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</w:rPr>
              <w:t>Table I - Non-Derivative Securities Acquired, Disposed of, or Beneficially Owned</w:t>
            </w:r>
          </w:p>
        </w:tc>
        <w:tc>
          <w:tcPr>
            <w:tcW w:w="9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8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206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1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8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206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 5)</w:t>
            </w:r>
          </w:p>
        </w:tc>
        <w:tc>
          <w:tcPr>
            <w:tcW w:w="11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80" w:type="dxa"/>
            <w:vAlign w:val="bottom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</w:tcPr>
          <w:p>
            <w:pPr>
              <w:jc w:val="center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80" w:type="dxa"/>
            <w:vAlign w:val="bottom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80" w:type="dxa"/>
            <w:vAlign w:val="bottom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60" w:type="dxa"/>
            <w:vAlign w:val="bottom"/>
            <w:vMerge w:val="restart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  <w:vMerge w:val="restart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6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76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56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74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1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7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6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6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24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24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0"/>
              </w:rPr>
              <w:t>Common Stock, par value $0.001 per share</w:t>
            </w: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11/23/2009</w:t>
            </w: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7"/>
                <w:szCs w:val="27"/>
                <w:color w:val="0000FF"/>
                <w:vertAlign w:val="subscript"/>
              </w:rPr>
              <w:t>S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6"/>
              </w:rPr>
              <w:t>200</w:t>
            </w: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90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  <w:w w:val="90"/>
              </w:rPr>
              <w:t>17.23</w:t>
            </w: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13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1,476,306</w:t>
            </w: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24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0"/>
              </w:rPr>
              <w:t>Common Stock, par value $0.001 per share</w:t>
            </w: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11/23/2009</w:t>
            </w: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7"/>
                <w:szCs w:val="27"/>
                <w:color w:val="0000FF"/>
                <w:vertAlign w:val="subscript"/>
              </w:rPr>
              <w:t>S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3,447</w:t>
            </w: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88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17.1</w:t>
            </w: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13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1,472,859</w:t>
            </w: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24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0"/>
              </w:rPr>
              <w:t>Common Stock, par value $0.001 per share</w:t>
            </w: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11/23/2009</w:t>
            </w: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7"/>
                <w:szCs w:val="27"/>
                <w:color w:val="0000FF"/>
                <w:vertAlign w:val="subscript"/>
              </w:rPr>
              <w:t>S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1,012</w:t>
            </w: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90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  <w:w w:val="90"/>
              </w:rPr>
              <w:t>17.07</w:t>
            </w: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13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1,471,847</w:t>
            </w: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24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0"/>
              </w:rPr>
              <w:t>Common Stock, par value $0.001 per share</w:t>
            </w: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11/23/2009</w:t>
            </w: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7"/>
                <w:szCs w:val="27"/>
                <w:color w:val="0000FF"/>
                <w:vertAlign w:val="subscript"/>
              </w:rPr>
              <w:t>S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6"/>
              </w:rPr>
              <w:t>200</w:t>
            </w: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90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  <w:w w:val="90"/>
              </w:rPr>
              <w:t>17.08</w:t>
            </w: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13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1,471,647</w:t>
            </w: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24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0"/>
              </w:rPr>
              <w:t>Common Stock, par value $0.001 per share</w:t>
            </w: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11/23/2009</w:t>
            </w: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7"/>
                <w:szCs w:val="27"/>
                <w:color w:val="0000FF"/>
                <w:vertAlign w:val="subscript"/>
              </w:rPr>
              <w:t>S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1,276</w:t>
            </w: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90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  <w:w w:val="90"/>
              </w:rPr>
              <w:t>17.03</w:t>
            </w: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13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1,470,371</w:t>
            </w: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24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0"/>
              </w:rPr>
              <w:t>Common Stock, par value $0.001 per share</w:t>
            </w: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11/23/2009</w:t>
            </w: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7"/>
                <w:szCs w:val="27"/>
                <w:color w:val="0000FF"/>
                <w:vertAlign w:val="subscript"/>
              </w:rPr>
              <w:t>S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3,424</w:t>
            </w: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90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  <w:w w:val="90"/>
              </w:rPr>
              <w:t>17.01</w:t>
            </w: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13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1,466,947</w:t>
            </w: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24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0"/>
              </w:rPr>
              <w:t>Common Stock, par value $0.001 per share</w:t>
            </w: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11/23/2009</w:t>
            </w: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7"/>
                <w:szCs w:val="27"/>
                <w:color w:val="0000FF"/>
                <w:vertAlign w:val="subscript"/>
              </w:rPr>
              <w:t>S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6"/>
              </w:rPr>
              <w:t>300</w:t>
            </w: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90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  <w:w w:val="90"/>
              </w:rPr>
              <w:t>17.04</w:t>
            </w: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13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1,466,647</w:t>
            </w: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24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0"/>
              </w:rPr>
              <w:t>Common Stock, par value $0.001 per share</w:t>
            </w: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11/23/2009</w:t>
            </w: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7"/>
                <w:szCs w:val="27"/>
                <w:color w:val="0000FF"/>
                <w:vertAlign w:val="subscript"/>
              </w:rPr>
              <w:t>S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1,888</w:t>
            </w: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90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  <w:w w:val="90"/>
              </w:rPr>
              <w:t>17.02</w:t>
            </w: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13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1,464,759</w:t>
            </w: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24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0"/>
              </w:rPr>
              <w:t>Common Stock, par value $0.001 per share</w:t>
            </w: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11/23/2009</w:t>
            </w: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7"/>
                <w:szCs w:val="27"/>
                <w:color w:val="0000FF"/>
                <w:vertAlign w:val="subscript"/>
              </w:rPr>
              <w:t>S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6,200</w:t>
            </w: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93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  <w:w w:val="93"/>
              </w:rPr>
              <w:t>17</w:t>
            </w: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13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1,458,559</w:t>
            </w: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24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0"/>
              </w:rPr>
              <w:t>Common Stock, par value $0.001 per share</w:t>
            </w: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11/23/2009</w:t>
            </w: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7"/>
                <w:szCs w:val="27"/>
                <w:color w:val="0000FF"/>
                <w:vertAlign w:val="subscript"/>
              </w:rPr>
              <w:t>S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6"/>
              </w:rPr>
              <w:t>600</w:t>
            </w: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90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  <w:w w:val="90"/>
              </w:rPr>
              <w:t>17.06</w:t>
            </w: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13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1,457,959</w:t>
            </w: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24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0"/>
              </w:rPr>
              <w:t>Common Stock, par value $0.001 per share</w:t>
            </w: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11/23/2009</w:t>
            </w: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7"/>
                <w:szCs w:val="27"/>
                <w:color w:val="0000FF"/>
                <w:vertAlign w:val="subscript"/>
              </w:rPr>
              <w:t>S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1,141</w:t>
            </w: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87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  <w:w w:val="87"/>
              </w:rPr>
              <w:t>17.11</w:t>
            </w: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13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1,456,818</w:t>
            </w: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24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0"/>
              </w:rPr>
              <w:t>Common Stock, par value $0.001 per share</w:t>
            </w: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11/23/2009</w:t>
            </w: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7"/>
                <w:szCs w:val="27"/>
                <w:color w:val="0000FF"/>
                <w:vertAlign w:val="subscript"/>
              </w:rPr>
              <w:t>S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6"/>
              </w:rPr>
              <w:t>938</w:t>
            </w: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90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  <w:w w:val="90"/>
              </w:rPr>
              <w:t>17.12</w:t>
            </w: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13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1,455,880</w:t>
            </w: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24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0"/>
              </w:rPr>
              <w:t>Common Stock, par value $0.001 per share</w:t>
            </w: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11/23/2009</w:t>
            </w: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7"/>
                <w:szCs w:val="27"/>
                <w:color w:val="0000FF"/>
                <w:vertAlign w:val="subscript"/>
              </w:rPr>
              <w:t>S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1,123</w:t>
            </w: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90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  <w:w w:val="90"/>
              </w:rPr>
              <w:t>17.13</w:t>
            </w: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13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1,454,757</w:t>
            </w: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24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0"/>
              </w:rPr>
              <w:t>Common Stock, par value $0.001 per share</w:t>
            </w: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11/23/2009</w:t>
            </w: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7"/>
                <w:szCs w:val="27"/>
                <w:color w:val="0000FF"/>
                <w:vertAlign w:val="subscript"/>
              </w:rPr>
              <w:t>S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6"/>
              </w:rPr>
              <w:t>600</w:t>
            </w: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90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  <w:w w:val="90"/>
              </w:rPr>
              <w:t>17.16</w:t>
            </w: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13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1,454,157</w:t>
            </w: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24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0"/>
              </w:rPr>
              <w:t>Common Stock, par value $0.001 per share</w:t>
            </w: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11/23/2009</w:t>
            </w: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7"/>
                <w:szCs w:val="27"/>
                <w:color w:val="0000FF"/>
                <w:vertAlign w:val="subscript"/>
              </w:rPr>
              <w:t>S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1,100</w:t>
            </w: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90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  <w:w w:val="90"/>
              </w:rPr>
              <w:t>17.09</w:t>
            </w: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13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1,453,057</w:t>
            </w: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24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0"/>
              </w:rPr>
              <w:t>Common Stock, par value $0.001 per share</w:t>
            </w: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11/23/2009</w:t>
            </w: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7"/>
                <w:szCs w:val="27"/>
                <w:color w:val="0000FF"/>
                <w:vertAlign w:val="subscript"/>
              </w:rPr>
              <w:t>S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6"/>
              </w:rPr>
              <w:t>324</w:t>
            </w: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90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  <w:w w:val="90"/>
              </w:rPr>
              <w:t>17.14</w:t>
            </w: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13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1,452,733</w:t>
            </w: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24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0"/>
              </w:rPr>
              <w:t>Common Stock, par value $0.001 per share</w:t>
            </w: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11/23/2009</w:t>
            </w: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7"/>
                <w:szCs w:val="27"/>
                <w:color w:val="0000FF"/>
                <w:vertAlign w:val="subscript"/>
              </w:rPr>
              <w:t>S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6"/>
              </w:rPr>
              <w:t>127</w:t>
            </w: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90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  <w:w w:val="90"/>
              </w:rPr>
              <w:t>17.15</w:t>
            </w: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13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1,452,606</w:t>
            </w: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24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0"/>
              </w:rPr>
              <w:t>Common Stock, par value $0.001 per share</w:t>
            </w: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11/23/2009</w:t>
            </w: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7"/>
                <w:szCs w:val="27"/>
                <w:color w:val="0000FF"/>
                <w:vertAlign w:val="subscript"/>
              </w:rPr>
              <w:t>S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6"/>
              </w:rPr>
              <w:t>114</w:t>
            </w: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90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  <w:w w:val="90"/>
              </w:rPr>
              <w:t>17.17</w:t>
            </w: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13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1,452,492</w:t>
            </w: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24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0"/>
              </w:rPr>
              <w:t>Common Stock, par value $0.001 per share</w:t>
            </w: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11/23/2009</w:t>
            </w: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7"/>
                <w:szCs w:val="27"/>
                <w:color w:val="0000FF"/>
                <w:vertAlign w:val="subscript"/>
              </w:rPr>
              <w:t>S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6"/>
              </w:rPr>
              <w:t>200</w:t>
            </w: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88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17.2</w:t>
            </w: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13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1,452,292</w:t>
            </w: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24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0"/>
              </w:rPr>
              <w:t>Common Stock, par value $0.001 per share</w:t>
            </w: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11/23/2009</w:t>
            </w: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7"/>
                <w:szCs w:val="27"/>
                <w:color w:val="0000FF"/>
                <w:vertAlign w:val="subscript"/>
              </w:rPr>
              <w:t>S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9"/>
              </w:rPr>
              <w:t>86</w:t>
            </w: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90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  <w:w w:val="90"/>
              </w:rPr>
              <w:t>17.24</w:t>
            </w: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13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1,452,206</w:t>
            </w: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24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0"/>
              </w:rPr>
              <w:t>Common Stock, par value $0.001 per share</w:t>
            </w: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11/23/2009</w:t>
            </w: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7"/>
                <w:szCs w:val="27"/>
                <w:color w:val="0000FF"/>
                <w:vertAlign w:val="subscript"/>
              </w:rPr>
              <w:t>S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6"/>
              </w:rPr>
              <w:t>200</w:t>
            </w: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89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  <w:w w:val="89"/>
              </w:rPr>
              <w:t>17.095</w:t>
            </w: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13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1,452,006</w:t>
            </w: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24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0"/>
              </w:rPr>
              <w:t>Common Stock, par value $0.001 per share</w:t>
            </w: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11/23/2009</w:t>
            </w: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7"/>
                <w:szCs w:val="27"/>
                <w:color w:val="0000FF"/>
                <w:vertAlign w:val="subscript"/>
              </w:rPr>
              <w:t>S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6"/>
              </w:rPr>
              <w:t>100</w:t>
            </w: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89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  <w:w w:val="89"/>
              </w:rPr>
              <w:t>17.005</w:t>
            </w: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13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1,451,906</w:t>
            </w: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24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0"/>
              </w:rPr>
              <w:t>Common Stock, par value $0.001 per share</w:t>
            </w: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11/23/2009</w:t>
            </w: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7"/>
                <w:szCs w:val="27"/>
                <w:color w:val="0000FF"/>
                <w:vertAlign w:val="subscript"/>
              </w:rPr>
              <w:t>S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6"/>
              </w:rPr>
              <w:t>100</w:t>
            </w: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90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  <w:w w:val="90"/>
              </w:rPr>
              <w:t>17.05</w:t>
            </w: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13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1,451,806</w:t>
            </w: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24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0"/>
              </w:rPr>
              <w:t>Common Stock, par value $0.001 per share</w:t>
            </w: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11/23/2009</w:t>
            </w: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7"/>
                <w:szCs w:val="27"/>
                <w:color w:val="0000FF"/>
                <w:vertAlign w:val="subscript"/>
              </w:rPr>
              <w:t>S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6"/>
              </w:rPr>
              <w:t>100</w:t>
            </w: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90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  <w:w w:val="90"/>
              </w:rPr>
              <w:t>17.18</w:t>
            </w: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13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1,451,706</w:t>
            </w: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24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0"/>
              </w:rPr>
              <w:t>Common Stock, par value $0.001 per share</w:t>
            </w: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11/23/2009</w:t>
            </w: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7"/>
                <w:szCs w:val="27"/>
                <w:color w:val="0000FF"/>
                <w:vertAlign w:val="subscript"/>
              </w:rPr>
              <w:t>S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6"/>
              </w:rPr>
              <w:t>100</w:t>
            </w: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90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  <w:w w:val="90"/>
              </w:rPr>
              <w:t>17.19</w:t>
            </w: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13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1,451,606</w:t>
            </w: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56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24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0"/>
              </w:rPr>
              <w:t>Common Stock, par value $0.001 per share</w:t>
            </w: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11/23/2009</w:t>
            </w: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7"/>
                <w:szCs w:val="27"/>
                <w:color w:val="0000FF"/>
                <w:vertAlign w:val="subscript"/>
              </w:rPr>
              <w:t>S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6"/>
              </w:rPr>
              <w:t>100</w:t>
            </w: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89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  <w:w w:val="89"/>
              </w:rPr>
              <w:t>17.075</w:t>
            </w: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13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1,451,506</w:t>
            </w: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35" w:lineRule="exact"/>
        <w:rPr>
          <w:sz w:val="24"/>
          <w:szCs w:val="24"/>
          <w:color w:val="auto"/>
        </w:rPr>
      </w:pPr>
    </w:p>
    <w:p>
      <w:pPr>
        <w:jc w:val="center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Table II - Derivative Securities Acquired, Disposed of, or Beneficially Owned</w:t>
      </w:r>
    </w:p>
    <w:p>
      <w:pPr>
        <w:spacing w:after="0" w:line="18" w:lineRule="exact"/>
        <w:rPr>
          <w:sz w:val="24"/>
          <w:szCs w:val="24"/>
          <w:color w:val="auto"/>
        </w:rPr>
      </w:pPr>
    </w:p>
    <w:p>
      <w:pPr>
        <w:jc w:val="center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(e.g., puts, calls, warrants, options, convertible securities)</w:t>
      </w:r>
    </w:p>
    <w:p>
      <w:pPr>
        <w:sectPr>
          <w:pgSz w:w="11900" w:h="16838" w:orient="portrait"/>
          <w:cols w:equalWidth="0" w:num="1">
            <w:col w:w="11420"/>
          </w:cols>
          <w:pgMar w:left="240" w:top="226" w:right="239" w:bottom="528" w:gutter="0" w:footer="0" w:header="0"/>
          <w:type w:val="continuous"/>
        </w:sectPr>
      </w:pPr>
    </w:p>
    <w:bookmarkStart w:id="1" w:name="page2"/>
    <w:bookmarkEnd w:id="1"/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4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4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80" w:type="dxa"/>
            <w:vAlign w:val="bottom"/>
            <w:gridSpan w:val="4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1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940" w:type="dxa"/>
            <w:vAlign w:val="bottom"/>
            <w:gridSpan w:val="4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vMerge w:val="restart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20" w:type="dxa"/>
            <w:vAlign w:val="bottom"/>
            <w:vMerge w:val="restart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940" w:type="dxa"/>
            <w:vAlign w:val="bottom"/>
            <w:vMerge w:val="restart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400" w:type="dxa"/>
            <w:vAlign w:val="bottom"/>
            <w:gridSpan w:val="14"/>
          </w:tcPr>
          <w:p>
            <w:pPr>
              <w:jc w:val="center"/>
              <w:spacing w:after="0" w:line="5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5"/>
                <w:szCs w:val="5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940" w:type="dxa"/>
            <w:vAlign w:val="bottom"/>
            <w:gridSpan w:val="4"/>
            <w:vMerge w:val="restart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60" w:type="dxa"/>
            <w:vAlign w:val="bottom"/>
            <w:gridSpan w:val="2"/>
            <w:vMerge w:val="restart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800" w:type="dxa"/>
            <w:vAlign w:val="bottom"/>
            <w:gridSpan w:val="2"/>
            <w:vMerge w:val="restart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2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4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40" w:type="dxa"/>
            <w:vAlign w:val="bottom"/>
            <w:gridSpan w:val="2"/>
          </w:tcPr>
          <w:p>
            <w:pPr>
              <w:ind w:left="80"/>
              <w:spacing w:after="0" w:line="8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60"/>
              <w:spacing w:after="0" w:line="8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460" w:type="dxa"/>
            <w:vAlign w:val="bottom"/>
          </w:tcPr>
          <w:p>
            <w:pPr>
              <w:ind w:left="80"/>
              <w:spacing w:after="0" w:line="8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of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80" w:type="dxa"/>
            <w:vAlign w:val="bottom"/>
            <w:gridSpan w:val="2"/>
          </w:tcPr>
          <w:p>
            <w:pPr>
              <w:ind w:left="80"/>
              <w:spacing w:after="0" w:line="8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00" w:type="dxa"/>
            <w:vAlign w:val="bottom"/>
            <w:gridSpan w:val="2"/>
          </w:tcPr>
          <w:p>
            <w:pPr>
              <w:ind w:left="60"/>
              <w:spacing w:after="0" w:line="8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8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4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"/>
                <w:szCs w:val="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"/>
                <w:szCs w:val="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4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"/>
                <w:szCs w:val="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"/>
                <w:szCs w:val="2"/>
                <w:b w:val="1"/>
                <w:bCs w:val="1"/>
                <w:color w:val="auto"/>
              </w:rPr>
              <w:t>if any</w:t>
            </w:r>
          </w:p>
        </w:tc>
        <w:tc>
          <w:tcPr>
            <w:tcW w:w="4960" w:type="dxa"/>
            <w:vAlign w:val="bottom"/>
            <w:gridSpan w:val="11"/>
          </w:tcPr>
          <w:p>
            <w:pPr>
              <w:jc w:val="center"/>
              <w:ind w:left="6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"/>
                <w:szCs w:val="2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76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940" w:type="dxa"/>
            <w:vAlign w:val="bottom"/>
            <w:gridSpan w:val="4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"/>
                <w:szCs w:val="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"/>
                <w:szCs w:val="2"/>
                <w:b w:val="1"/>
                <w:bCs w:val="1"/>
                <w:color w:val="auto"/>
              </w:rPr>
              <w:t>Form: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"/>
                <w:szCs w:val="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</w:tcPr>
          <w:p>
            <w:pPr>
              <w:ind w:left="60"/>
              <w:spacing w:after="0" w:line="12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460" w:type="dxa"/>
            <w:vAlign w:val="bottom"/>
          </w:tcPr>
          <w:p>
            <w:pPr>
              <w:ind w:left="80"/>
              <w:spacing w:after="0" w:line="12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 iv</w:t>
            </w:r>
          </w:p>
        </w:tc>
        <w:tc>
          <w:tcPr>
            <w:tcW w:w="320" w:type="dxa"/>
            <w:vAlign w:val="bottom"/>
          </w:tcPr>
          <w:p>
            <w:pPr>
              <w:spacing w:after="0" w:line="12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tive</w:t>
            </w:r>
          </w:p>
        </w:tc>
        <w:tc>
          <w:tcPr>
            <w:tcW w:w="1280" w:type="dxa"/>
            <w:vAlign w:val="bottom"/>
            <w:gridSpan w:val="2"/>
          </w:tcPr>
          <w:p>
            <w:pPr>
              <w:ind w:left="80"/>
              <w:spacing w:after="0" w:line="12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100" w:type="dxa"/>
            <w:vAlign w:val="bottom"/>
            <w:gridSpan w:val="2"/>
          </w:tcPr>
          <w:p>
            <w:pPr>
              <w:ind w:left="60"/>
              <w:spacing w:after="0" w:line="12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940" w:type="dxa"/>
            <w:vAlign w:val="bottom"/>
            <w:gridSpan w:val="4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  <w:gridSpan w:val="4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 3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  <w:gridSpan w:val="4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4)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  <w:gridSpan w:val="4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  <w:gridSpan w:val="4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  <w:gridSpan w:val="4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2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94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2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14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6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940" w:type="dxa"/>
            <w:vAlign w:val="bottom"/>
            <w:gridSpan w:val="4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76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0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4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2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94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1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ind w:left="60"/>
              <w:spacing w:after="0" w:line="12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80"/>
              <w:spacing w:after="0" w:line="12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80" w:type="dxa"/>
            <w:vAlign w:val="bottom"/>
            <w:gridSpan w:val="4"/>
          </w:tcPr>
          <w:p>
            <w:pPr>
              <w:ind w:left="80"/>
              <w:spacing w:after="0" w:line="12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100" w:type="dxa"/>
            <w:vAlign w:val="bottom"/>
            <w:gridSpan w:val="2"/>
          </w:tcPr>
          <w:p>
            <w:pPr>
              <w:ind w:left="60"/>
              <w:spacing w:after="0" w:line="12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94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vMerge w:val="restart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20" w:type="dxa"/>
            <w:vAlign w:val="bottom"/>
            <w:vMerge w:val="restart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940" w:type="dxa"/>
            <w:vAlign w:val="bottom"/>
            <w:vMerge w:val="restart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  <w:gridSpan w:val="2"/>
            <w:vMerge w:val="restart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40" w:type="dxa"/>
            <w:vAlign w:val="bottom"/>
            <w:gridSpan w:val="2"/>
            <w:vMerge w:val="restart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460" w:type="dxa"/>
            <w:vAlign w:val="bottom"/>
            <w:vMerge w:val="restart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80" w:type="dxa"/>
            <w:vAlign w:val="bottom"/>
            <w:gridSpan w:val="2"/>
            <w:vMerge w:val="restart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40"/>
              <w:spacing w:after="0" w:line="4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4"/>
                <w:szCs w:val="4"/>
                <w:b w:val="1"/>
                <w:bCs w:val="1"/>
                <w:color w:val="auto"/>
              </w:rPr>
              <w:t>Amount</w:t>
            </w:r>
          </w:p>
        </w:tc>
        <w:tc>
          <w:tcPr>
            <w:tcW w:w="760" w:type="dxa"/>
            <w:vAlign w:val="bottom"/>
            <w:vMerge w:val="restart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40" w:type="dxa"/>
            <w:vAlign w:val="bottom"/>
            <w:gridSpan w:val="4"/>
            <w:vMerge w:val="restart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60" w:type="dxa"/>
            <w:vAlign w:val="bottom"/>
            <w:gridSpan w:val="2"/>
            <w:vMerge w:val="restart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800" w:type="dxa"/>
            <w:vAlign w:val="bottom"/>
            <w:gridSpan w:val="2"/>
            <w:vMerge w:val="restart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00" w:type="dxa"/>
            <w:vAlign w:val="bottom"/>
            <w:gridSpan w:val="2"/>
          </w:tcPr>
          <w:p>
            <w:pPr>
              <w:ind w:left="60"/>
              <w:spacing w:after="0" w:line="9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4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vMerge w:val="restart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20" w:type="dxa"/>
            <w:vAlign w:val="bottom"/>
            <w:vMerge w:val="restart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40" w:type="dxa"/>
            <w:vAlign w:val="bottom"/>
            <w:gridSpan w:val="2"/>
            <w:vMerge w:val="restart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80" w:type="dxa"/>
            <w:vAlign w:val="bottom"/>
            <w:vMerge w:val="restart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  <w:vMerge w:val="restart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80" w:type="dxa"/>
            <w:vAlign w:val="bottom"/>
            <w:gridSpan w:val="2"/>
            <w:vMerge w:val="restart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280" w:type="dxa"/>
            <w:vAlign w:val="bottom"/>
            <w:gridSpan w:val="2"/>
            <w:vMerge w:val="restart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40"/>
              <w:spacing w:after="0" w:line="4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4"/>
                <w:szCs w:val="4"/>
                <w:b w:val="1"/>
                <w:bCs w:val="1"/>
                <w:color w:val="auto"/>
              </w:rPr>
              <w:t>or</w:t>
            </w:r>
          </w:p>
        </w:tc>
        <w:tc>
          <w:tcPr>
            <w:tcW w:w="760" w:type="dxa"/>
            <w:vAlign w:val="bottom"/>
            <w:vMerge w:val="restart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940" w:type="dxa"/>
            <w:vAlign w:val="bottom"/>
            <w:gridSpan w:val="4"/>
            <w:vMerge w:val="restart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760" w:type="dxa"/>
            <w:vAlign w:val="bottom"/>
            <w:gridSpan w:val="2"/>
            <w:vMerge w:val="restart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00" w:type="dxa"/>
            <w:vAlign w:val="bottom"/>
            <w:gridSpan w:val="2"/>
            <w:vMerge w:val="restart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00" w:type="dxa"/>
            <w:vAlign w:val="bottom"/>
            <w:gridSpan w:val="2"/>
          </w:tcPr>
          <w:p>
            <w:pPr>
              <w:ind w:left="60"/>
              <w:spacing w:after="0" w:line="9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4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vMerge w:val="restart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20" w:type="dxa"/>
            <w:vAlign w:val="bottom"/>
            <w:vMerge w:val="restart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  <w:gridSpan w:val="2"/>
            <w:vMerge w:val="restart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40" w:type="dxa"/>
            <w:vAlign w:val="bottom"/>
            <w:vMerge w:val="restart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  <w:vMerge w:val="restart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40"/>
              <w:spacing w:after="0" w:line="4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4"/>
                <w:szCs w:val="4"/>
                <w:b w:val="1"/>
                <w:bCs w:val="1"/>
                <w:color w:val="auto"/>
              </w:rPr>
              <w:t>Number</w:t>
            </w:r>
          </w:p>
        </w:tc>
        <w:tc>
          <w:tcPr>
            <w:tcW w:w="760" w:type="dxa"/>
            <w:vAlign w:val="bottom"/>
            <w:vMerge w:val="restart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940" w:type="dxa"/>
            <w:vAlign w:val="bottom"/>
            <w:gridSpan w:val="4"/>
            <w:vMerge w:val="restart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760" w:type="dxa"/>
            <w:vAlign w:val="bottom"/>
            <w:gridSpan w:val="2"/>
            <w:vMerge w:val="restart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00" w:type="dxa"/>
            <w:vAlign w:val="bottom"/>
            <w:gridSpan w:val="2"/>
            <w:vMerge w:val="restart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  <w:vMerge w:val="restart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60" w:type="dxa"/>
            <w:vAlign w:val="bottom"/>
            <w:gridSpan w:val="3"/>
            <w:vMerge w:val="restart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1100" w:type="dxa"/>
            <w:vAlign w:val="bottom"/>
            <w:gridSpan w:val="2"/>
          </w:tcPr>
          <w:p>
            <w:pPr>
              <w:ind w:left="60"/>
              <w:spacing w:after="0" w:line="9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4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vMerge w:val="restart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  <w:vMerge w:val="restart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82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40"/>
              <w:spacing w:after="0" w:line="4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4"/>
                <w:szCs w:val="4"/>
                <w:b w:val="1"/>
                <w:bCs w:val="1"/>
                <w:color w:val="auto"/>
              </w:rPr>
              <w:t>of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  <w:gridSpan w:val="4"/>
            <w:vMerge w:val="restart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760" w:type="dxa"/>
            <w:vAlign w:val="bottom"/>
            <w:gridSpan w:val="2"/>
            <w:vMerge w:val="restart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00" w:type="dxa"/>
            <w:vAlign w:val="bottom"/>
            <w:gridSpan w:val="2"/>
            <w:vMerge w:val="restart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  <w:vMerge w:val="restart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</w:t>
            </w:r>
          </w:p>
        </w:tc>
        <w:tc>
          <w:tcPr>
            <w:tcW w:w="400" w:type="dxa"/>
            <w:vAlign w:val="bottom"/>
            <w:vMerge w:val="restart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V</w:t>
            </w:r>
          </w:p>
        </w:tc>
        <w:tc>
          <w:tcPr>
            <w:tcW w:w="7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  <w:vMerge w:val="restart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460" w:type="dxa"/>
            <w:vAlign w:val="bottom"/>
            <w:vMerge w:val="restart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00" w:type="dxa"/>
            <w:vAlign w:val="bottom"/>
            <w:gridSpan w:val="2"/>
          </w:tcPr>
          <w:p>
            <w:pPr>
              <w:ind w:left="60"/>
              <w:spacing w:after="0" w:line="9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4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ind w:left="80"/>
              <w:spacing w:after="0" w:line="4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4"/>
                <w:szCs w:val="4"/>
                <w:b w:val="1"/>
                <w:bCs w:val="1"/>
                <w:color w:val="auto"/>
              </w:rPr>
              <w:t>(A)</w:t>
            </w:r>
          </w:p>
        </w:tc>
        <w:tc>
          <w:tcPr>
            <w:tcW w:w="320" w:type="dxa"/>
            <w:vAlign w:val="bottom"/>
          </w:tcPr>
          <w:p>
            <w:pPr>
              <w:spacing w:after="0" w:line="4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4"/>
                <w:szCs w:val="4"/>
                <w:b w:val="1"/>
                <w:bCs w:val="1"/>
                <w:color w:val="auto"/>
              </w:rPr>
              <w:t>(D)</w:t>
            </w:r>
          </w:p>
        </w:tc>
        <w:tc>
          <w:tcPr>
            <w:tcW w:w="82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ind w:left="60"/>
              <w:spacing w:after="0" w:line="4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4"/>
                <w:szCs w:val="4"/>
                <w:b w:val="1"/>
                <w:bCs w:val="1"/>
                <w:color w:val="auto"/>
              </w:rPr>
              <w:t>Title</w:t>
            </w:r>
          </w:p>
        </w:tc>
        <w:tc>
          <w:tcPr>
            <w:tcW w:w="620" w:type="dxa"/>
            <w:vAlign w:val="bottom"/>
          </w:tcPr>
          <w:p>
            <w:pPr>
              <w:ind w:left="40"/>
              <w:spacing w:after="0" w:line="4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4"/>
                <w:szCs w:val="4"/>
                <w:b w:val="1"/>
                <w:bCs w:val="1"/>
                <w:color w:val="auto"/>
              </w:rPr>
              <w:t>Shares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5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ind w:left="80"/>
              <w:spacing w:after="0" w:line="7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8"/>
                <w:szCs w:val="8"/>
                <w:b w:val="1"/>
                <w:bCs w:val="1"/>
                <w:color w:val="auto"/>
              </w:rPr>
              <w:t>Security</w:t>
            </w: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ind w:left="80"/>
              <w:spacing w:after="0" w:line="7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8"/>
                <w:szCs w:val="8"/>
                <w:b w:val="1"/>
                <w:bCs w:val="1"/>
                <w:color w:val="auto"/>
              </w:rPr>
              <w:t>(A) or</w:t>
            </w: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60"/>
              <w:spacing w:after="0" w:line="7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8"/>
                <w:szCs w:val="8"/>
                <w:b w:val="1"/>
                <w:bCs w:val="1"/>
                <w:color w:val="auto"/>
              </w:rPr>
              <w:t>Security (Instr. 3</w:t>
            </w: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ind w:left="20"/>
              <w:spacing w:after="0" w:line="7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8"/>
                <w:szCs w:val="8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60"/>
              <w:spacing w:after="0" w:line="7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8"/>
                <w:szCs w:val="8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500" w:type="dxa"/>
            <w:vAlign w:val="bottom"/>
            <w:gridSpan w:val="3"/>
          </w:tcPr>
          <w:p>
            <w:pPr>
              <w:ind w:left="20"/>
              <w:spacing w:after="0" w:line="15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Explanation of Responses: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4)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40" w:type="dxa"/>
            <w:vAlign w:val="bottom"/>
            <w:gridSpan w:val="4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ind w:left="80"/>
              <w:spacing w:after="0" w:line="9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b w:val="1"/>
                <w:bCs w:val="1"/>
                <w:color w:val="auto"/>
              </w:rPr>
              <w:t>of (D)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40" w:type="dxa"/>
            <w:vAlign w:val="bottom"/>
            <w:gridSpan w:val="4"/>
          </w:tcPr>
          <w:p>
            <w:pPr>
              <w:ind w:left="20"/>
              <w:spacing w:after="0" w:line="9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460" w:type="dxa"/>
            <w:vAlign w:val="bottom"/>
            <w:gridSpan w:val="10"/>
          </w:tcPr>
          <w:p>
            <w:pPr>
              <w:ind w:left="20"/>
              <w:spacing w:after="0" w:line="10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008000"/>
              </w:rPr>
              <w:t>1. This sale was made pursuant to a 10b5-1 plan previously entered into by the reporting person.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940" w:type="dxa"/>
            <w:vAlign w:val="bottom"/>
            <w:gridSpan w:val="4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80"/>
              <w:spacing w:after="0" w:line="3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4"/>
                <w:szCs w:val="4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560" w:type="dxa"/>
            <w:vAlign w:val="bottom"/>
            <w:gridSpan w:val="2"/>
            <w:vMerge w:val="restart"/>
          </w:tcPr>
          <w:p>
            <w:pPr>
              <w:ind w:left="20"/>
              <w:spacing w:after="0" w:line="18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</w:rPr>
              <w:t>Remarks: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840" w:type="dxa"/>
            <w:vAlign w:val="bottom"/>
            <w:gridSpan w:val="6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8000"/>
                <w:w w:val="92"/>
              </w:rPr>
              <w:t>Mr. Oseni is the Company's Head of Administration and Accounts.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40"/>
              <w:spacing w:after="0" w:line="10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340" w:type="dxa"/>
            <w:vAlign w:val="bottom"/>
            <w:gridSpan w:val="7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"/>
                <w:szCs w:val="2"/>
                <w:color w:val="0000FF"/>
              </w:rPr>
              <w:t>/s/ Lazbart Oseni, Attorney-in-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56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78"/>
              </w:rPr>
              <w:t>Expiration</w:t>
            </w:r>
          </w:p>
        </w:tc>
        <w:tc>
          <w:tcPr>
            <w:tcW w:w="20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auto"/>
            </w:tcBorders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76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520" w:type="dxa"/>
            <w:vAlign w:val="bottom"/>
            <w:gridSpan w:val="4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highlight w:val="white"/>
              </w:rPr>
              <w:t>11/24/2009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2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highlight w:val="white"/>
              </w:rPr>
              <w:t>Fact</w:t>
            </w: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000000"/>
                <w:highlight w:val="white"/>
              </w:rPr>
              <w:t>T</w:t>
            </w: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000000"/>
              </w:rPr>
              <w:t>itle</w:t>
            </w:r>
          </w:p>
        </w:tc>
        <w:tc>
          <w:tcPr>
            <w:tcW w:w="620" w:type="dxa"/>
            <w:vAlign w:val="bottom"/>
          </w:tcPr>
          <w:p>
            <w:pPr>
              <w:ind w:left="40"/>
              <w:spacing w:after="0" w:line="8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b w:val="1"/>
                <w:bCs w:val="1"/>
                <w:color w:val="auto"/>
              </w:rPr>
              <w:t>of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52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</w:t>
            </w:r>
          </w:p>
        </w:tc>
        <w:tc>
          <w:tcPr>
            <w:tcW w:w="4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V</w:t>
            </w:r>
          </w:p>
        </w:tc>
        <w:tc>
          <w:tcPr>
            <w:tcW w:w="4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4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60" w:type="dxa"/>
            <w:vAlign w:val="bottom"/>
            <w:tcBorders>
              <w:bottom w:val="single" w:sz="8" w:color="808080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160" w:type="dxa"/>
            <w:vAlign w:val="bottom"/>
            <w:gridSpan w:val="5"/>
          </w:tcPr>
          <w:p>
            <w:pPr>
              <w:ind w:left="100"/>
              <w:spacing w:after="0" w:line="15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** Signature of Reporting Person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5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Date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6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page">
              <wp:posOffset>144780</wp:posOffset>
            </wp:positionH>
            <wp:positionV relativeFrom="page">
              <wp:posOffset>88900</wp:posOffset>
            </wp:positionV>
            <wp:extent cx="7272020" cy="2388235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72020" cy="238823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Reminder: Report on a separate line for each class of securities beneficially owned directly or indirectly.</w:t>
      </w:r>
    </w:p>
    <w:p>
      <w:pPr>
        <w:spacing w:after="0" w:line="28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4"/>
          <w:szCs w:val="14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Instruction 4 (b)(v).</w:t>
      </w:r>
    </w:p>
    <w:p>
      <w:pPr>
        <w:spacing w:after="0" w:line="42" w:lineRule="exact"/>
        <w:rPr>
          <w:sz w:val="20"/>
          <w:szCs w:val="20"/>
          <w:color w:val="auto"/>
        </w:rPr>
      </w:pPr>
    </w:p>
    <w:p>
      <w:pPr>
        <w:jc w:val="both"/>
        <w:ind w:left="40" w:right="3580" w:firstLine="9"/>
        <w:spacing w:after="0" w:line="350" w:lineRule="auto"/>
        <w:tabs>
          <w:tab w:leader="none" w:pos="183" w:val="left"/>
        </w:tabs>
        <w:numPr>
          <w:ilvl w:val="0"/>
          <w:numId w:val="2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420"/>
      </w:cols>
      <w:pgMar w:left="240" w:top="177" w:right="239" w:bottom="1440" w:gutter="0" w:footer="0" w:header="0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4" Type="http://schemas.openxmlformats.org/officeDocument/2006/relationships/image" Target="media/image5.png"/><Relationship Id="rId12" Type="http://schemas.openxmlformats.org/officeDocument/2006/relationships/hyperlink" Target="http://www.sec.gov/cgi-bin/browse-edgar?action=getcompany&amp;CIK=0001373630" TargetMode="External"/><Relationship Id="rId13" Type="http://schemas.openxmlformats.org/officeDocument/2006/relationships/hyperlink" Target="http://www.sec.gov/cgi-bin/browse-edgar?action=getcompany&amp;CIK=0001297989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2019-12-16T15:46:27Z</dcterms:created>
  <dcterms:modified xsi:type="dcterms:W3CDTF">2019-12-16T15:46:27Z</dcterms:modified>
</cp:coreProperties>
</file>