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0082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00824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KELSO DAVID B</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06/17/2016</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4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10017</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0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80" w:type="dxa"/>
            <w:vAlign w:val="bottom"/>
          </w:tcPr>
          <w:p>
            <w:pPr>
              <w:ind w:left="8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of Indirect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Beneficial</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840" w:type="dxa"/>
            <w:vAlign w:val="bottom"/>
            <w:vMerge w:val="restart"/>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8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8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8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2"/>
                <w:szCs w:val="12"/>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ind w:left="80"/>
              <w:spacing w:after="0"/>
              <w:rPr>
                <w:sz w:val="20"/>
                <w:szCs w:val="20"/>
                <w:color w:val="auto"/>
              </w:rPr>
            </w:pPr>
            <w:r>
              <w:rPr>
                <w:rFonts w:ascii="Arial" w:cs="Arial" w:eastAsia="Arial" w:hAnsi="Arial"/>
                <w:sz w:val="14"/>
                <w:szCs w:val="14"/>
                <w:color w:val="0000FF"/>
              </w:rPr>
              <w:t>Common</w:t>
            </w:r>
          </w:p>
        </w:tc>
        <w:tc>
          <w:tcPr>
            <w:tcW w:w="5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740" w:type="dxa"/>
            <w:vAlign w:val="bottom"/>
            <w:vMerge w:val="restart"/>
          </w:tcPr>
          <w:p>
            <w:pPr>
              <w:jc w:val="right"/>
              <w:ind w:right="241"/>
              <w:spacing w:after="0"/>
              <w:rPr>
                <w:sz w:val="20"/>
                <w:szCs w:val="20"/>
                <w:color w:val="auto"/>
              </w:rPr>
            </w:pPr>
            <w:r>
              <w:rPr>
                <w:rFonts w:ascii="Arial" w:cs="Arial" w:eastAsia="Arial" w:hAnsi="Arial"/>
                <w:sz w:val="11"/>
                <w:szCs w:val="11"/>
                <w:color w:val="008000"/>
              </w:rPr>
              <w:t>(2)</w:t>
            </w:r>
          </w:p>
        </w:tc>
        <w:tc>
          <w:tcPr>
            <w:tcW w:w="720" w:type="dxa"/>
            <w:vAlign w:val="bottom"/>
          </w:tcPr>
          <w:p>
            <w:pPr>
              <w:ind w:left="160"/>
              <w:spacing w:after="0" w:line="149" w:lineRule="exact"/>
              <w:rPr>
                <w:sz w:val="20"/>
                <w:szCs w:val="20"/>
                <w:color w:val="auto"/>
              </w:rPr>
            </w:pPr>
            <w:r>
              <w:rPr>
                <w:rFonts w:ascii="Arial" w:cs="Arial" w:eastAsia="Arial" w:hAnsi="Arial"/>
                <w:sz w:val="14"/>
                <w:szCs w:val="14"/>
                <w:color w:val="0000FF"/>
              </w:rPr>
              <w:t>Stock,</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1,946</w:t>
            </w: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12"/>
                <w:szCs w:val="12"/>
                <w:color w:val="auto"/>
              </w:rPr>
            </w:pPr>
          </w:p>
        </w:tc>
        <w:tc>
          <w:tcPr>
            <w:tcW w:w="1140" w:type="dxa"/>
            <w:vAlign w:val="bottom"/>
          </w:tcPr>
          <w:p>
            <w:pPr>
              <w:jc w:val="right"/>
              <w:ind w:right="198"/>
              <w:spacing w:after="0" w:line="149" w:lineRule="exact"/>
              <w:rPr>
                <w:sz w:val="20"/>
                <w:szCs w:val="20"/>
                <w:color w:val="auto"/>
              </w:rPr>
            </w:pPr>
            <w:r>
              <w:rPr>
                <w:rFonts w:ascii="Arial" w:cs="Arial" w:eastAsia="Arial" w:hAnsi="Arial"/>
                <w:sz w:val="14"/>
                <w:szCs w:val="14"/>
                <w:color w:val="0000FF"/>
              </w:rPr>
              <w:t>06/17/2016</w:t>
            </w:r>
          </w:p>
        </w:tc>
        <w:tc>
          <w:tcPr>
            <w:tcW w:w="1140" w:type="dxa"/>
            <w:vAlign w:val="bottom"/>
          </w:tcPr>
          <w:p>
            <w:pPr>
              <w:spacing w:after="0"/>
              <w:rPr>
                <w:sz w:val="12"/>
                <w:szCs w:val="12"/>
                <w:color w:val="auto"/>
              </w:rPr>
            </w:pPr>
          </w:p>
        </w:tc>
        <w:tc>
          <w:tcPr>
            <w:tcW w:w="820" w:type="dxa"/>
            <w:vAlign w:val="bottom"/>
          </w:tcPr>
          <w:p>
            <w:pPr>
              <w:ind w:left="160"/>
              <w:spacing w:after="0" w:line="149" w:lineRule="exact"/>
              <w:rPr>
                <w:sz w:val="20"/>
                <w:szCs w:val="20"/>
                <w:color w:val="auto"/>
              </w:rPr>
            </w:pPr>
            <w:r>
              <w:rPr>
                <w:rFonts w:ascii="Arial" w:cs="Arial" w:eastAsia="Arial" w:hAnsi="Arial"/>
                <w:sz w:val="14"/>
                <w:szCs w:val="14"/>
                <w:color w:val="0000FF"/>
              </w:rPr>
              <w:t>A</w:t>
            </w:r>
          </w:p>
        </w:tc>
        <w:tc>
          <w:tcPr>
            <w:tcW w:w="500" w:type="dxa"/>
            <w:vAlign w:val="bottom"/>
          </w:tcPr>
          <w:p>
            <w:pPr>
              <w:ind w:left="100"/>
              <w:spacing w:after="0" w:line="149" w:lineRule="exact"/>
              <w:rPr>
                <w:sz w:val="20"/>
                <w:szCs w:val="20"/>
                <w:color w:val="auto"/>
              </w:rPr>
            </w:pPr>
            <w:r>
              <w:rPr>
                <w:rFonts w:ascii="Arial" w:cs="Arial" w:eastAsia="Arial" w:hAnsi="Arial"/>
                <w:sz w:val="14"/>
                <w:szCs w:val="14"/>
                <w:color w:val="0000FF"/>
              </w:rPr>
              <w:t>1,946</w:t>
            </w:r>
          </w:p>
        </w:tc>
        <w:tc>
          <w:tcPr>
            <w:tcW w:w="28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720" w:type="dxa"/>
            <w:vAlign w:val="bottom"/>
          </w:tcPr>
          <w:p>
            <w:pPr>
              <w:ind w:left="80"/>
              <w:spacing w:after="0" w:line="149" w:lineRule="exact"/>
              <w:rPr>
                <w:sz w:val="20"/>
                <w:szCs w:val="20"/>
                <w:color w:val="auto"/>
              </w:rPr>
            </w:pPr>
            <w:r>
              <w:rPr>
                <w:rFonts w:ascii="Arial" w:cs="Arial" w:eastAsia="Arial" w:hAnsi="Arial"/>
                <w:sz w:val="14"/>
                <w:szCs w:val="14"/>
                <w:color w:val="0000FF"/>
              </w:rPr>
              <w:t>par value</w:t>
            </w:r>
          </w:p>
        </w:tc>
        <w:tc>
          <w:tcPr>
            <w:tcW w:w="540" w:type="dxa"/>
            <w:vAlign w:val="bottom"/>
            <w:vMerge w:val="continue"/>
          </w:tcPr>
          <w:p>
            <w:pPr>
              <w:spacing w:after="0"/>
              <w:rPr>
                <w:sz w:val="12"/>
                <w:szCs w:val="12"/>
                <w:color w:val="auto"/>
              </w:rPr>
            </w:pPr>
          </w:p>
        </w:tc>
        <w:tc>
          <w:tcPr>
            <w:tcW w:w="72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80" w:type="dxa"/>
            <w:vAlign w:val="bottom"/>
          </w:tcPr>
          <w:p>
            <w:pPr>
              <w:ind w:left="300"/>
              <w:spacing w:after="0" w:line="149" w:lineRule="exact"/>
              <w:rPr>
                <w:sz w:val="20"/>
                <w:szCs w:val="20"/>
                <w:color w:val="auto"/>
              </w:rPr>
            </w:pPr>
            <w:r>
              <w:rPr>
                <w:rFonts w:ascii="Arial" w:cs="Arial" w:eastAsia="Arial" w:hAnsi="Arial"/>
                <w:sz w:val="14"/>
                <w:szCs w:val="14"/>
                <w:color w:val="0000FF"/>
              </w:rPr>
              <w:t>40,007</w:t>
            </w:r>
          </w:p>
        </w:tc>
        <w:tc>
          <w:tcPr>
            <w:tcW w:w="760" w:type="dxa"/>
            <w:vAlign w:val="bottom"/>
          </w:tcPr>
          <w:p>
            <w:pPr>
              <w:ind w:left="340"/>
              <w:spacing w:after="0" w:line="149" w:lineRule="exact"/>
              <w:rPr>
                <w:sz w:val="20"/>
                <w:szCs w:val="20"/>
                <w:color w:val="auto"/>
              </w:rPr>
            </w:pPr>
            <w:r>
              <w:rPr>
                <w:rFonts w:ascii="Arial" w:cs="Arial" w:eastAsia="Arial" w:hAnsi="Arial"/>
                <w:sz w:val="14"/>
                <w:szCs w:val="14"/>
                <w:color w:val="0000FF"/>
              </w:rPr>
              <w:t>D</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ind w:left="140"/>
              <w:spacing w:after="0" w:line="149" w:lineRule="exact"/>
              <w:rPr>
                <w:sz w:val="20"/>
                <w:szCs w:val="20"/>
                <w:color w:val="auto"/>
              </w:rPr>
            </w:pPr>
            <w:r>
              <w:rPr>
                <w:rFonts w:ascii="Arial" w:cs="Arial" w:eastAsia="Arial" w:hAnsi="Arial"/>
                <w:sz w:val="14"/>
                <w:szCs w:val="14"/>
                <w:color w:val="0000FF"/>
              </w:rPr>
              <w:t>$0.001</w:t>
            </w:r>
          </w:p>
        </w:tc>
        <w:tc>
          <w:tcPr>
            <w:tcW w:w="5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ind w:left="80"/>
              <w:spacing w:after="0"/>
              <w:rPr>
                <w:sz w:val="20"/>
                <w:szCs w:val="20"/>
                <w:color w:val="auto"/>
              </w:rPr>
            </w:pPr>
            <w:r>
              <w:rPr>
                <w:rFonts w:ascii="Arial" w:cs="Arial" w:eastAsia="Arial" w:hAnsi="Arial"/>
                <w:sz w:val="14"/>
                <w:szCs w:val="14"/>
                <w:color w:val="0000FF"/>
              </w:rPr>
              <w:t>per share</w:t>
            </w:r>
          </w:p>
        </w:tc>
        <w:tc>
          <w:tcPr>
            <w:tcW w:w="5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Each restricted stock unit represents a contingent right to receive one share of the Company's common stock upon settlement.</w:t>
      </w:r>
    </w:p>
    <w:p>
      <w:pPr>
        <w:spacing w:after="0" w:line="41" w:lineRule="exact"/>
        <w:rPr>
          <w:rFonts w:ascii="Arial" w:cs="Arial" w:eastAsia="Arial" w:hAnsi="Arial"/>
          <w:sz w:val="14"/>
          <w:szCs w:val="14"/>
          <w:color w:val="008000"/>
        </w:rPr>
      </w:pPr>
    </w:p>
    <w:p>
      <w:pPr>
        <w:ind w:left="40" w:right="160" w:firstLine="9"/>
        <w:spacing w:after="0" w:line="230"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restricted stock units vest upon the earlier of (i) the first anniversary of the date of grant, (ii) the date on which the reporting person's term as a member of the Board of Directors of ExlService Holdings, Inc. (the "Board") expires if the reporting person is not subsequently elected to a new term on the Board, and (iii) the occurrence of a "Change in Control", as defined in the ExlService Holdings, Inc. 2015 Amendment and Restatement of the 2006 Omnibus Award Plan (the "Plan"), and such awards settle upon the earlier of (i) the reporting person's death, (ii) the occurrence of a "Change of Control", as defined in the Plan or (iii) the vesting date.</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06/21/2016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87801"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2019-12-23T21:55:39Z</dcterms:created>
  <dcterms:modified xsi:type="dcterms:W3CDTF">2019-12-23T21:55:39Z</dcterms:modified>
</cp:coreProperties>
</file>