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5527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276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Rai Ankor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4"/>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10/22/2022</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76"/>
        <w:spacing w:after="0"/>
        <w:rPr>
          <w:sz w:val="20"/>
          <w:szCs w:val="20"/>
          <w:color w:val="auto"/>
        </w:rPr>
      </w:pPr>
      <w:r>
        <w:rPr>
          <w:rFonts w:ascii="Times New Roman" w:cs="Times New Roman" w:eastAsia="Times New Roman" w:hAnsi="Times New Roman"/>
          <w:sz w:val="17"/>
          <w:szCs w:val="17"/>
          <w:color w:val="0000FF"/>
        </w:rPr>
        <w:t>EVP, Chief Digital Officer</w:t>
      </w:r>
    </w:p>
    <w:p>
      <w:pPr>
        <w:spacing w:after="0" w:line="31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5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10/22/2022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4,567</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vMerge w:val="restart"/>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11,563</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3"/>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10/22/2022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2,337</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164.16</w:t>
            </w:r>
            <w:r>
              <w:rPr>
                <w:rFonts w:ascii="Times New Roman" w:cs="Times New Roman" w:eastAsia="Times New Roman" w:hAnsi="Times New Roman"/>
                <w:sz w:val="21"/>
                <w:szCs w:val="21"/>
                <w:color w:val="008000"/>
                <w:w w:val="90"/>
                <w:vertAlign w:val="superscript"/>
              </w:rPr>
              <w:t>(2)</w:t>
            </w:r>
          </w:p>
        </w:tc>
        <w:tc>
          <w:tcPr>
            <w:tcW w:w="11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9,226</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340" w:type="dxa"/>
            <w:vAlign w:val="bottom"/>
            <w:gridSpan w:val="9"/>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r>
              <w:rPr>
                <w:rFonts w:ascii="Times New Roman" w:cs="Times New Roman" w:eastAsia="Times New Roman" w:hAnsi="Times New Roman"/>
                <w:sz w:val="21"/>
                <w:szCs w:val="21"/>
                <w:color w:val="008000"/>
                <w:vertAlign w:val="superscript"/>
              </w:rPr>
              <w:t>(1)</w:t>
            </w: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Stock,</w:t>
            </w: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10/22/2022</w:t>
            </w:r>
          </w:p>
        </w:tc>
        <w:tc>
          <w:tcPr>
            <w:tcW w:w="1060" w:type="dxa"/>
            <w:vAlign w:val="bottom"/>
          </w:tcPr>
          <w:p>
            <w:pPr>
              <w:spacing w:after="0"/>
              <w:rPr>
                <w:sz w:val="12"/>
                <w:szCs w:val="12"/>
                <w:color w:val="auto"/>
              </w:rPr>
            </w:pPr>
          </w:p>
        </w:tc>
        <w:tc>
          <w:tcPr>
            <w:tcW w:w="44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6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0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October 22,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4"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22, 2019. the reporting person was granted 9,133 restricted stock units, fifty percent of the restricted stock units became vested on October 22, 2021, and the remaining balance of fifty percent of the restricted stock units became vested on October 22, 2022.</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10/25/2022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6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81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2022-10-25T16:16:21Z</dcterms:created>
  <dcterms:modified xsi:type="dcterms:W3CDTF">2022-10-25T16:16:21Z</dcterms:modified>
</cp:coreProperties>
</file>