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154940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Sections 13 or 15(d) of the Securities Exchange Act of 1934</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January 30,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152400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EXLSERVICE HOLDINGS,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142240</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400"/>
          </w:cols>
          <w:pgMar w:left="240" w:top="783" w:right="25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8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1440"/>
        <w:spacing w:after="0"/>
        <w:rPr>
          <w:sz w:val="20"/>
          <w:szCs w:val="20"/>
          <w:color w:val="auto"/>
        </w:rPr>
      </w:pPr>
      <w:r>
        <w:rPr>
          <w:rFonts w:ascii="Arial" w:cs="Arial" w:eastAsia="Arial" w:hAnsi="Arial"/>
          <w:sz w:val="18"/>
          <w:szCs w:val="18"/>
          <w:b w:val="1"/>
          <w:bCs w:val="1"/>
          <w:color w:val="auto"/>
        </w:rPr>
        <w:t>001-33089</w:t>
      </w:r>
    </w:p>
    <w:p>
      <w:pPr>
        <w:spacing w:after="0" w:line="27" w:lineRule="exact"/>
        <w:rPr>
          <w:sz w:val="24"/>
          <w:szCs w:val="24"/>
          <w:color w:val="auto"/>
        </w:rPr>
      </w:pPr>
    </w:p>
    <w:p>
      <w:pPr>
        <w:jc w:val="center"/>
        <w:ind w:right="14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82-0572194</w:t>
      </w:r>
    </w:p>
    <w:p>
      <w:pPr>
        <w:spacing w:after="0" w:line="27" w:lineRule="exact"/>
        <w:rPr>
          <w:sz w:val="24"/>
          <w:szCs w:val="24"/>
          <w:color w:val="auto"/>
        </w:rPr>
      </w:pPr>
    </w:p>
    <w:p>
      <w:pPr>
        <w:jc w:val="center"/>
        <w:ind w:right="11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00" w:space="720"/>
            <w:col w:w="3440" w:space="720"/>
            <w:col w:w="2520"/>
          </w:cols>
          <w:pgMar w:left="240" w:top="783" w:right="259" w:bottom="1440" w:gutter="0" w:footer="0" w:header="0"/>
          <w:type w:val="continuous"/>
        </w:sectPr>
      </w:pPr>
    </w:p>
    <w:p>
      <w:pPr>
        <w:spacing w:after="0" w:line="7"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280 Park Avenue, 38th Floor</w:t>
      </w:r>
    </w:p>
    <w:p>
      <w:pPr>
        <w:spacing w:after="0" w:line="27"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6"/>
          <w:szCs w:val="16"/>
          <w:color w:val="auto"/>
        </w:rPr>
        <w:t>(Address of principal executive offices)</w:t>
      </w:r>
    </w:p>
    <w:p>
      <w:pPr>
        <w:sectPr>
          <w:pgSz w:w="11900" w:h="16838" w:orient="portrait"/>
          <w:cols w:equalWidth="0" w:num="1">
            <w:col w:w="11400"/>
          </w:cols>
          <w:pgMar w:left="240" w:top="783" w:right="259" w:bottom="1440" w:gutter="0" w:footer="0" w:header="0"/>
          <w:type w:val="continuous"/>
        </w:sectPr>
      </w:pPr>
    </w:p>
    <w:p>
      <w:pPr>
        <w:spacing w:after="0" w:line="234" w:lineRule="exact"/>
        <w:rPr>
          <w:sz w:val="24"/>
          <w:szCs w:val="24"/>
          <w:color w:val="auto"/>
        </w:rPr>
      </w:pPr>
    </w:p>
    <w:p>
      <w:pPr>
        <w:ind w:left="3240"/>
        <w:spacing w:after="0"/>
        <w:rPr>
          <w:sz w:val="20"/>
          <w:szCs w:val="20"/>
          <w:color w:val="auto"/>
        </w:rPr>
      </w:pP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(212) 277-7100</w:t>
      </w:r>
    </w:p>
    <w:p>
      <w:pPr>
        <w:spacing w:after="0" w:line="204" w:lineRule="exact"/>
        <w:rPr>
          <w:sz w:val="24"/>
          <w:szCs w:val="24"/>
          <w:color w:val="auto"/>
        </w:rPr>
      </w:pPr>
    </w:p>
    <w:p>
      <w:pPr>
        <w:sectPr>
          <w:pgSz w:w="11900" w:h="16838" w:orient="portrait"/>
          <w:cols w:equalWidth="0" w:num="2">
            <w:col w:w="6980" w:space="80"/>
            <w:col w:w="4340"/>
          </w:cols>
          <w:pgMar w:left="240" w:top="783" w:right="259" w:bottom="1440" w:gutter="0" w:footer="0" w:header="0"/>
          <w:type w:val="continuous"/>
        </w:sectPr>
      </w:pP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157480</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400"/>
          </w:cols>
          <w:pgMar w:left="240" w:top="783" w:right="259" w:bottom="1440" w:gutter="0" w:footer="0" w:header="0"/>
          <w:type w:val="continuous"/>
        </w:sectPr>
      </w:pPr>
    </w:p>
    <w:p>
      <w:pPr>
        <w:spacing w:after="0" w:line="200" w:lineRule="exact"/>
        <w:rPr>
          <w:sz w:val="24"/>
          <w:szCs w:val="24"/>
          <w:color w:val="auto"/>
        </w:rPr>
      </w:pPr>
    </w:p>
    <w:p>
      <w:pPr>
        <w:spacing w:after="0" w:line="290"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or Rule 12b-2 of the Securities Exchange Act of 1934 (§240.12b-2 of this chapter)</w:t>
      </w:r>
    </w:p>
    <w:p>
      <w:pPr>
        <w:spacing w:after="0" w:line="211"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5" w:lineRule="exact"/>
        <w:rPr>
          <w:rFonts w:ascii="MS PGothic" w:cs="MS PGothic" w:eastAsia="MS PGothic" w:hAnsi="MS PGothic"/>
          <w:sz w:val="18"/>
          <w:szCs w:val="18"/>
          <w:color w:val="auto"/>
        </w:rPr>
      </w:pPr>
    </w:p>
    <w:p>
      <w:pPr>
        <w:ind w:left="340" w:hanging="332"/>
        <w:spacing w:after="0" w:line="259" w:lineRule="auto"/>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461645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83" w:right="25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4.01</w:t>
      </w:r>
      <w:r>
        <w:rPr>
          <w:sz w:val="20"/>
          <w:szCs w:val="20"/>
          <w:color w:val="auto"/>
        </w:rPr>
        <w:tab/>
      </w:r>
      <w:r>
        <w:rPr>
          <w:rFonts w:ascii="Arial" w:cs="Arial" w:eastAsia="Arial" w:hAnsi="Arial"/>
          <w:sz w:val="16"/>
          <w:szCs w:val="16"/>
          <w:b w:val="1"/>
          <w:bCs w:val="1"/>
          <w:color w:val="auto"/>
        </w:rPr>
        <w:t>Changes in Registrant’s Certifying Accountant</w:t>
      </w:r>
    </w:p>
    <w:p>
      <w:pPr>
        <w:spacing w:after="0" w:line="229"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The Audit Committee (the “Audit Committee”) of the Board of Directors of ExlService Holdings, Inc. (the “Company”) conducted a competitive process to determine the Company’s independent registered public accounting firm for the Company’s fiscal year ending December 31, 2018.</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Following review of proposals from the independent registered public accounting firms that participated in the process, on January 30, 2018,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 approved:</w:t>
      </w:r>
    </w:p>
    <w:p>
      <w:pPr>
        <w:spacing w:after="0" w:line="211" w:lineRule="exact"/>
        <w:rPr>
          <w:sz w:val="20"/>
          <w:szCs w:val="20"/>
          <w:color w:val="auto"/>
        </w:rPr>
      </w:pPr>
    </w:p>
    <w:p>
      <w:pPr>
        <w:ind w:left="660" w:right="360" w:firstLine="645"/>
        <w:spacing w:after="0" w:line="264" w:lineRule="auto"/>
        <w:tabs>
          <w:tab w:leader="none" w:pos="155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engagement of Deloitte &amp; Touch LLP (“Deloitte”) as the Company’s independent registered public accounting firm for the Company’s fiscal year ending December 31, 2018, subject to completion of Deloitte’s standard client acceptance procedures and execution of an engagement letter, and</w:t>
      </w:r>
    </w:p>
    <w:p>
      <w:pPr>
        <w:spacing w:after="0" w:line="181" w:lineRule="exact"/>
        <w:rPr>
          <w:rFonts w:ascii="Arial" w:cs="Arial" w:eastAsia="Arial" w:hAnsi="Arial"/>
          <w:sz w:val="18"/>
          <w:szCs w:val="18"/>
          <w:color w:val="auto"/>
        </w:rPr>
      </w:pPr>
    </w:p>
    <w:p>
      <w:pPr>
        <w:ind w:left="660" w:right="280" w:firstLine="645"/>
        <w:spacing w:after="0" w:line="308" w:lineRule="auto"/>
        <w:tabs>
          <w:tab w:leader="none" w:pos="1563"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dismissal of Ernst &amp; Young LLP (“EY”) as the Company’s current independent registered public accounting firm following EY’s completion of its audit of the Company’s consolidated financial statements as of and for the fiscal year ended December 31, 2017.</w:t>
      </w:r>
    </w:p>
    <w:p>
      <w:pPr>
        <w:spacing w:after="0" w:line="14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EY’s reports on the Company’s consolidated financial statements as of and for the fiscal years ended December 31, 2015 and 2016 did not contain an adverse opinion or disclaimer of opinion, nor were they qualified or modified as to uncertainty, audit scope, or accounting principles. During the fiscal years ended December 31, 2015 and 2016, and the subsequent interim periods through February 5, 2018, there were: (i) no disagreements within the meaning of Item 304(a)(1)(iv) of Regulation S-K and the related instructions between the Company and EY on any matters of accounting principles or practices, financial statement disclosure, or auditing scope or procedure which, if not resolved to EY’s satisfaction, would have caused EY to make reference thereto in their reports; and (ii) no “reportable events” within the meaning of Item 304(a)(1)(v) of Regulation S-K.</w:t>
      </w:r>
    </w:p>
    <w:p>
      <w:pPr>
        <w:spacing w:after="0" w:line="178"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The Company has requested that EY furnish a letter addressed to the Securities and Exchange Commission stating whether or not it agrees with the statements in the immediately preceding paragraph. A copy of EY’s letter, dated February 5, 2018, is filed as Exhibit 16.1 to this Form 8-K.</w:t>
      </w:r>
    </w:p>
    <w:p>
      <w:pPr>
        <w:spacing w:after="0" w:line="14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During the fiscal years ended December 31, 2015 and 2016 and the subsequent interim periods through February 5, 2018, neither the Company nor anyone on its behalf has consulted with Deloitte regarding: (i) the application of accounting principles to a specific transaction, either completed or proposed, or the type of audit opinion that might be rendered on the Company's financial statements, and neither a written report nor oral advice was provided to the Company that Deloitte concluded was an important factor considered by the Company in reaching a decision as to any accounting, auditing, or financial reporting issue; (ii) any matter that was the subject of a disagreement within the meaning of Item 304(a)(1)(iv) of Regulation S-K and the related instructions; or (iii) any reportable event within the meaning of Item 304(a)(1)(v) of Regulation S-K.</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Exhibit No.</w:t>
            </w:r>
          </w:p>
        </w:tc>
        <w:tc>
          <w:tcPr>
            <w:tcW w:w="420" w:type="dxa"/>
            <w:vAlign w:val="bottom"/>
          </w:tcPr>
          <w:p>
            <w:pPr>
              <w:spacing w:after="0"/>
              <w:rPr>
                <w:sz w:val="18"/>
                <w:szCs w:val="18"/>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9220" w:type="dxa"/>
            <w:vAlign w:val="bottom"/>
            <w:gridSpan w:val="2"/>
          </w:tcPr>
          <w:p>
            <w:pPr>
              <w:spacing w:after="0"/>
              <w:rPr>
                <w:sz w:val="18"/>
                <w:szCs w:val="18"/>
                <w:color w:val="auto"/>
              </w:rPr>
            </w:pPr>
          </w:p>
        </w:tc>
      </w:tr>
      <w:tr>
        <w:trPr>
          <w:trHeight w:val="196"/>
        </w:trPr>
        <w:tc>
          <w:tcPr>
            <w:tcW w:w="880" w:type="dxa"/>
            <w:vAlign w:val="bottom"/>
            <w:gridSpan w:val="2"/>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16.</w:t>
              </w:r>
              <w:r>
                <w:rPr>
                  <w:rFonts w:ascii="Arial" w:cs="Arial" w:eastAsia="Arial" w:hAnsi="Arial"/>
                  <w:sz w:val="18"/>
                  <w:szCs w:val="18"/>
                  <w:u w:val="single" w:color="auto"/>
                  <w:color w:val="0000EE"/>
                </w:rPr>
                <w:t>1</w:t>
              </w:r>
            </w:hyperlink>
          </w:p>
        </w:tc>
        <w:tc>
          <w:tcPr>
            <w:tcW w:w="420" w:type="dxa"/>
            <w:vAlign w:val="bottom"/>
          </w:tcPr>
          <w:p>
            <w:pPr>
              <w:spacing w:after="0"/>
              <w:rPr>
                <w:sz w:val="17"/>
                <w:szCs w:val="17"/>
                <w:color w:val="auto"/>
              </w:rPr>
            </w:pPr>
          </w:p>
        </w:tc>
        <w:tc>
          <w:tcPr>
            <w:tcW w:w="10120" w:type="dxa"/>
            <w:vAlign w:val="bottom"/>
            <w:gridSpan w:val="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Letter from Ernst &amp; Young LLP</w:t>
              </w:r>
            </w:hyperlink>
          </w:p>
        </w:tc>
      </w:tr>
      <w:tr>
        <w:trPr>
          <w:trHeight w:val="480"/>
        </w:trPr>
        <w:tc>
          <w:tcPr>
            <w:tcW w:w="320" w:type="dxa"/>
            <w:vAlign w:val="bottom"/>
            <w:tcBorders>
              <w:top w:val="single" w:sz="8" w:color="0000EE"/>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top w:val="single" w:sz="8" w:color="0000EE"/>
              <w:bottom w:val="single" w:sz="8" w:color="auto"/>
            </w:tcBorders>
          </w:tcPr>
          <w:p>
            <w:pPr>
              <w:spacing w:after="0"/>
              <w:rPr>
                <w:sz w:val="24"/>
                <w:szCs w:val="24"/>
                <w:color w:val="auto"/>
              </w:rPr>
            </w:pPr>
          </w:p>
        </w:tc>
        <w:tc>
          <w:tcPr>
            <w:tcW w:w="1420" w:type="dxa"/>
            <w:vAlign w:val="bottom"/>
            <w:tcBorders>
              <w:top w:val="single" w:sz="8" w:color="0000EE"/>
              <w:bottom w:val="single" w:sz="8" w:color="auto"/>
            </w:tcBorders>
          </w:tcPr>
          <w:p>
            <w:pPr>
              <w:spacing w:after="0"/>
              <w:rPr>
                <w:sz w:val="24"/>
                <w:szCs w:val="24"/>
                <w:color w:val="auto"/>
              </w:rPr>
            </w:pPr>
          </w:p>
        </w:tc>
        <w:tc>
          <w:tcPr>
            <w:tcW w:w="7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7080"/>
        <w:spacing w:after="0"/>
        <w:rPr>
          <w:sz w:val="20"/>
          <w:szCs w:val="20"/>
          <w:color w:val="auto"/>
        </w:rPr>
      </w:pPr>
      <w:r>
        <w:rPr>
          <w:rFonts w:ascii="Arial" w:cs="Arial" w:eastAsia="Arial" w:hAnsi="Arial"/>
          <w:sz w:val="18"/>
          <w:szCs w:val="18"/>
          <w:b w:val="1"/>
          <w:bCs w:val="1"/>
          <w:color w:val="auto"/>
        </w:rPr>
        <w:t>EXLSERVICE HOLDINGS, INC.</w:t>
      </w:r>
    </w:p>
    <w:p>
      <w:pPr>
        <w:spacing w:after="0" w:line="229" w:lineRule="exact"/>
        <w:rPr>
          <w:sz w:val="20"/>
          <w:szCs w:val="20"/>
          <w:color w:val="auto"/>
        </w:rPr>
      </w:pPr>
    </w:p>
    <w:p>
      <w:pPr>
        <w:spacing w:after="0"/>
        <w:tabs>
          <w:tab w:leader="none" w:pos="7060" w:val="left"/>
        </w:tabs>
        <w:rPr>
          <w:sz w:val="20"/>
          <w:szCs w:val="20"/>
          <w:color w:val="auto"/>
        </w:rPr>
      </w:pPr>
      <w:r>
        <w:rPr>
          <w:rFonts w:ascii="Arial" w:cs="Arial" w:eastAsia="Arial" w:hAnsi="Arial"/>
          <w:sz w:val="18"/>
          <w:szCs w:val="18"/>
          <w:color w:val="auto"/>
        </w:rPr>
        <w:t>Date: February 5, 2018</w:t>
      </w:r>
      <w:r>
        <w:rPr>
          <w:sz w:val="20"/>
          <w:szCs w:val="20"/>
          <w:color w:val="auto"/>
        </w:rPr>
        <w:tab/>
      </w:r>
      <w:r>
        <w:rPr>
          <w:rFonts w:ascii="Arial" w:cs="Arial" w:eastAsia="Arial" w:hAnsi="Arial"/>
          <w:sz w:val="18"/>
          <w:szCs w:val="18"/>
          <w:color w:val="auto"/>
        </w:rPr>
        <w:t>By: /S/ NANCY SALTZMAN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1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Name: Nancy Saltzman</w:t>
      </w:r>
    </w:p>
    <w:p>
      <w:pPr>
        <w:spacing w:after="0" w:line="225" w:lineRule="exact"/>
        <w:rPr>
          <w:sz w:val="20"/>
          <w:szCs w:val="20"/>
          <w:color w:val="auto"/>
        </w:rPr>
      </w:pPr>
    </w:p>
    <w:p>
      <w:pPr>
        <w:jc w:val="both"/>
        <w:ind w:left="7440"/>
        <w:spacing w:after="0"/>
        <w:tabs>
          <w:tab w:leader="none" w:pos="7980" w:val="left"/>
        </w:tabs>
        <w:rPr>
          <w:sz w:val="20"/>
          <w:szCs w:val="20"/>
          <w:color w:val="auto"/>
        </w:rPr>
      </w:pPr>
      <w:r>
        <w:rPr>
          <w:rFonts w:ascii="Arial" w:cs="Arial" w:eastAsia="Arial" w:hAnsi="Arial"/>
          <w:sz w:val="18"/>
          <w:szCs w:val="18"/>
          <w:color w:val="auto"/>
        </w:rPr>
        <w:t>Title:</w:t>
        <w:tab/>
        <w:t>Executive Vice President, General Counsel and</w:t>
      </w:r>
    </w:p>
    <w:p>
      <w:pPr>
        <w:spacing w:after="0" w:line="2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Exhibit No.</w:t>
            </w:r>
          </w:p>
        </w:tc>
        <w:tc>
          <w:tcPr>
            <w:tcW w:w="420" w:type="dxa"/>
            <w:vAlign w:val="bottom"/>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9220" w:type="dxa"/>
            <w:vAlign w:val="bottom"/>
            <w:gridSpan w:val="2"/>
          </w:tcPr>
          <w:p>
            <w:pPr>
              <w:spacing w:after="0"/>
              <w:rPr>
                <w:sz w:val="17"/>
                <w:szCs w:val="17"/>
                <w:color w:val="auto"/>
              </w:rPr>
            </w:pPr>
          </w:p>
        </w:tc>
      </w:tr>
      <w:tr>
        <w:trPr>
          <w:trHeight w:val="196"/>
        </w:trPr>
        <w:tc>
          <w:tcPr>
            <w:tcW w:w="880" w:type="dxa"/>
            <w:vAlign w:val="bottom"/>
            <w:gridSpan w:val="2"/>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16.</w:t>
              </w:r>
              <w:r>
                <w:rPr>
                  <w:rFonts w:ascii="Arial" w:cs="Arial" w:eastAsia="Arial" w:hAnsi="Arial"/>
                  <w:sz w:val="18"/>
                  <w:szCs w:val="18"/>
                  <w:u w:val="single" w:color="auto"/>
                  <w:color w:val="0000EE"/>
                </w:rPr>
                <w:t>1</w:t>
              </w:r>
            </w:hyperlink>
          </w:p>
        </w:tc>
        <w:tc>
          <w:tcPr>
            <w:tcW w:w="420" w:type="dxa"/>
            <w:vAlign w:val="bottom"/>
          </w:tcPr>
          <w:p>
            <w:pPr>
              <w:spacing w:after="0"/>
              <w:rPr>
                <w:sz w:val="17"/>
                <w:szCs w:val="17"/>
                <w:color w:val="auto"/>
              </w:rPr>
            </w:pPr>
          </w:p>
        </w:tc>
        <w:tc>
          <w:tcPr>
            <w:tcW w:w="10120" w:type="dxa"/>
            <w:vAlign w:val="bottom"/>
            <w:gridSpan w:val="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Letter from Ernst &amp; Young LLP</w:t>
              </w:r>
            </w:hyperlink>
          </w:p>
        </w:tc>
      </w:tr>
      <w:tr>
        <w:trPr>
          <w:trHeight w:val="507"/>
        </w:trPr>
        <w:tc>
          <w:tcPr>
            <w:tcW w:w="320" w:type="dxa"/>
            <w:vAlign w:val="bottom"/>
            <w:tcBorders>
              <w:top w:val="single" w:sz="8" w:color="0000EE"/>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top w:val="single" w:sz="8" w:color="0000EE"/>
              <w:bottom w:val="single" w:sz="8" w:color="auto"/>
            </w:tcBorders>
          </w:tcPr>
          <w:p>
            <w:pPr>
              <w:spacing w:after="0"/>
              <w:rPr>
                <w:sz w:val="24"/>
                <w:szCs w:val="24"/>
                <w:color w:val="auto"/>
              </w:rPr>
            </w:pPr>
          </w:p>
        </w:tc>
        <w:tc>
          <w:tcPr>
            <w:tcW w:w="1420" w:type="dxa"/>
            <w:vAlign w:val="bottom"/>
            <w:tcBorders>
              <w:top w:val="single" w:sz="8" w:color="0000EE"/>
              <w:bottom w:val="single" w:sz="8" w:color="auto"/>
            </w:tcBorders>
          </w:tcPr>
          <w:p>
            <w:pPr>
              <w:spacing w:after="0"/>
              <w:rPr>
                <w:sz w:val="24"/>
                <w:szCs w:val="24"/>
                <w:color w:val="auto"/>
              </w:rPr>
            </w:pPr>
          </w:p>
        </w:tc>
        <w:tc>
          <w:tcPr>
            <w:tcW w:w="7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16.1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February 5,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20549-7561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&amp; Gentlemen:</w:t>
      </w:r>
    </w:p>
    <w:p>
      <w:pPr>
        <w:spacing w:after="0" w:line="225"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We have read Item 4.01 of the Current Report on Form 8-K filed February 5, 2018 of ExlService Holdings, Inc. and are in agreement with the statements contained in paragraphs 2(b) and 3 therein. We have no basis on which to agree or disagree with other statements of the registrant contained therein.</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Yours truly,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461010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2019-12-29T01:23:13Z</dcterms:created>
  <dcterms:modified xsi:type="dcterms:W3CDTF">2019-12-29T01:23:13Z</dcterms:modified>
</cp:coreProperties>
</file>