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Kini Narasimha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01/30/2023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EVP, Emerging Bus Unit Leader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46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55"/>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6"/>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3"/>
            <w:vMerge w:val="restart"/>
          </w:tcPr>
          <w:p>
            <w:pPr>
              <w:ind w:left="480"/>
              <w:spacing w:after="0"/>
              <w:rPr>
                <w:sz w:val="20"/>
                <w:szCs w:val="20"/>
                <w:color w:val="auto"/>
              </w:rPr>
            </w:pPr>
            <w:r>
              <w:rPr>
                <w:rFonts w:ascii="Arial" w:cs="Arial" w:eastAsia="Arial" w:hAnsi="Arial"/>
                <w:sz w:val="17"/>
                <w:szCs w:val="17"/>
                <w:color w:val="0000FF"/>
              </w:rPr>
              <w:t>01/30/2023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3,525</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30,930</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3"/>
            <w:vMerge w:val="restart"/>
          </w:tcPr>
          <w:p>
            <w:pPr>
              <w:ind w:left="480"/>
              <w:spacing w:after="0"/>
              <w:rPr>
                <w:sz w:val="20"/>
                <w:szCs w:val="20"/>
                <w:color w:val="auto"/>
              </w:rPr>
            </w:pPr>
            <w:r>
              <w:rPr>
                <w:rFonts w:ascii="Arial" w:cs="Arial" w:eastAsia="Arial" w:hAnsi="Arial"/>
                <w:sz w:val="17"/>
                <w:szCs w:val="17"/>
                <w:color w:val="0000FF"/>
              </w:rPr>
              <w:t>01/30/2023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212"/>
              <w:spacing w:after="0"/>
              <w:rPr>
                <w:sz w:val="20"/>
                <w:szCs w:val="20"/>
                <w:color w:val="auto"/>
              </w:rPr>
            </w:pPr>
            <w:r>
              <w:rPr>
                <w:rFonts w:ascii="Arial" w:cs="Arial" w:eastAsia="Arial" w:hAnsi="Arial"/>
                <w:sz w:val="17"/>
                <w:szCs w:val="17"/>
                <w:color w:val="0000FF"/>
              </w:rPr>
              <w:t>735</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170.01</w:t>
            </w:r>
            <w:r>
              <w:rPr>
                <w:rFonts w:ascii="Arial" w:cs="Arial" w:eastAsia="Arial" w:hAnsi="Arial"/>
                <w:sz w:val="22"/>
                <w:szCs w:val="22"/>
                <w:color w:val="008000"/>
                <w:w w:val="93"/>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30,195</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2020. Such shares of Common Stock were deemed earned on January 30, 2023 based on the Compensation Committee of the Board of Directors administering the award certifying the achievement of performance targets applicable to the PRSUs for the performance period ending on December 31, 2022.</w:t>
      </w:r>
    </w:p>
    <w:p>
      <w:pPr>
        <w:spacing w:after="0" w:line="8" w:lineRule="exact"/>
        <w:rPr>
          <w:rFonts w:ascii="Arial" w:cs="Arial" w:eastAsia="Arial" w:hAnsi="Arial"/>
          <w:sz w:val="12"/>
          <w:szCs w:val="12"/>
          <w:color w:val="008000"/>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2023-02-01T16:28:14Z</dcterms:created>
  <dcterms:modified xsi:type="dcterms:W3CDTF">2023-02-01T16:28:14Z</dcterms:modified>
</cp:coreProperties>
</file>