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WASHINGTON, D.C. 20549</w:t>
      </w:r>
    </w:p>
    <w:p>
      <w:pPr>
        <w:spacing w:after="0" w:line="261" w:lineRule="exact"/>
        <w:rPr>
          <w:sz w:val="24"/>
          <w:szCs w:val="24"/>
          <w:color w:val="auto"/>
        </w:rPr>
      </w:pPr>
    </w:p>
    <w:p>
      <w:pPr>
        <w:ind w:left="5280"/>
        <w:spacing w:after="0"/>
        <w:rPr>
          <w:sz w:val="20"/>
          <w:szCs w:val="20"/>
          <w:color w:val="auto"/>
        </w:rPr>
      </w:pPr>
      <w:r>
        <w:rPr>
          <w:rFonts w:ascii="Arial" w:cs="Arial" w:eastAsia="Arial" w:hAnsi="Arial"/>
          <w:sz w:val="18"/>
          <w:szCs w:val="18"/>
          <w:b w:val="1"/>
          <w:bCs w:val="1"/>
          <w:color w:val="auto"/>
        </w:rPr>
        <w:t>FORM 8-K</w:t>
      </w:r>
    </w:p>
    <w:p>
      <w:pPr>
        <w:spacing w:after="0" w:line="279" w:lineRule="exact"/>
        <w:rPr>
          <w:sz w:val="24"/>
          <w:szCs w:val="24"/>
          <w:color w:val="auto"/>
        </w:rPr>
      </w:pPr>
    </w:p>
    <w:p>
      <w:pPr>
        <w:ind w:left="4880"/>
        <w:spacing w:after="0"/>
        <w:rPr>
          <w:sz w:val="20"/>
          <w:szCs w:val="20"/>
          <w:color w:val="auto"/>
        </w:rPr>
      </w:pPr>
      <w:r>
        <w:rPr>
          <w:rFonts w:ascii="Arial" w:cs="Arial" w:eastAsia="Arial" w:hAnsi="Arial"/>
          <w:sz w:val="18"/>
          <w:szCs w:val="18"/>
          <w:b w:val="1"/>
          <w:bCs w:val="1"/>
          <w:color w:val="auto"/>
        </w:rPr>
        <w:t>CURRENT REPORT</w:t>
      </w:r>
    </w:p>
    <w:p>
      <w:pPr>
        <w:spacing w:after="0" w:line="279"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Pursuant to Sections 13 or 15(d) of the</w:t>
      </w:r>
    </w:p>
    <w:p>
      <w:pPr>
        <w:spacing w:after="0" w:line="27"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Securities Exchange Act of 1934</w:t>
      </w:r>
    </w:p>
    <w:p>
      <w:pPr>
        <w:spacing w:after="0" w:line="265" w:lineRule="exact"/>
        <w:rPr>
          <w:sz w:val="24"/>
          <w:szCs w:val="24"/>
          <w:color w:val="auto"/>
        </w:rPr>
      </w:pPr>
    </w:p>
    <w:p>
      <w:pPr>
        <w:ind w:left="3440"/>
        <w:spacing w:after="0"/>
        <w:rPr>
          <w:sz w:val="20"/>
          <w:szCs w:val="20"/>
          <w:color w:val="auto"/>
        </w:rPr>
      </w:pPr>
      <w:r>
        <w:rPr>
          <w:rFonts w:ascii="Arial" w:cs="Arial" w:eastAsia="Arial" w:hAnsi="Arial"/>
          <w:sz w:val="18"/>
          <w:szCs w:val="18"/>
          <w:color w:val="auto"/>
        </w:rPr>
        <w:t>Date of Report (Date of earliest event reported): June 14, 2013</w:t>
      </w:r>
    </w:p>
    <w:p>
      <w:pPr>
        <w:spacing w:after="0" w:line="275"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4"/>
          <w:szCs w:val="24"/>
          <w:color w:val="auto"/>
        </w:rPr>
      </w:pPr>
    </w:p>
    <w:p>
      <w:pPr>
        <w:jc w:val="center"/>
        <w:ind w:right="-55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331" w:lineRule="exact"/>
        <w:rPr>
          <w:sz w:val="24"/>
          <w:szCs w:val="24"/>
          <w:color w:val="auto"/>
        </w:rPr>
      </w:pPr>
    </w:p>
    <w:tbl>
      <w:tblPr>
        <w:tblLayout w:type="fixed"/>
        <w:tblInd w:w="960" w:type="dxa"/>
        <w:tblCellMar>
          <w:top w:w="0" w:type="dxa"/>
          <w:left w:w="0" w:type="dxa"/>
          <w:bottom w:w="0" w:type="dxa"/>
          <w:right w:w="0" w:type="dxa"/>
        </w:tblCellMar>
      </w:tblPr>
      <w:tr>
        <w:trPr>
          <w:trHeight w:val="220"/>
        </w:trPr>
        <w:tc>
          <w:tcPr>
            <w:tcW w:w="2820" w:type="dxa"/>
            <w:vAlign w:val="bottom"/>
          </w:tcPr>
          <w:p>
            <w:pPr>
              <w:jc w:val="center"/>
              <w:ind w:right="850"/>
              <w:spacing w:after="0"/>
              <w:rPr>
                <w:sz w:val="20"/>
                <w:szCs w:val="20"/>
                <w:color w:val="auto"/>
              </w:rPr>
            </w:pPr>
            <w:r>
              <w:rPr>
                <w:rFonts w:ascii="Arial" w:cs="Arial" w:eastAsia="Arial" w:hAnsi="Arial"/>
                <w:sz w:val="18"/>
                <w:szCs w:val="18"/>
                <w:b w:val="1"/>
                <w:bCs w:val="1"/>
                <w:color w:val="auto"/>
                <w:w w:val="91"/>
              </w:rPr>
              <w:t>Delaware</w:t>
            </w:r>
          </w:p>
        </w:tc>
        <w:tc>
          <w:tcPr>
            <w:tcW w:w="4000" w:type="dxa"/>
            <w:vAlign w:val="bottom"/>
          </w:tcPr>
          <w:p>
            <w:pPr>
              <w:jc w:val="right"/>
              <w:ind w:right="1590"/>
              <w:spacing w:after="0"/>
              <w:rPr>
                <w:sz w:val="20"/>
                <w:szCs w:val="20"/>
                <w:color w:val="auto"/>
              </w:rPr>
            </w:pPr>
            <w:r>
              <w:rPr>
                <w:rFonts w:ascii="Arial" w:cs="Arial" w:eastAsia="Arial" w:hAnsi="Arial"/>
                <w:sz w:val="18"/>
                <w:szCs w:val="18"/>
                <w:b w:val="1"/>
                <w:bCs w:val="1"/>
                <w:color w:val="auto"/>
              </w:rPr>
              <w:t>001-33089</w:t>
            </w:r>
          </w:p>
        </w:tc>
        <w:tc>
          <w:tcPr>
            <w:tcW w:w="2400" w:type="dxa"/>
            <w:vAlign w:val="bottom"/>
          </w:tcPr>
          <w:p>
            <w:pPr>
              <w:jc w:val="center"/>
              <w:ind w:left="990"/>
              <w:spacing w:after="0"/>
              <w:rPr>
                <w:sz w:val="20"/>
                <w:szCs w:val="20"/>
                <w:color w:val="auto"/>
              </w:rPr>
            </w:pPr>
            <w:r>
              <w:rPr>
                <w:rFonts w:ascii="Arial" w:cs="Arial" w:eastAsia="Arial" w:hAnsi="Arial"/>
                <w:sz w:val="18"/>
                <w:szCs w:val="18"/>
                <w:b w:val="1"/>
                <w:bCs w:val="1"/>
                <w:color w:val="auto"/>
                <w:w w:val="91"/>
              </w:rPr>
              <w:t>82-0572194</w:t>
            </w:r>
          </w:p>
        </w:tc>
      </w:tr>
      <w:tr>
        <w:trPr>
          <w:trHeight w:val="216"/>
        </w:trPr>
        <w:tc>
          <w:tcPr>
            <w:tcW w:w="2820" w:type="dxa"/>
            <w:vAlign w:val="bottom"/>
          </w:tcPr>
          <w:p>
            <w:pPr>
              <w:jc w:val="center"/>
              <w:ind w:right="830"/>
              <w:spacing w:after="0"/>
              <w:rPr>
                <w:sz w:val="20"/>
                <w:szCs w:val="20"/>
                <w:color w:val="auto"/>
              </w:rPr>
            </w:pPr>
            <w:r>
              <w:rPr>
                <w:rFonts w:ascii="Arial" w:cs="Arial" w:eastAsia="Arial" w:hAnsi="Arial"/>
                <w:sz w:val="18"/>
                <w:szCs w:val="18"/>
                <w:color w:val="auto"/>
                <w:w w:val="92"/>
              </w:rPr>
              <w:t>(State or other jurisdiction</w:t>
            </w:r>
          </w:p>
        </w:tc>
        <w:tc>
          <w:tcPr>
            <w:tcW w:w="4000" w:type="dxa"/>
            <w:vAlign w:val="bottom"/>
          </w:tcPr>
          <w:p>
            <w:pPr>
              <w:jc w:val="center"/>
              <w:ind w:right="50"/>
              <w:spacing w:after="0"/>
              <w:rPr>
                <w:sz w:val="20"/>
                <w:szCs w:val="20"/>
                <w:color w:val="auto"/>
              </w:rPr>
            </w:pPr>
            <w:r>
              <w:rPr>
                <w:rFonts w:ascii="Arial" w:cs="Arial" w:eastAsia="Arial" w:hAnsi="Arial"/>
                <w:sz w:val="18"/>
                <w:szCs w:val="18"/>
                <w:color w:val="auto"/>
                <w:w w:val="92"/>
              </w:rPr>
              <w:t>(Commission File Number)</w:t>
            </w:r>
          </w:p>
        </w:tc>
        <w:tc>
          <w:tcPr>
            <w:tcW w:w="2400" w:type="dxa"/>
            <w:vAlign w:val="bottom"/>
          </w:tcPr>
          <w:p>
            <w:pPr>
              <w:jc w:val="center"/>
              <w:ind w:left="990"/>
              <w:spacing w:after="0"/>
              <w:rPr>
                <w:sz w:val="20"/>
                <w:szCs w:val="20"/>
                <w:color w:val="auto"/>
              </w:rPr>
            </w:pPr>
            <w:r>
              <w:rPr>
                <w:rFonts w:ascii="Arial" w:cs="Arial" w:eastAsia="Arial" w:hAnsi="Arial"/>
                <w:sz w:val="18"/>
                <w:szCs w:val="18"/>
                <w:color w:val="auto"/>
                <w:w w:val="93"/>
              </w:rPr>
              <w:t>(I.R.S. Employer</w:t>
            </w:r>
          </w:p>
        </w:tc>
      </w:tr>
      <w:tr>
        <w:trPr>
          <w:trHeight w:val="230"/>
        </w:trPr>
        <w:tc>
          <w:tcPr>
            <w:tcW w:w="2820" w:type="dxa"/>
            <w:vAlign w:val="bottom"/>
          </w:tcPr>
          <w:p>
            <w:pPr>
              <w:jc w:val="center"/>
              <w:ind w:right="830"/>
              <w:spacing w:after="0"/>
              <w:rPr>
                <w:sz w:val="20"/>
                <w:szCs w:val="20"/>
                <w:color w:val="auto"/>
              </w:rPr>
            </w:pPr>
            <w:r>
              <w:rPr>
                <w:rFonts w:ascii="Arial" w:cs="Arial" w:eastAsia="Arial" w:hAnsi="Arial"/>
                <w:sz w:val="18"/>
                <w:szCs w:val="18"/>
                <w:color w:val="auto"/>
                <w:w w:val="93"/>
              </w:rPr>
              <w:t>of incorporation)</w:t>
            </w:r>
          </w:p>
        </w:tc>
        <w:tc>
          <w:tcPr>
            <w:tcW w:w="4000" w:type="dxa"/>
            <w:vAlign w:val="bottom"/>
          </w:tcPr>
          <w:p>
            <w:pPr>
              <w:spacing w:after="0"/>
              <w:rPr>
                <w:sz w:val="20"/>
                <w:szCs w:val="20"/>
                <w:color w:val="auto"/>
              </w:rPr>
            </w:pPr>
          </w:p>
        </w:tc>
        <w:tc>
          <w:tcPr>
            <w:tcW w:w="2400" w:type="dxa"/>
            <w:vAlign w:val="bottom"/>
          </w:tcPr>
          <w:p>
            <w:pPr>
              <w:jc w:val="center"/>
              <w:ind w:left="970"/>
              <w:spacing w:after="0"/>
              <w:rPr>
                <w:sz w:val="20"/>
                <w:szCs w:val="20"/>
                <w:color w:val="auto"/>
              </w:rPr>
            </w:pPr>
            <w:r>
              <w:rPr>
                <w:rFonts w:ascii="Arial" w:cs="Arial" w:eastAsia="Arial" w:hAnsi="Arial"/>
                <w:sz w:val="18"/>
                <w:szCs w:val="18"/>
                <w:color w:val="auto"/>
                <w:w w:val="95"/>
              </w:rPr>
              <w:t>Identification No.)</w:t>
            </w:r>
          </w:p>
        </w:tc>
      </w:tr>
    </w:tbl>
    <w:p>
      <w:pPr>
        <w:spacing w:after="0" w:line="200" w:lineRule="exact"/>
        <w:rPr>
          <w:sz w:val="24"/>
          <w:szCs w:val="24"/>
          <w:color w:val="auto"/>
        </w:rPr>
      </w:pPr>
    </w:p>
    <w:p>
      <w:pPr>
        <w:spacing w:after="0" w:line="322"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280 Park Avenue, 38th Floor</w:t>
      </w:r>
    </w:p>
    <w:p>
      <w:pPr>
        <w:spacing w:after="0" w:line="27"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New York, New York 10017</w:t>
      </w:r>
    </w:p>
    <w:p>
      <w:pPr>
        <w:spacing w:after="0" w:line="9" w:lineRule="exact"/>
        <w:rPr>
          <w:sz w:val="24"/>
          <w:szCs w:val="24"/>
          <w:color w:val="auto"/>
        </w:rPr>
      </w:pPr>
    </w:p>
    <w:p>
      <w:pPr>
        <w:jc w:val="center"/>
        <w:ind w:right="-539"/>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4"/>
          <w:szCs w:val="24"/>
          <w:color w:val="auto"/>
        </w:rPr>
      </w:pPr>
    </w:p>
    <w:p>
      <w:pPr>
        <w:spacing w:after="0" w:line="331" w:lineRule="exact"/>
        <w:rPr>
          <w:sz w:val="24"/>
          <w:szCs w:val="24"/>
          <w:color w:val="auto"/>
        </w:rPr>
      </w:pPr>
    </w:p>
    <w:p>
      <w:pPr>
        <w:ind w:left="32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277-7100</w:t>
      </w:r>
    </w:p>
    <w:p>
      <w:pPr>
        <w:spacing w:after="0" w:line="279"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559"/>
        <w:spacing w:after="0"/>
        <w:rPr>
          <w:sz w:val="20"/>
          <w:szCs w:val="20"/>
          <w:color w:val="auto"/>
        </w:rPr>
      </w:pPr>
      <w:r>
        <w:rPr>
          <w:rFonts w:ascii="Arial" w:cs="Arial" w:eastAsia="Arial" w:hAnsi="Arial"/>
          <w:sz w:val="18"/>
          <w:szCs w:val="18"/>
          <w:color w:val="auto"/>
        </w:rPr>
        <w:t>(Former name or address, if changed since last report)</w:t>
      </w:r>
    </w:p>
    <w:p>
      <w:pPr>
        <w:spacing w:after="0" w:line="26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obligation of the registrant under any of the following provisions:</w:t>
      </w:r>
    </w:p>
    <w:p>
      <w:pPr>
        <w:spacing w:after="0" w:line="224" w:lineRule="exact"/>
        <w:rPr>
          <w:sz w:val="24"/>
          <w:szCs w:val="24"/>
          <w:color w:val="auto"/>
        </w:rPr>
      </w:pPr>
    </w:p>
    <w:p>
      <w:pPr>
        <w:ind w:left="500" w:hanging="492"/>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279" w:lineRule="exact"/>
        <w:rPr>
          <w:rFonts w:ascii="Arial" w:cs="Arial" w:eastAsia="Arial" w:hAnsi="Arial"/>
          <w:sz w:val="18"/>
          <w:szCs w:val="18"/>
          <w:color w:val="auto"/>
        </w:rPr>
      </w:pPr>
    </w:p>
    <w:p>
      <w:pPr>
        <w:ind w:left="500" w:hanging="492"/>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79" w:lineRule="exact"/>
        <w:rPr>
          <w:rFonts w:ascii="Arial" w:cs="Arial" w:eastAsia="Arial" w:hAnsi="Arial"/>
          <w:sz w:val="18"/>
          <w:szCs w:val="18"/>
          <w:color w:val="auto"/>
        </w:rPr>
      </w:pPr>
    </w:p>
    <w:p>
      <w:pPr>
        <w:ind w:left="500" w:hanging="492"/>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79" w:lineRule="exact"/>
        <w:rPr>
          <w:rFonts w:ascii="Arial" w:cs="Arial" w:eastAsia="Arial" w:hAnsi="Arial"/>
          <w:sz w:val="18"/>
          <w:szCs w:val="18"/>
          <w:color w:val="auto"/>
        </w:rPr>
      </w:pPr>
    </w:p>
    <w:p>
      <w:pPr>
        <w:ind w:left="500" w:hanging="492"/>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638810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310" w:right="799" w:bottom="1440" w:gutter="0" w:footer="0" w:header="0"/>
        </w:sectPr>
      </w:pPr>
    </w:p>
    <w:bookmarkStart w:id="1" w:name="page2"/>
    <w:bookmarkEnd w:id="1"/>
    <w:p>
      <w:pPr>
        <w:spacing w:after="0"/>
        <w:tabs>
          <w:tab w:leader="none" w:pos="94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On June 14, 2013, ExlService Holdings, Inc. (the “Company”) held its annual meeting of stockholders. At the meeting, stockholders voted on the following items: (1) the election of two Class I members of the Board of Directors of the Company, (2) the ratification of the selection of Ernst &amp; Young LLP as the independent registered public accounting firm of the Company for fiscal year 2013 and (3) the approval of the compensation of the named executive officers of the Company.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Each of the two nominees for election to the Board of Directors was duly elected to serve as a director until the annual meeting of stockholders in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2016 or until his or her successor is duly elected and qualified in accordance with the by-laws of the Company. The final results of the voting were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80" w:type="dxa"/>
            <w:vAlign w:val="bottom"/>
            <w:gridSpan w:val="2"/>
          </w:tcPr>
          <w:p>
            <w:pPr>
              <w:spacing w:after="0"/>
              <w:rPr>
                <w:sz w:val="20"/>
                <w:szCs w:val="20"/>
                <w:color w:val="auto"/>
              </w:rPr>
            </w:pPr>
            <w:r>
              <w:rPr>
                <w:rFonts w:ascii="Arial" w:cs="Arial" w:eastAsia="Arial" w:hAnsi="Arial"/>
                <w:sz w:val="18"/>
                <w:szCs w:val="18"/>
                <w:b w:val="1"/>
                <w:bCs w:val="1"/>
                <w:color w:val="auto"/>
              </w:rPr>
              <w:t>Nominees</w:t>
            </w:r>
          </w:p>
        </w:tc>
        <w:tc>
          <w:tcPr>
            <w:tcW w:w="3240" w:type="dxa"/>
            <w:vAlign w:val="bottom"/>
          </w:tcPr>
          <w:p>
            <w:pPr>
              <w:jc w:val="center"/>
              <w:ind w:left="270"/>
              <w:spacing w:after="0"/>
              <w:rPr>
                <w:sz w:val="20"/>
                <w:szCs w:val="20"/>
                <w:color w:val="auto"/>
              </w:rPr>
            </w:pPr>
            <w:r>
              <w:rPr>
                <w:rFonts w:ascii="Arial" w:cs="Arial" w:eastAsia="Arial" w:hAnsi="Arial"/>
                <w:sz w:val="18"/>
                <w:szCs w:val="18"/>
                <w:b w:val="1"/>
                <w:bCs w:val="1"/>
                <w:color w:val="auto"/>
                <w:w w:val="96"/>
              </w:rPr>
              <w:t>For</w:t>
            </w:r>
          </w:p>
        </w:tc>
        <w:tc>
          <w:tcPr>
            <w:tcW w:w="2680" w:type="dxa"/>
            <w:vAlign w:val="bottom"/>
          </w:tcPr>
          <w:p>
            <w:pPr>
              <w:jc w:val="center"/>
              <w:ind w:left="50"/>
              <w:spacing w:after="0"/>
              <w:rPr>
                <w:sz w:val="20"/>
                <w:szCs w:val="20"/>
                <w:color w:val="auto"/>
              </w:rPr>
            </w:pPr>
            <w:r>
              <w:rPr>
                <w:rFonts w:ascii="Arial" w:cs="Arial" w:eastAsia="Arial" w:hAnsi="Arial"/>
                <w:sz w:val="18"/>
                <w:szCs w:val="18"/>
                <w:b w:val="1"/>
                <w:bCs w:val="1"/>
                <w:color w:val="auto"/>
                <w:w w:val="96"/>
              </w:rPr>
              <w:t>Withhold</w:t>
            </w:r>
          </w:p>
        </w:tc>
        <w:tc>
          <w:tcPr>
            <w:tcW w:w="3020" w:type="dxa"/>
            <w:vAlign w:val="bottom"/>
          </w:tcPr>
          <w:p>
            <w:pPr>
              <w:jc w:val="center"/>
              <w:ind w:left="70"/>
              <w:spacing w:after="0"/>
              <w:rPr>
                <w:sz w:val="20"/>
                <w:szCs w:val="20"/>
                <w:color w:val="auto"/>
              </w:rPr>
            </w:pPr>
            <w:r>
              <w:rPr>
                <w:rFonts w:ascii="Arial" w:cs="Arial" w:eastAsia="Arial" w:hAnsi="Arial"/>
                <w:sz w:val="18"/>
                <w:szCs w:val="18"/>
                <w:b w:val="1"/>
                <w:bCs w:val="1"/>
                <w:color w:val="auto"/>
                <w:w w:val="90"/>
              </w:rPr>
              <w:t>Broker Non-Votes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60" w:type="dxa"/>
            <w:vAlign w:val="bottom"/>
            <w:shd w:val="clear" w:color="auto" w:fill="C6F4F9"/>
          </w:tcPr>
          <w:p>
            <w:pPr>
              <w:spacing w:after="0"/>
              <w:rPr>
                <w:sz w:val="20"/>
                <w:szCs w:val="20"/>
                <w:color w:val="auto"/>
              </w:rPr>
            </w:pPr>
            <w:r>
              <w:rPr>
                <w:rFonts w:ascii="Arial" w:cs="Arial" w:eastAsia="Arial" w:hAnsi="Arial"/>
                <w:sz w:val="18"/>
                <w:szCs w:val="18"/>
                <w:color w:val="auto"/>
              </w:rPr>
              <w:t>Rohit Kapoor</w:t>
            </w:r>
          </w:p>
        </w:tc>
        <w:tc>
          <w:tcPr>
            <w:tcW w:w="3240" w:type="dxa"/>
            <w:vAlign w:val="bottom"/>
            <w:shd w:val="clear" w:color="auto" w:fill="C6F4F9"/>
          </w:tcPr>
          <w:p>
            <w:pPr>
              <w:jc w:val="center"/>
              <w:ind w:left="270"/>
              <w:spacing w:after="0"/>
              <w:rPr>
                <w:sz w:val="20"/>
                <w:szCs w:val="20"/>
                <w:color w:val="auto"/>
              </w:rPr>
            </w:pPr>
            <w:r>
              <w:rPr>
                <w:rFonts w:ascii="Arial" w:cs="Arial" w:eastAsia="Arial" w:hAnsi="Arial"/>
                <w:sz w:val="18"/>
                <w:szCs w:val="18"/>
                <w:color w:val="auto"/>
                <w:w w:val="88"/>
              </w:rPr>
              <w:t>29,062,959</w:t>
            </w:r>
          </w:p>
        </w:tc>
        <w:tc>
          <w:tcPr>
            <w:tcW w:w="2680" w:type="dxa"/>
            <w:vAlign w:val="bottom"/>
            <w:shd w:val="clear" w:color="auto" w:fill="C6F4F9"/>
          </w:tcPr>
          <w:p>
            <w:pPr>
              <w:jc w:val="center"/>
              <w:ind w:left="50"/>
              <w:spacing w:after="0"/>
              <w:rPr>
                <w:sz w:val="20"/>
                <w:szCs w:val="20"/>
                <w:color w:val="auto"/>
              </w:rPr>
            </w:pPr>
            <w:r>
              <w:rPr>
                <w:rFonts w:ascii="Arial" w:cs="Arial" w:eastAsia="Arial" w:hAnsi="Arial"/>
                <w:sz w:val="18"/>
                <w:szCs w:val="18"/>
                <w:color w:val="auto"/>
                <w:w w:val="89"/>
              </w:rPr>
              <w:t>593,995</w:t>
            </w:r>
          </w:p>
        </w:tc>
        <w:tc>
          <w:tcPr>
            <w:tcW w:w="3020" w:type="dxa"/>
            <w:vAlign w:val="bottom"/>
            <w:shd w:val="clear" w:color="auto" w:fill="C6F4F9"/>
          </w:tcPr>
          <w:p>
            <w:pPr>
              <w:jc w:val="center"/>
              <w:ind w:left="70"/>
              <w:spacing w:after="0"/>
              <w:rPr>
                <w:sz w:val="20"/>
                <w:szCs w:val="20"/>
                <w:color w:val="auto"/>
              </w:rPr>
            </w:pPr>
            <w:r>
              <w:rPr>
                <w:rFonts w:ascii="Arial" w:cs="Arial" w:eastAsia="Arial" w:hAnsi="Arial"/>
                <w:sz w:val="18"/>
                <w:szCs w:val="18"/>
                <w:color w:val="auto"/>
                <w:w w:val="89"/>
              </w:rPr>
              <w:t>791,462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60" w:type="dxa"/>
            <w:vAlign w:val="bottom"/>
            <w:shd w:val="clear" w:color="auto" w:fill="C6F4F9"/>
          </w:tcPr>
          <w:p>
            <w:pPr>
              <w:spacing w:after="0"/>
              <w:rPr>
                <w:sz w:val="20"/>
                <w:szCs w:val="20"/>
                <w:color w:val="auto"/>
              </w:rPr>
            </w:pPr>
            <w:r>
              <w:rPr>
                <w:rFonts w:ascii="Arial" w:cs="Arial" w:eastAsia="Arial" w:hAnsi="Arial"/>
                <w:sz w:val="18"/>
                <w:szCs w:val="18"/>
                <w:color w:val="auto"/>
              </w:rPr>
              <w:t>Anne E. Minto</w:t>
            </w:r>
          </w:p>
        </w:tc>
        <w:tc>
          <w:tcPr>
            <w:tcW w:w="3240" w:type="dxa"/>
            <w:vAlign w:val="bottom"/>
            <w:shd w:val="clear" w:color="auto" w:fill="C6F4F9"/>
          </w:tcPr>
          <w:p>
            <w:pPr>
              <w:jc w:val="center"/>
              <w:ind w:left="270"/>
              <w:spacing w:after="0"/>
              <w:rPr>
                <w:sz w:val="20"/>
                <w:szCs w:val="20"/>
                <w:color w:val="auto"/>
              </w:rPr>
            </w:pPr>
            <w:r>
              <w:rPr>
                <w:rFonts w:ascii="Arial" w:cs="Arial" w:eastAsia="Arial" w:hAnsi="Arial"/>
                <w:sz w:val="18"/>
                <w:szCs w:val="18"/>
                <w:color w:val="auto"/>
                <w:w w:val="88"/>
              </w:rPr>
              <w:t>29,297,214</w:t>
            </w:r>
          </w:p>
        </w:tc>
        <w:tc>
          <w:tcPr>
            <w:tcW w:w="2680" w:type="dxa"/>
            <w:vAlign w:val="bottom"/>
            <w:shd w:val="clear" w:color="auto" w:fill="C6F4F9"/>
          </w:tcPr>
          <w:p>
            <w:pPr>
              <w:jc w:val="center"/>
              <w:ind w:left="50"/>
              <w:spacing w:after="0"/>
              <w:rPr>
                <w:sz w:val="20"/>
                <w:szCs w:val="20"/>
                <w:color w:val="auto"/>
              </w:rPr>
            </w:pPr>
            <w:r>
              <w:rPr>
                <w:rFonts w:ascii="Arial" w:cs="Arial" w:eastAsia="Arial" w:hAnsi="Arial"/>
                <w:sz w:val="18"/>
                <w:szCs w:val="18"/>
                <w:color w:val="auto"/>
                <w:w w:val="89"/>
              </w:rPr>
              <w:t>359,740</w:t>
            </w:r>
          </w:p>
        </w:tc>
        <w:tc>
          <w:tcPr>
            <w:tcW w:w="3020" w:type="dxa"/>
            <w:vAlign w:val="bottom"/>
            <w:shd w:val="clear" w:color="auto" w:fill="C6F4F9"/>
          </w:tcPr>
          <w:p>
            <w:pPr>
              <w:jc w:val="center"/>
              <w:ind w:left="70"/>
              <w:spacing w:after="0"/>
              <w:rPr>
                <w:sz w:val="20"/>
                <w:szCs w:val="20"/>
                <w:color w:val="auto"/>
              </w:rPr>
            </w:pPr>
            <w:r>
              <w:rPr>
                <w:rFonts w:ascii="Arial" w:cs="Arial" w:eastAsia="Arial" w:hAnsi="Arial"/>
                <w:sz w:val="18"/>
                <w:szCs w:val="18"/>
                <w:color w:val="auto"/>
                <w:w w:val="89"/>
              </w:rPr>
              <w:t>791,462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-410845</wp:posOffset>
            </wp:positionV>
            <wp:extent cx="7246620" cy="548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54864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right="240" w:firstLine="486"/>
        <w:spacing w:after="0" w:line="277" w:lineRule="auto"/>
        <w:rPr>
          <w:sz w:val="20"/>
          <w:szCs w:val="20"/>
          <w:color w:val="auto"/>
        </w:rPr>
      </w:pPr>
      <w:r>
        <w:rPr>
          <w:rFonts w:ascii="Arial" w:cs="Arial" w:eastAsia="Arial" w:hAnsi="Arial"/>
          <w:sz w:val="18"/>
          <w:szCs w:val="18"/>
          <w:color w:val="auto"/>
        </w:rPr>
        <w:t>The proposal to ratify the selection of Ernst &amp; Young LLP as the independent registered public accounting firm of the Company for fiscal year 2013 was approved. The final results of the voting were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20" w:type="dxa"/>
            <w:vAlign w:val="bottom"/>
          </w:tcPr>
          <w:p>
            <w:pPr>
              <w:jc w:val="center"/>
              <w:spacing w:after="0"/>
              <w:rPr>
                <w:sz w:val="20"/>
                <w:szCs w:val="20"/>
                <w:color w:val="auto"/>
              </w:rPr>
            </w:pPr>
            <w:r>
              <w:rPr>
                <w:rFonts w:ascii="Arial" w:cs="Arial" w:eastAsia="Arial" w:hAnsi="Arial"/>
                <w:sz w:val="18"/>
                <w:szCs w:val="18"/>
                <w:b w:val="1"/>
                <w:bCs w:val="1"/>
                <w:color w:val="auto"/>
                <w:w w:val="96"/>
              </w:rPr>
              <w:t>For</w:t>
            </w:r>
          </w:p>
        </w:tc>
        <w:tc>
          <w:tcPr>
            <w:tcW w:w="2780" w:type="dxa"/>
            <w:vAlign w:val="bottom"/>
          </w:tcPr>
          <w:p>
            <w:pPr>
              <w:ind w:left="1060"/>
              <w:spacing w:after="0"/>
              <w:rPr>
                <w:sz w:val="20"/>
                <w:szCs w:val="20"/>
                <w:color w:val="auto"/>
              </w:rPr>
            </w:pPr>
            <w:r>
              <w:rPr>
                <w:rFonts w:ascii="Arial" w:cs="Arial" w:eastAsia="Arial" w:hAnsi="Arial"/>
                <w:sz w:val="18"/>
                <w:szCs w:val="18"/>
                <w:b w:val="1"/>
                <w:bCs w:val="1"/>
                <w:color w:val="auto"/>
              </w:rPr>
              <w:t>Against</w:t>
            </w:r>
          </w:p>
        </w:tc>
        <w:tc>
          <w:tcPr>
            <w:tcW w:w="2680" w:type="dxa"/>
            <w:vAlign w:val="bottom"/>
          </w:tcPr>
          <w:p>
            <w:pPr>
              <w:ind w:left="1140"/>
              <w:spacing w:after="0"/>
              <w:rPr>
                <w:sz w:val="20"/>
                <w:szCs w:val="20"/>
                <w:color w:val="auto"/>
              </w:rPr>
            </w:pPr>
            <w:r>
              <w:rPr>
                <w:rFonts w:ascii="Arial" w:cs="Arial" w:eastAsia="Arial" w:hAnsi="Arial"/>
                <w:sz w:val="18"/>
                <w:szCs w:val="18"/>
                <w:b w:val="1"/>
                <w:bCs w:val="1"/>
                <w:color w:val="auto"/>
              </w:rPr>
              <w:t>Abstain</w:t>
            </w:r>
          </w:p>
        </w:tc>
        <w:tc>
          <w:tcPr>
            <w:tcW w:w="3040" w:type="dxa"/>
            <w:vAlign w:val="bottom"/>
          </w:tcPr>
          <w:p>
            <w:pPr>
              <w:jc w:val="center"/>
              <w:ind w:left="90"/>
              <w:spacing w:after="0"/>
              <w:rPr>
                <w:sz w:val="20"/>
                <w:szCs w:val="20"/>
                <w:color w:val="auto"/>
              </w:rPr>
            </w:pPr>
            <w:r>
              <w:rPr>
                <w:rFonts w:ascii="Arial" w:cs="Arial" w:eastAsia="Arial" w:hAnsi="Arial"/>
                <w:sz w:val="18"/>
                <w:szCs w:val="18"/>
                <w:b w:val="1"/>
                <w:bCs w:val="1"/>
                <w:color w:val="auto"/>
                <w:w w:val="90"/>
              </w:rPr>
              <w:t>Broker Non-Vote</w:t>
            </w:r>
          </w:p>
        </w:tc>
      </w:tr>
      <w:tr>
        <w:trPr>
          <w:trHeight w:val="216"/>
        </w:trPr>
        <w:tc>
          <w:tcPr>
            <w:tcW w:w="29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3040" w:type="dxa"/>
            <w:vAlign w:val="bottom"/>
          </w:tcPr>
          <w:p>
            <w:pPr>
              <w:spacing w:after="0"/>
              <w:rPr>
                <w:sz w:val="18"/>
                <w:szCs w:val="18"/>
                <w:color w:val="auto"/>
              </w:rPr>
            </w:pPr>
          </w:p>
        </w:tc>
      </w:tr>
      <w:tr>
        <w:trPr>
          <w:trHeight w:val="216"/>
        </w:trPr>
        <w:tc>
          <w:tcPr>
            <w:tcW w:w="2920" w:type="dxa"/>
            <w:vAlign w:val="bottom"/>
            <w:shd w:val="clear" w:color="auto" w:fill="C6F4F9"/>
          </w:tcPr>
          <w:p>
            <w:pPr>
              <w:jc w:val="right"/>
              <w:ind w:right="990"/>
              <w:spacing w:after="0"/>
              <w:rPr>
                <w:sz w:val="20"/>
                <w:szCs w:val="20"/>
                <w:color w:val="auto"/>
              </w:rPr>
            </w:pPr>
            <w:r>
              <w:rPr>
                <w:rFonts w:ascii="Arial" w:cs="Arial" w:eastAsia="Arial" w:hAnsi="Arial"/>
                <w:sz w:val="18"/>
                <w:szCs w:val="18"/>
                <w:color w:val="auto"/>
              </w:rPr>
              <w:t>30,156,604</w:t>
            </w:r>
          </w:p>
        </w:tc>
        <w:tc>
          <w:tcPr>
            <w:tcW w:w="2780" w:type="dxa"/>
            <w:vAlign w:val="bottom"/>
            <w:shd w:val="clear" w:color="auto" w:fill="C6F4F9"/>
          </w:tcPr>
          <w:p>
            <w:pPr>
              <w:ind w:left="1080"/>
              <w:spacing w:after="0"/>
              <w:rPr>
                <w:sz w:val="20"/>
                <w:szCs w:val="20"/>
                <w:color w:val="auto"/>
              </w:rPr>
            </w:pPr>
            <w:r>
              <w:rPr>
                <w:rFonts w:ascii="Arial" w:cs="Arial" w:eastAsia="Arial" w:hAnsi="Arial"/>
                <w:sz w:val="18"/>
                <w:szCs w:val="18"/>
                <w:color w:val="auto"/>
              </w:rPr>
              <w:t>179,002</w:t>
            </w:r>
          </w:p>
        </w:tc>
        <w:tc>
          <w:tcPr>
            <w:tcW w:w="2680" w:type="dxa"/>
            <w:vAlign w:val="bottom"/>
            <w:shd w:val="clear" w:color="auto" w:fill="C6F4F9"/>
          </w:tcPr>
          <w:p>
            <w:pPr>
              <w:ind w:left="1140"/>
              <w:spacing w:after="0"/>
              <w:rPr>
                <w:sz w:val="20"/>
                <w:szCs w:val="20"/>
                <w:color w:val="auto"/>
              </w:rPr>
            </w:pPr>
            <w:r>
              <w:rPr>
                <w:rFonts w:ascii="Arial" w:cs="Arial" w:eastAsia="Arial" w:hAnsi="Arial"/>
                <w:sz w:val="18"/>
                <w:szCs w:val="18"/>
                <w:color w:val="auto"/>
              </w:rPr>
              <w:t>112,810</w:t>
            </w:r>
          </w:p>
        </w:tc>
        <w:tc>
          <w:tcPr>
            <w:tcW w:w="3040" w:type="dxa"/>
            <w:vAlign w:val="bottom"/>
            <w:shd w:val="clear" w:color="auto" w:fill="C6F4F9"/>
          </w:tcPr>
          <w:p>
            <w:pPr>
              <w:jc w:val="right"/>
              <w:ind w:right="129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36" w:lineRule="exact"/>
        <w:rPr>
          <w:sz w:val="20"/>
          <w:szCs w:val="20"/>
          <w:color w:val="auto"/>
        </w:rPr>
      </w:pPr>
    </w:p>
    <w:p>
      <w:pPr>
        <w:ind w:right="460" w:firstLine="486"/>
        <w:spacing w:after="0" w:line="277" w:lineRule="auto"/>
        <w:rPr>
          <w:sz w:val="20"/>
          <w:szCs w:val="20"/>
          <w:color w:val="auto"/>
        </w:rPr>
      </w:pPr>
      <w:r>
        <w:rPr>
          <w:rFonts w:ascii="Arial" w:cs="Arial" w:eastAsia="Arial" w:hAnsi="Arial"/>
          <w:sz w:val="18"/>
          <w:szCs w:val="18"/>
          <w:color w:val="auto"/>
        </w:rPr>
        <w:t>The proposal to approve the compensation of the named executive officers of the Company was approved. The final results of the voting were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20" w:type="dxa"/>
            <w:vAlign w:val="bottom"/>
          </w:tcPr>
          <w:p>
            <w:pPr>
              <w:jc w:val="center"/>
              <w:spacing w:after="0"/>
              <w:rPr>
                <w:sz w:val="20"/>
                <w:szCs w:val="20"/>
                <w:color w:val="auto"/>
              </w:rPr>
            </w:pPr>
            <w:r>
              <w:rPr>
                <w:rFonts w:ascii="Arial" w:cs="Arial" w:eastAsia="Arial" w:hAnsi="Arial"/>
                <w:sz w:val="18"/>
                <w:szCs w:val="18"/>
                <w:b w:val="1"/>
                <w:bCs w:val="1"/>
                <w:color w:val="auto"/>
                <w:w w:val="96"/>
              </w:rPr>
              <w:t>For</w:t>
            </w:r>
          </w:p>
        </w:tc>
        <w:tc>
          <w:tcPr>
            <w:tcW w:w="2780" w:type="dxa"/>
            <w:vAlign w:val="bottom"/>
          </w:tcPr>
          <w:p>
            <w:pPr>
              <w:ind w:left="1060"/>
              <w:spacing w:after="0"/>
              <w:rPr>
                <w:sz w:val="20"/>
                <w:szCs w:val="20"/>
                <w:color w:val="auto"/>
              </w:rPr>
            </w:pPr>
            <w:r>
              <w:rPr>
                <w:rFonts w:ascii="Arial" w:cs="Arial" w:eastAsia="Arial" w:hAnsi="Arial"/>
                <w:sz w:val="18"/>
                <w:szCs w:val="18"/>
                <w:b w:val="1"/>
                <w:bCs w:val="1"/>
                <w:color w:val="auto"/>
              </w:rPr>
              <w:t>Against</w:t>
            </w:r>
          </w:p>
        </w:tc>
        <w:tc>
          <w:tcPr>
            <w:tcW w:w="2680" w:type="dxa"/>
            <w:vAlign w:val="bottom"/>
          </w:tcPr>
          <w:p>
            <w:pPr>
              <w:ind w:left="1140"/>
              <w:spacing w:after="0"/>
              <w:rPr>
                <w:sz w:val="20"/>
                <w:szCs w:val="20"/>
                <w:color w:val="auto"/>
              </w:rPr>
            </w:pPr>
            <w:r>
              <w:rPr>
                <w:rFonts w:ascii="Arial" w:cs="Arial" w:eastAsia="Arial" w:hAnsi="Arial"/>
                <w:sz w:val="18"/>
                <w:szCs w:val="18"/>
                <w:b w:val="1"/>
                <w:bCs w:val="1"/>
                <w:color w:val="auto"/>
              </w:rPr>
              <w:t>Abstain</w:t>
            </w:r>
          </w:p>
        </w:tc>
        <w:tc>
          <w:tcPr>
            <w:tcW w:w="3040" w:type="dxa"/>
            <w:vAlign w:val="bottom"/>
          </w:tcPr>
          <w:p>
            <w:pPr>
              <w:jc w:val="center"/>
              <w:ind w:left="90"/>
              <w:spacing w:after="0"/>
              <w:rPr>
                <w:sz w:val="20"/>
                <w:szCs w:val="20"/>
                <w:color w:val="auto"/>
              </w:rPr>
            </w:pPr>
            <w:r>
              <w:rPr>
                <w:rFonts w:ascii="Arial" w:cs="Arial" w:eastAsia="Arial" w:hAnsi="Arial"/>
                <w:sz w:val="18"/>
                <w:szCs w:val="18"/>
                <w:b w:val="1"/>
                <w:bCs w:val="1"/>
                <w:color w:val="auto"/>
                <w:w w:val="90"/>
              </w:rPr>
              <w:t>Broker Non-Vote</w:t>
            </w:r>
          </w:p>
        </w:tc>
      </w:tr>
      <w:tr>
        <w:trPr>
          <w:trHeight w:val="216"/>
        </w:trPr>
        <w:tc>
          <w:tcPr>
            <w:tcW w:w="29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3040" w:type="dxa"/>
            <w:vAlign w:val="bottom"/>
          </w:tcPr>
          <w:p>
            <w:pPr>
              <w:spacing w:after="0"/>
              <w:rPr>
                <w:sz w:val="18"/>
                <w:szCs w:val="18"/>
                <w:color w:val="auto"/>
              </w:rPr>
            </w:pPr>
          </w:p>
        </w:tc>
      </w:tr>
      <w:tr>
        <w:trPr>
          <w:trHeight w:val="216"/>
        </w:trPr>
        <w:tc>
          <w:tcPr>
            <w:tcW w:w="2920" w:type="dxa"/>
            <w:vAlign w:val="bottom"/>
            <w:shd w:val="clear" w:color="auto" w:fill="C6F4F9"/>
          </w:tcPr>
          <w:p>
            <w:pPr>
              <w:jc w:val="right"/>
              <w:ind w:right="990"/>
              <w:spacing w:after="0"/>
              <w:rPr>
                <w:sz w:val="20"/>
                <w:szCs w:val="20"/>
                <w:color w:val="auto"/>
              </w:rPr>
            </w:pPr>
            <w:r>
              <w:rPr>
                <w:rFonts w:ascii="Arial" w:cs="Arial" w:eastAsia="Arial" w:hAnsi="Arial"/>
                <w:sz w:val="18"/>
                <w:szCs w:val="18"/>
                <w:color w:val="auto"/>
              </w:rPr>
              <w:t>28,475,857</w:t>
            </w:r>
          </w:p>
        </w:tc>
        <w:tc>
          <w:tcPr>
            <w:tcW w:w="2780" w:type="dxa"/>
            <w:vAlign w:val="bottom"/>
            <w:shd w:val="clear" w:color="auto" w:fill="C6F4F9"/>
          </w:tcPr>
          <w:p>
            <w:pPr>
              <w:ind w:left="1080"/>
              <w:spacing w:after="0"/>
              <w:rPr>
                <w:sz w:val="20"/>
                <w:szCs w:val="20"/>
                <w:color w:val="auto"/>
              </w:rPr>
            </w:pPr>
            <w:r>
              <w:rPr>
                <w:rFonts w:ascii="Arial" w:cs="Arial" w:eastAsia="Arial" w:hAnsi="Arial"/>
                <w:sz w:val="18"/>
                <w:szCs w:val="18"/>
                <w:color w:val="auto"/>
              </w:rPr>
              <w:t>944,791</w:t>
            </w:r>
          </w:p>
        </w:tc>
        <w:tc>
          <w:tcPr>
            <w:tcW w:w="2680" w:type="dxa"/>
            <w:vAlign w:val="bottom"/>
            <w:shd w:val="clear" w:color="auto" w:fill="C6F4F9"/>
          </w:tcPr>
          <w:p>
            <w:pPr>
              <w:ind w:left="1140"/>
              <w:spacing w:after="0"/>
              <w:rPr>
                <w:sz w:val="20"/>
                <w:szCs w:val="20"/>
                <w:color w:val="auto"/>
              </w:rPr>
            </w:pPr>
            <w:r>
              <w:rPr>
                <w:rFonts w:ascii="Arial" w:cs="Arial" w:eastAsia="Arial" w:hAnsi="Arial"/>
                <w:sz w:val="18"/>
                <w:szCs w:val="18"/>
                <w:color w:val="auto"/>
              </w:rPr>
              <w:t>236,306</w:t>
            </w:r>
          </w:p>
        </w:tc>
        <w:tc>
          <w:tcPr>
            <w:tcW w:w="3040" w:type="dxa"/>
            <w:vAlign w:val="bottom"/>
            <w:shd w:val="clear" w:color="auto" w:fill="C6F4F9"/>
          </w:tcPr>
          <w:p>
            <w:pPr>
              <w:jc w:val="right"/>
              <w:ind w:right="1050"/>
              <w:spacing w:after="0"/>
              <w:rPr>
                <w:sz w:val="20"/>
                <w:szCs w:val="20"/>
                <w:color w:val="auto"/>
              </w:rPr>
            </w:pPr>
            <w:r>
              <w:rPr>
                <w:rFonts w:ascii="Arial" w:cs="Arial" w:eastAsia="Arial" w:hAnsi="Arial"/>
                <w:sz w:val="18"/>
                <w:szCs w:val="18"/>
                <w:color w:val="auto"/>
              </w:rPr>
              <w:t>791,462</w:t>
            </w:r>
          </w:p>
        </w:tc>
      </w:tr>
      <w:tr>
        <w:trPr>
          <w:trHeight w:val="1388"/>
        </w:trPr>
        <w:tc>
          <w:tcPr>
            <w:tcW w:w="2920" w:type="dxa"/>
            <w:vAlign w:val="bottom"/>
            <w:tcBorders>
              <w:bottom w:val="single" w:sz="8" w:color="808080"/>
            </w:tcBorders>
          </w:tcPr>
          <w:p>
            <w:pPr>
              <w:spacing w:after="0"/>
              <w:rPr>
                <w:sz w:val="24"/>
                <w:szCs w:val="24"/>
                <w:color w:val="auto"/>
              </w:rPr>
            </w:pPr>
          </w:p>
        </w:tc>
        <w:tc>
          <w:tcPr>
            <w:tcW w:w="2780" w:type="dxa"/>
            <w:vAlign w:val="bottom"/>
            <w:tcBorders>
              <w:bottom w:val="single" w:sz="8" w:color="808080"/>
            </w:tcBorders>
          </w:tcPr>
          <w:p>
            <w:pPr>
              <w:spacing w:after="0"/>
              <w:rPr>
                <w:sz w:val="24"/>
                <w:szCs w:val="24"/>
                <w:color w:val="auto"/>
              </w:rPr>
            </w:pPr>
          </w:p>
        </w:tc>
        <w:tc>
          <w:tcPr>
            <w:tcW w:w="2680" w:type="dxa"/>
            <w:vAlign w:val="bottom"/>
            <w:tcBorders>
              <w:bottom w:val="single" w:sz="8" w:color="808080"/>
            </w:tcBorders>
          </w:tcPr>
          <w:p>
            <w:pPr>
              <w:spacing w:after="0"/>
              <w:rPr>
                <w:sz w:val="24"/>
                <w:szCs w:val="24"/>
                <w:color w:val="auto"/>
              </w:rPr>
            </w:pPr>
          </w:p>
        </w:tc>
        <w:tc>
          <w:tcPr>
            <w:tcW w:w="30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-1030605</wp:posOffset>
            </wp:positionV>
            <wp:extent cx="72466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810" w:right="239"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0"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spacing w:after="0"/>
        <w:tabs>
          <w:tab w:leader="none" w:pos="6040" w:val="left"/>
          <w:tab w:leader="none" w:pos="6560" w:val="left"/>
        </w:tabs>
        <w:rPr>
          <w:sz w:val="20"/>
          <w:szCs w:val="20"/>
          <w:color w:val="auto"/>
        </w:rPr>
      </w:pPr>
      <w:r>
        <w:rPr>
          <w:rFonts w:ascii="Arial" w:cs="Arial" w:eastAsia="Arial" w:hAnsi="Arial"/>
          <w:sz w:val="18"/>
          <w:szCs w:val="18"/>
          <w:color w:val="auto"/>
        </w:rPr>
        <w:t>Date: June 18,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Amit Shashank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23495</wp:posOffset>
            </wp:positionV>
            <wp:extent cx="230695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306955" cy="1714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Amit Shashank</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  Executive Vice President,</w:t>
      </w:r>
    </w:p>
    <w:p>
      <w:pPr>
        <w:spacing w:after="0" w:line="9"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General Counsel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2370455</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0940"/>
      </w:cols>
      <w:pgMar w:left="240" w:top="486"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2019-12-07T08:14:37Z</dcterms:created>
  <dcterms:modified xsi:type="dcterms:W3CDTF">2019-12-07T08:14:37Z</dcterms:modified>
</cp:coreProperties>
</file>