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540"/>
          </w:cols>
          <w:pgMar w:left="460" w:top="219" w:right="439" w:bottom="2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46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CEO &amp; Vice Chairman</w:t>
      </w:r>
    </w:p>
    <w:p>
      <w:pPr>
        <w:spacing w:after="0" w:line="266" w:lineRule="exact"/>
        <w:rPr>
          <w:sz w:val="24"/>
          <w:szCs w:val="24"/>
          <w:color w:val="auto"/>
        </w:rPr>
      </w:pPr>
    </w:p>
    <w:p>
      <w:pPr>
        <w:sectPr>
          <w:pgSz w:w="11900" w:h="16838" w:orient="portrait"/>
          <w:cols w:equalWidth="0" w:num="3">
            <w:col w:w="3200" w:space="720"/>
            <w:col w:w="3095" w:space="720"/>
            <w:col w:w="3265"/>
          </w:cols>
          <w:pgMar w:left="460" w:top="219" w:right="439" w:bottom="226"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6"/>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35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10022</w:t>
            </w: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580" w:type="dxa"/>
            <w:vAlign w:val="bottom"/>
            <w:gridSpan w:val="6"/>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66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1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02/01/2021</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28,260</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73"/>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207,498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-1208405</wp:posOffset>
            </wp:positionV>
            <wp:extent cx="6964045" cy="3037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037840"/>
                    </a:xfrm>
                    <a:prstGeom prst="rect">
                      <a:avLst/>
                    </a:prstGeom>
                    <a:noFill/>
                  </pic:spPr>
                </pic:pic>
              </a:graphicData>
            </a:graphic>
          </wp:anchor>
        </w:drawing>
      </w:r>
    </w:p>
    <w:p>
      <w:pPr>
        <w:sectPr>
          <w:pgSz w:w="11900" w:h="16838" w:orient="portrait"/>
          <w:cols w:equalWidth="0" w:num="1">
            <w:col w:w="11000"/>
          </w:cols>
          <w:pgMar w:left="460" w:top="219" w:right="439" w:bottom="226" w:gutter="0" w:footer="0" w:header="0"/>
          <w:type w:val="continuous"/>
        </w:sectPr>
      </w:pPr>
    </w:p>
    <w:p>
      <w:pPr>
        <w:spacing w:after="0" w:line="12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40" w:type="dxa"/>
            <w:vAlign w:val="bottom"/>
            <w:vMerge w:val="restart"/>
          </w:tcPr>
          <w:p>
            <w:pPr>
              <w:jc w:val="center"/>
              <w:ind w:right="293"/>
              <w:spacing w:after="0"/>
              <w:rPr>
                <w:sz w:val="20"/>
                <w:szCs w:val="20"/>
                <w:color w:val="auto"/>
              </w:rPr>
            </w:pPr>
            <w:r>
              <w:rPr>
                <w:rFonts w:ascii="Times New Roman" w:cs="Times New Roman" w:eastAsia="Times New Roman" w:hAnsi="Times New Roman"/>
                <w:sz w:val="17"/>
                <w:szCs w:val="17"/>
                <w:color w:val="0000FF"/>
              </w:rPr>
              <w:t>183,185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center"/>
              <w:ind w:right="273"/>
              <w:spacing w:after="0"/>
              <w:rPr>
                <w:sz w:val="20"/>
                <w:szCs w:val="20"/>
                <w:color w:val="auto"/>
              </w:rPr>
            </w:pPr>
            <w:r>
              <w:rPr>
                <w:rFonts w:ascii="Times New Roman" w:cs="Times New Roman" w:eastAsia="Times New Roman" w:hAnsi="Times New Roman"/>
                <w:sz w:val="17"/>
                <w:szCs w:val="17"/>
                <w:color w:val="0000FF"/>
                <w:w w:val="98"/>
              </w:rPr>
              <w:t>40,219</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(3)</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center"/>
              <w:ind w:right="293"/>
              <w:spacing w:after="0"/>
              <w:rPr>
                <w:sz w:val="20"/>
                <w:szCs w:val="20"/>
                <w:color w:val="auto"/>
              </w:rPr>
            </w:pPr>
            <w:r>
              <w:rPr>
                <w:rFonts w:ascii="Times New Roman" w:cs="Times New Roman" w:eastAsia="Times New Roman" w:hAnsi="Times New Roman"/>
                <w:sz w:val="17"/>
                <w:szCs w:val="17"/>
                <w:color w:val="0000FF"/>
              </w:rPr>
              <w:t>177,134</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center"/>
              <w:ind w:right="273"/>
              <w:spacing w:after="0"/>
              <w:rPr>
                <w:sz w:val="20"/>
                <w:szCs w:val="20"/>
                <w:color w:val="auto"/>
              </w:rPr>
            </w:pPr>
            <w:r>
              <w:rPr>
                <w:rFonts w:ascii="Times New Roman" w:cs="Times New Roman" w:eastAsia="Times New Roman" w:hAnsi="Times New Roman"/>
                <w:sz w:val="17"/>
                <w:szCs w:val="17"/>
                <w:color w:val="0000FF"/>
                <w:w w:val="98"/>
              </w:rPr>
              <w:t>84,000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center"/>
              <w:ind w:right="273"/>
              <w:spacing w:after="0"/>
              <w:rPr>
                <w:sz w:val="20"/>
                <w:szCs w:val="20"/>
                <w:color w:val="auto"/>
              </w:rPr>
            </w:pPr>
            <w:r>
              <w:rPr>
                <w:rFonts w:ascii="Times New Roman" w:cs="Times New Roman" w:eastAsia="Times New Roman" w:hAnsi="Times New Roman"/>
                <w:sz w:val="17"/>
                <w:szCs w:val="17"/>
                <w:color w:val="0000FF"/>
                <w:w w:val="98"/>
              </w:rPr>
              <w:t>84,000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5" w:lineRule="exact"/>
        <w:rPr>
          <w:sz w:val="24"/>
          <w:szCs w:val="24"/>
          <w:color w:val="auto"/>
        </w:rPr>
      </w:pPr>
    </w:p>
    <w:p>
      <w:pPr>
        <w:sectPr>
          <w:pgSz w:w="11900" w:h="16838" w:orient="portrait"/>
          <w:cols w:equalWidth="0" w:num="2">
            <w:col w:w="7580" w:space="720"/>
            <w:col w:w="2700"/>
          </w:cols>
          <w:pgMar w:left="460" w:top="219" w:right="439" w:bottom="226"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22, 2018. Such shares of Common Stock were deemed earned on February 1, 2021 based on the Compensation Committee of the Board of Directors administering the award certifying the achievement of performance targets applicable to the PRSUs for the performance period ending on December 31, 2020.</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02/03/2021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2021-02-03T16:27:58Z</dcterms:created>
  <dcterms:modified xsi:type="dcterms:W3CDTF">2021-02-03T16:27:58Z</dcterms:modified>
</cp:coreProperties>
</file>