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98425</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1"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2" w:lineRule="exact"/>
        <w:rPr>
          <w:sz w:val="24"/>
          <w:szCs w:val="24"/>
          <w:color w:val="auto"/>
        </w:rPr>
      </w:pPr>
    </w:p>
    <w:p>
      <w:pPr>
        <w:ind w:left="300" w:hanging="277"/>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2025</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7" w:lineRule="exact"/>
        <w:rPr>
          <w:sz w:val="24"/>
          <w:szCs w:val="24"/>
          <w:color w:val="auto"/>
        </w:rPr>
      </w:pPr>
    </w:p>
    <w:p>
      <w:pPr>
        <w:ind w:left="300" w:hanging="277"/>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7" w:lineRule="exact"/>
        <w:rPr>
          <w:sz w:val="24"/>
          <w:szCs w:val="24"/>
          <w:color w:val="auto"/>
        </w:rPr>
      </w:pPr>
    </w:p>
    <w:p>
      <w:pPr>
        <w:ind w:left="3200"/>
        <w:spacing w:after="0"/>
        <w:tabs>
          <w:tab w:leader="none" w:pos="69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3912870</wp:posOffset>
            </wp:positionH>
            <wp:positionV relativeFrom="paragraph">
              <wp:posOffset>-5715</wp:posOffset>
            </wp:positionV>
            <wp:extent cx="1194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001-33089</w:t>
      </w:r>
    </w:p>
    <w:p>
      <w:pPr>
        <w:spacing w:after="0" w:line="18"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EXLSERVICE HOLDINGS, INC.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31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117" w:lineRule="exact"/>
        <w:rPr>
          <w:sz w:val="24"/>
          <w:szCs w:val="24"/>
          <w:color w:val="auto"/>
        </w:rPr>
      </w:pPr>
    </w:p>
    <w:tbl>
      <w:tblPr>
        <w:tblLayout w:type="fixed"/>
        <w:tblInd w:w="350" w:type="dxa"/>
        <w:tblCellMar>
          <w:top w:w="0" w:type="dxa"/>
          <w:left w:w="0" w:type="dxa"/>
          <w:bottom w:w="0" w:type="dxa"/>
          <w:right w:w="0" w:type="dxa"/>
        </w:tblCellMar>
      </w:tblPr>
      <w:tr>
        <w:trPr>
          <w:trHeight w:val="202"/>
        </w:trPr>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2"/>
          </w:tcPr>
          <w:p>
            <w:pPr>
              <w:jc w:val="center"/>
              <w:ind w:right="104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80" w:type="dxa"/>
            <w:vAlign w:val="bottom"/>
            <w:gridSpan w:val="2"/>
          </w:tcPr>
          <w:p>
            <w:pPr>
              <w:jc w:val="right"/>
              <w:ind w:right="2006"/>
              <w:spacing w:after="0"/>
              <w:rPr>
                <w:sz w:val="20"/>
                <w:szCs w:val="20"/>
                <w:color w:val="auto"/>
              </w:rPr>
            </w:pPr>
            <w:r>
              <w:rPr>
                <w:rFonts w:ascii="Times New Roman" w:cs="Times New Roman" w:eastAsia="Times New Roman" w:hAnsi="Times New Roman"/>
                <w:sz w:val="16"/>
                <w:szCs w:val="16"/>
                <w:b w:val="1"/>
                <w:bCs w:val="1"/>
                <w:color w:val="auto"/>
              </w:rPr>
              <w:t>82-0572194</w:t>
            </w:r>
          </w:p>
        </w:tc>
        <w:tc>
          <w:tcPr>
            <w:tcW w:w="600" w:type="dxa"/>
            <w:vAlign w:val="bottom"/>
          </w:tcPr>
          <w:p>
            <w:pPr>
              <w:spacing w:after="0"/>
              <w:rPr>
                <w:sz w:val="17"/>
                <w:szCs w:val="17"/>
                <w:color w:val="auto"/>
              </w:rPr>
            </w:pPr>
          </w:p>
        </w:tc>
      </w:tr>
      <w:tr>
        <w:trPr>
          <w:trHeight w:val="145"/>
        </w:trPr>
        <w:tc>
          <w:tcPr>
            <w:tcW w:w="1320" w:type="dxa"/>
            <w:vAlign w:val="bottom"/>
          </w:tcPr>
          <w:p>
            <w:pPr>
              <w:spacing w:after="0"/>
              <w:rPr>
                <w:sz w:val="12"/>
                <w:szCs w:val="12"/>
                <w:color w:val="auto"/>
              </w:rPr>
            </w:pPr>
          </w:p>
        </w:tc>
        <w:tc>
          <w:tcPr>
            <w:tcW w:w="3000" w:type="dxa"/>
            <w:vAlign w:val="bottom"/>
            <w:gridSpan w:val="3"/>
          </w:tcPr>
          <w:p>
            <w:pPr>
              <w:jc w:val="center"/>
              <w:ind w:left="66"/>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80" w:type="dxa"/>
            <w:vAlign w:val="bottom"/>
            <w:gridSpan w:val="3"/>
          </w:tcPr>
          <w:p>
            <w:pPr>
              <w:jc w:val="center"/>
              <w:ind w:right="24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1320" w:type="dxa"/>
            <w:vAlign w:val="bottom"/>
          </w:tcPr>
          <w:p>
            <w:pPr>
              <w:spacing w:after="0"/>
              <w:rPr>
                <w:sz w:val="16"/>
                <w:szCs w:val="16"/>
                <w:color w:val="auto"/>
              </w:rPr>
            </w:pPr>
          </w:p>
        </w:tc>
        <w:tc>
          <w:tcPr>
            <w:tcW w:w="3000" w:type="dxa"/>
            <w:vAlign w:val="bottom"/>
            <w:gridSpan w:val="3"/>
          </w:tcPr>
          <w:p>
            <w:pPr>
              <w:jc w:val="center"/>
              <w:ind w:left="66"/>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80" w:type="dxa"/>
            <w:vAlign w:val="bottom"/>
            <w:gridSpan w:val="3"/>
          </w:tcPr>
          <w:p>
            <w:pPr>
              <w:jc w:val="center"/>
              <w:ind w:right="246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71"/>
        </w:trPr>
        <w:tc>
          <w:tcPr>
            <w:tcW w:w="1320" w:type="dxa"/>
            <w:vAlign w:val="bottom"/>
          </w:tcPr>
          <w:p>
            <w:pPr>
              <w:spacing w:after="0"/>
              <w:rPr>
                <w:sz w:val="23"/>
                <w:szCs w:val="23"/>
                <w:color w:val="auto"/>
              </w:rPr>
            </w:pPr>
          </w:p>
        </w:tc>
        <w:tc>
          <w:tcPr>
            <w:tcW w:w="3000" w:type="dxa"/>
            <w:vAlign w:val="bottom"/>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320 Park Avenue, 29</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6"/>
                <w:szCs w:val="16"/>
                <w:b w:val="1"/>
                <w:bCs w:val="1"/>
                <w:color w:val="auto"/>
              </w:rPr>
              <w:t xml:space="preserve"> Floor,</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02"/>
        </w:trPr>
        <w:tc>
          <w:tcPr>
            <w:tcW w:w="1320" w:type="dxa"/>
            <w:vAlign w:val="bottom"/>
          </w:tcPr>
          <w:p>
            <w:pPr>
              <w:spacing w:after="0"/>
              <w:rPr>
                <w:sz w:val="17"/>
                <w:szCs w:val="17"/>
                <w:color w:val="auto"/>
              </w:rPr>
            </w:pPr>
          </w:p>
        </w:tc>
        <w:tc>
          <w:tcPr>
            <w:tcW w:w="3000" w:type="dxa"/>
            <w:vAlign w:val="bottom"/>
            <w:gridSpan w:val="3"/>
          </w:tcPr>
          <w:p>
            <w:pPr>
              <w:ind w:left="1060"/>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80" w:type="dxa"/>
            <w:vAlign w:val="bottom"/>
            <w:gridSpan w:val="2"/>
          </w:tcPr>
          <w:p>
            <w:pPr>
              <w:jc w:val="right"/>
              <w:ind w:right="2186"/>
              <w:spacing w:after="0"/>
              <w:rPr>
                <w:sz w:val="20"/>
                <w:szCs w:val="20"/>
                <w:color w:val="auto"/>
              </w:rPr>
            </w:pPr>
            <w:r>
              <w:rPr>
                <w:rFonts w:ascii="Times New Roman" w:cs="Times New Roman" w:eastAsia="Times New Roman" w:hAnsi="Times New Roman"/>
                <w:sz w:val="16"/>
                <w:szCs w:val="16"/>
                <w:b w:val="1"/>
                <w:bCs w:val="1"/>
                <w:color w:val="auto"/>
              </w:rPr>
              <w:t>10022</w:t>
            </w:r>
          </w:p>
        </w:tc>
        <w:tc>
          <w:tcPr>
            <w:tcW w:w="600" w:type="dxa"/>
            <w:vAlign w:val="bottom"/>
          </w:tcPr>
          <w:p>
            <w:pPr>
              <w:spacing w:after="0"/>
              <w:rPr>
                <w:sz w:val="17"/>
                <w:szCs w:val="17"/>
                <w:color w:val="auto"/>
              </w:rPr>
            </w:pPr>
          </w:p>
        </w:tc>
      </w:tr>
      <w:tr>
        <w:trPr>
          <w:trHeight w:val="185"/>
        </w:trPr>
        <w:tc>
          <w:tcPr>
            <w:tcW w:w="1320" w:type="dxa"/>
            <w:vAlign w:val="bottom"/>
          </w:tcPr>
          <w:p>
            <w:pPr>
              <w:spacing w:after="0"/>
              <w:rPr>
                <w:sz w:val="16"/>
                <w:szCs w:val="16"/>
                <w:color w:val="auto"/>
              </w:rPr>
            </w:pPr>
          </w:p>
        </w:tc>
        <w:tc>
          <w:tcPr>
            <w:tcW w:w="3000" w:type="dxa"/>
            <w:vAlign w:val="bottom"/>
            <w:gridSpan w:val="3"/>
          </w:tcPr>
          <w:p>
            <w:pPr>
              <w:jc w:val="center"/>
              <w:ind w:left="4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0" w:type="dxa"/>
            <w:vAlign w:val="bottom"/>
            <w:gridSpan w:val="2"/>
          </w:tcPr>
          <w:p>
            <w:pPr>
              <w:jc w:val="center"/>
              <w:ind w:right="2720"/>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308"/>
        </w:trPr>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gridSpan w:val="2"/>
          </w:tcPr>
          <w:p>
            <w:pPr>
              <w:jc w:val="center"/>
              <w:ind w:left="364"/>
              <w:spacing w:after="0"/>
              <w:rPr>
                <w:sz w:val="20"/>
                <w:szCs w:val="20"/>
                <w:color w:val="auto"/>
              </w:rPr>
            </w:pPr>
            <w:r>
              <w:rPr>
                <w:rFonts w:ascii="Times New Roman" w:cs="Times New Roman" w:eastAsia="Times New Roman" w:hAnsi="Times New Roman"/>
                <w:sz w:val="16"/>
                <w:szCs w:val="16"/>
                <w:b w:val="1"/>
                <w:bCs w:val="1"/>
                <w:color w:val="auto"/>
                <w:w w:val="97"/>
              </w:rPr>
              <w:t>(212) 277-7100</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4"/>
        </w:trPr>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40" w:type="dxa"/>
            <w:vAlign w:val="bottom"/>
            <w:gridSpan w:val="6"/>
          </w:tcPr>
          <w:p>
            <w:pPr>
              <w:jc w:val="center"/>
              <w:ind w:left="1084"/>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2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89"/>
        </w:trPr>
        <w:tc>
          <w:tcPr>
            <w:tcW w:w="1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gridSpan w:val="3"/>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gridSpan w:val="3"/>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r>
      <w:tr>
        <w:trPr>
          <w:trHeight w:val="203"/>
        </w:trPr>
        <w:tc>
          <w:tcPr>
            <w:tcW w:w="1320" w:type="dxa"/>
            <w:vAlign w:val="bottom"/>
            <w:tcBorders>
              <w:left w:val="single" w:sz="8" w:color="auto"/>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120" w:type="dxa"/>
            <w:vAlign w:val="bottom"/>
            <w:tcBorders>
              <w:bottom w:val="single" w:sz="8" w:color="auto"/>
              <w:right w:val="single" w:sz="8" w:color="auto"/>
            </w:tcBorders>
            <w:gridSpan w:val="9"/>
          </w:tcPr>
          <w:p>
            <w:pPr>
              <w:jc w:val="center"/>
              <w:ind w:right="2500"/>
              <w:spacing w:after="0"/>
              <w:rPr>
                <w:sz w:val="20"/>
                <w:szCs w:val="20"/>
                <w:color w:val="auto"/>
              </w:rPr>
            </w:pPr>
            <w:r>
              <w:rPr>
                <w:rFonts w:ascii="Times New Roman" w:cs="Times New Roman" w:eastAsia="Times New Roman" w:hAnsi="Times New Roman"/>
                <w:sz w:val="16"/>
                <w:szCs w:val="16"/>
                <w:b w:val="1"/>
                <w:bCs w:val="1"/>
                <w:color w:val="auto"/>
                <w:w w:val="98"/>
              </w:rPr>
              <w:t>Securities registered pursuant to Section 12(b) of the Act:</w:t>
            </w:r>
          </w:p>
        </w:tc>
      </w:tr>
      <w:tr>
        <w:trPr>
          <w:trHeight w:val="172"/>
        </w:trPr>
        <w:tc>
          <w:tcPr>
            <w:tcW w:w="3820" w:type="dxa"/>
            <w:vAlign w:val="bottom"/>
            <w:tcBorders>
              <w:left w:val="single" w:sz="8" w:color="auto"/>
              <w:right w:val="single" w:sz="8" w:color="auto"/>
            </w:tcBorders>
            <w:gridSpan w:val="3"/>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500" w:type="dxa"/>
            <w:vAlign w:val="bottom"/>
          </w:tcPr>
          <w:p>
            <w:pPr>
              <w:spacing w:after="0"/>
              <w:rPr>
                <w:sz w:val="14"/>
                <w:szCs w:val="14"/>
                <w:color w:val="auto"/>
              </w:rPr>
            </w:pPr>
          </w:p>
        </w:tc>
        <w:tc>
          <w:tcPr>
            <w:tcW w:w="2320" w:type="dxa"/>
            <w:vAlign w:val="bottom"/>
            <w:tcBorders>
              <w:right w:val="single" w:sz="8" w:color="auto"/>
            </w:tcBorders>
            <w:gridSpan w:val="3"/>
          </w:tcPr>
          <w:p>
            <w:pPr>
              <w:jc w:val="center"/>
              <w:ind w:right="540"/>
              <w:spacing w:after="0" w:line="138" w:lineRule="exact"/>
              <w:rPr>
                <w:sz w:val="20"/>
                <w:szCs w:val="20"/>
                <w:color w:val="auto"/>
              </w:rPr>
            </w:pPr>
            <w:r>
              <w:rPr>
                <w:rFonts w:ascii="Times New Roman" w:cs="Times New Roman" w:eastAsia="Times New Roman" w:hAnsi="Times New Roman"/>
                <w:sz w:val="15"/>
                <w:szCs w:val="15"/>
                <w:b w:val="1"/>
                <w:bCs w:val="1"/>
                <w:color w:val="auto"/>
              </w:rPr>
              <w:t>Trading symbol(s)</w:t>
            </w:r>
          </w:p>
        </w:tc>
        <w:tc>
          <w:tcPr>
            <w:tcW w:w="280" w:type="dxa"/>
            <w:vAlign w:val="bottom"/>
          </w:tcPr>
          <w:p>
            <w:pPr>
              <w:spacing w:after="0"/>
              <w:rPr>
                <w:sz w:val="14"/>
                <w:szCs w:val="14"/>
                <w:color w:val="auto"/>
              </w:rPr>
            </w:pPr>
          </w:p>
        </w:tc>
        <w:tc>
          <w:tcPr>
            <w:tcW w:w="3680" w:type="dxa"/>
            <w:vAlign w:val="bottom"/>
            <w:tcBorders>
              <w:right w:val="single" w:sz="8" w:color="auto"/>
            </w:tcBorders>
            <w:gridSpan w:val="3"/>
          </w:tcPr>
          <w:p>
            <w:pPr>
              <w:jc w:val="center"/>
              <w:ind w:right="320"/>
              <w:spacing w:after="0" w:line="138" w:lineRule="exact"/>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32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r>
      <w:tr>
        <w:trPr>
          <w:trHeight w:val="194"/>
        </w:trPr>
        <w:tc>
          <w:tcPr>
            <w:tcW w:w="38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5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14"/>
                <w:szCs w:val="14"/>
                <w:color w:val="auto"/>
                <w:w w:val="97"/>
              </w:rPr>
              <w:t>EXLS</w:t>
            </w: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right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w:t>
      </w:r>
    </w:p>
    <w:p>
      <w:pPr>
        <w:spacing w:after="0" w:line="211" w:lineRule="exact"/>
        <w:rPr>
          <w:sz w:val="24"/>
          <w:szCs w:val="24"/>
          <w:color w:val="auto"/>
        </w:rPr>
      </w:pPr>
    </w:p>
    <w:p>
      <w:pPr>
        <w:ind w:firstLine="315"/>
        <w:spacing w:after="0" w:line="24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19" w:lineRule="exact"/>
        <w:tabs>
          <w:tab w:leader="none" w:pos="5040" w:val="left"/>
        </w:tabs>
        <w:rPr>
          <w:sz w:val="20"/>
          <w:szCs w:val="20"/>
          <w:color w:val="auto"/>
        </w:rPr>
      </w:pPr>
      <w:r>
        <w:rPr>
          <w:rFonts w:ascii="Times New Roman" w:cs="Times New Roman" w:eastAsia="Times New Roman" w:hAnsi="Times New Roman"/>
          <w:sz w:val="16"/>
          <w:szCs w:val="16"/>
          <w:color w:val="auto"/>
        </w:rPr>
        <w:t xml:space="preserve">(2)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9"/>
          <w:szCs w:val="19"/>
          <w:color w:val="auto"/>
        </w:rPr>
        <w:t>☐</w:t>
      </w:r>
    </w:p>
    <w:p>
      <w:pPr>
        <w:spacing w:after="0" w:line="249" w:lineRule="exact"/>
        <w:rPr>
          <w:sz w:val="24"/>
          <w:szCs w:val="24"/>
          <w:color w:val="auto"/>
        </w:rPr>
      </w:pPr>
    </w:p>
    <w:p>
      <w:pPr>
        <w:ind w:firstLine="315"/>
        <w:spacing w:after="0" w:line="22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9"/>
          <w:szCs w:val="19"/>
          <w:color w:val="auto"/>
        </w:rPr>
        <w:t>☐</w:t>
      </w:r>
    </w:p>
    <w:p>
      <w:pPr>
        <w:spacing w:after="0" w:line="201" w:lineRule="exact"/>
        <w:rPr>
          <w:sz w:val="24"/>
          <w:szCs w:val="24"/>
          <w:color w:val="auto"/>
        </w:rPr>
      </w:pPr>
    </w:p>
    <w:p>
      <w:pPr>
        <w:ind w:firstLine="315"/>
        <w:spacing w:after="0" w:line="27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340" w:type="dxa"/>
        <w:tblCellMar>
          <w:top w:w="0" w:type="dxa"/>
          <w:left w:w="0" w:type="dxa"/>
          <w:bottom w:w="0" w:type="dxa"/>
          <w:right w:w="0" w:type="dxa"/>
        </w:tblCellMar>
      </w:tblPr>
      <w:tr>
        <w:trPr>
          <w:trHeight w:val="25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4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4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4"/>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14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spacing w:after="0"/>
              <w:rPr>
                <w:sz w:val="22"/>
                <w:szCs w:val="22"/>
                <w:color w:val="auto"/>
              </w:rPr>
            </w:pPr>
          </w:p>
        </w:tc>
        <w:tc>
          <w:tcPr>
            <w:tcW w:w="620" w:type="dxa"/>
            <w:vAlign w:val="bottom"/>
          </w:tcPr>
          <w:p>
            <w:pPr>
              <w:spacing w:after="0"/>
              <w:rPr>
                <w:sz w:val="22"/>
                <w:szCs w:val="22"/>
                <w:color w:val="auto"/>
              </w:rPr>
            </w:pPr>
          </w:p>
        </w:tc>
      </w:tr>
    </w:tbl>
    <w:p>
      <w:pPr>
        <w:spacing w:after="0" w:line="45" w:lineRule="exact"/>
        <w:rPr>
          <w:sz w:val="24"/>
          <w:szCs w:val="24"/>
          <w:color w:val="auto"/>
        </w:rPr>
      </w:pPr>
    </w:p>
    <w:p>
      <w:pPr>
        <w:ind w:firstLine="315"/>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8" w:lineRule="exact"/>
        <w:rPr>
          <w:sz w:val="24"/>
          <w:szCs w:val="24"/>
          <w:color w:val="auto"/>
        </w:rPr>
      </w:pPr>
    </w:p>
    <w:p>
      <w:pPr>
        <w:spacing w:after="0" w:line="184" w:lineRule="exact"/>
        <w:tabs>
          <w:tab w:leader="none" w:pos="780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33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April 25, 2025, there were 162,694,355 shares of the registrant’s common stock outstanding, par value $0.001 per share.</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-43815</wp:posOffset>
            </wp:positionV>
            <wp:extent cx="713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-77470</wp:posOffset>
            </wp:positionV>
            <wp:extent cx="713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6730365</wp:posOffset>
            </wp:positionH>
            <wp:positionV relativeFrom="paragraph">
              <wp:posOffset>-127635</wp:posOffset>
            </wp:positionV>
            <wp:extent cx="384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4175" cy="8255"/>
                    </a:xfrm>
                    <a:prstGeom prst="rect">
                      <a:avLst/>
                    </a:prstGeom>
                    <a:noFill/>
                  </pic:spPr>
                </pic:pic>
              </a:graphicData>
            </a:graphic>
          </wp:anchor>
        </w:drawing>
      </w:r>
    </w:p>
    <w:tbl>
      <w:tblPr>
        <w:tblLayout w:type="fixed"/>
        <w:tblInd w:w="1320" w:type="dxa"/>
        <w:tblCellMar>
          <w:top w:w="0" w:type="dxa"/>
          <w:left w:w="0" w:type="dxa"/>
          <w:bottom w:w="0" w:type="dxa"/>
          <w:right w:w="0" w:type="dxa"/>
        </w:tblCellMar>
      </w:tblPr>
      <w:tr>
        <w:trPr>
          <w:trHeight w:val="193"/>
        </w:trPr>
        <w:tc>
          <w:tcPr>
            <w:tcW w:w="1900" w:type="dxa"/>
            <w:vAlign w:val="bottom"/>
            <w:tcBorders>
              <w:bottom w:val="single" w:sz="8" w:color="0000FF"/>
            </w:tcBorders>
          </w:tcPr>
          <w:p>
            <w:pPr>
              <w:spacing w:after="0" w:line="172" w:lineRule="exact"/>
              <w:rPr>
                <w:sz w:val="20"/>
                <w:szCs w:val="20"/>
                <w:color w:val="auto"/>
              </w:rPr>
            </w:pPr>
            <w:r>
              <w:rPr>
                <w:rFonts w:ascii="Times New Roman" w:cs="Times New Roman" w:eastAsia="Times New Roman" w:hAnsi="Times New Roman"/>
                <w:sz w:val="17"/>
                <w:szCs w:val="17"/>
                <w:color w:val="0000FF"/>
                <w:w w:val="96"/>
              </w:rPr>
              <w:t>Part I. Financial Information</w:t>
            </w:r>
          </w:p>
        </w:tc>
        <w:tc>
          <w:tcPr>
            <w:tcW w:w="7960" w:type="dxa"/>
            <w:vAlign w:val="bottom"/>
          </w:tcPr>
          <w:p>
            <w:pPr>
              <w:jc w:val="right"/>
              <w:spacing w:after="0" w:line="173" w:lineRule="exact"/>
              <w:rPr>
                <w:sz w:val="20"/>
                <w:szCs w:val="20"/>
                <w:color w:val="auto"/>
              </w:rPr>
            </w:pPr>
            <w:r>
              <w:rPr>
                <w:rFonts w:ascii="Times New Roman" w:cs="Times New Roman" w:eastAsia="Times New Roman" w:hAnsi="Times New Roman"/>
                <w:sz w:val="18"/>
                <w:szCs w:val="18"/>
                <w:color w:val="0000FF"/>
              </w:rPr>
              <w:t>3</w:t>
            </w:r>
          </w:p>
        </w:tc>
      </w:tr>
    </w:tbl>
    <w:p>
      <w:pPr>
        <w:spacing w:after="0" w:line="83" w:lineRule="exact"/>
        <w:rPr>
          <w:sz w:val="20"/>
          <w:szCs w:val="20"/>
          <w:color w:val="auto"/>
        </w:rPr>
      </w:pPr>
    </w:p>
    <w:p>
      <w:pPr>
        <w:ind w:left="1320" w:hanging="1251"/>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u w:val="single" w:color="auto"/>
          <w:color w:val="0000FF"/>
        </w:rPr>
        <w:t>FINANCIAL STATEMENTS (UNAUDITED)</w:t>
      </w:r>
    </w:p>
    <w:tbl>
      <w:tblPr>
        <w:tblLayout w:type="fixed"/>
        <w:tblInd w:w="60" w:type="dxa"/>
        <w:tblCellMar>
          <w:top w:w="0" w:type="dxa"/>
          <w:left w:w="0" w:type="dxa"/>
          <w:bottom w:w="0" w:type="dxa"/>
          <w:right w:w="0" w:type="dxa"/>
        </w:tblCellMar>
      </w:tblPr>
      <w:tr>
        <w:trPr>
          <w:trHeight w:val="196"/>
        </w:trPr>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20" w:type="dxa"/>
            <w:vAlign w:val="bottom"/>
            <w:tcBorders>
              <w:bottom w:val="single" w:sz="8" w:color="0000FF"/>
            </w:tcBorders>
            <w:gridSpan w:val="12"/>
          </w:tcPr>
          <w:p>
            <w:pPr>
              <w:spacing w:after="0" w:line="176" w:lineRule="exact"/>
              <w:rPr>
                <w:sz w:val="20"/>
                <w:szCs w:val="20"/>
                <w:color w:val="auto"/>
              </w:rPr>
            </w:pPr>
            <w:r>
              <w:rPr>
                <w:rFonts w:ascii="Times New Roman" w:cs="Times New Roman" w:eastAsia="Times New Roman" w:hAnsi="Times New Roman"/>
                <w:sz w:val="17"/>
                <w:szCs w:val="17"/>
                <w:color w:val="0000FF"/>
                <w:w w:val="97"/>
              </w:rPr>
              <w:t>Consolidated Balance Sheets as of March 31, 2025 and December 31, 2024</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0000FF"/>
              </w:rPr>
              <w:t>3</w:t>
            </w:r>
          </w:p>
        </w:tc>
      </w:tr>
      <w:tr>
        <w:trPr>
          <w:trHeight w:val="203"/>
        </w:trPr>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40" w:type="dxa"/>
            <w:vAlign w:val="bottom"/>
            <w:tcBorders>
              <w:bottom w:val="single" w:sz="8" w:color="0000FF"/>
            </w:tcBorders>
            <w:gridSpan w:val="14"/>
          </w:tcPr>
          <w:p>
            <w:pPr>
              <w:spacing w:after="0" w:line="190" w:lineRule="exact"/>
              <w:rPr>
                <w:sz w:val="20"/>
                <w:szCs w:val="20"/>
                <w:color w:val="auto"/>
              </w:rPr>
            </w:pPr>
            <w:r>
              <w:rPr>
                <w:rFonts w:ascii="Times New Roman" w:cs="Times New Roman" w:eastAsia="Times New Roman" w:hAnsi="Times New Roman"/>
                <w:sz w:val="17"/>
                <w:szCs w:val="17"/>
                <w:color w:val="0000FF"/>
                <w:w w:val="97"/>
              </w:rPr>
              <w:t>Consolidated Statements of Income for the Three Months Ended March 31, 2025 and 2024</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0000FF"/>
              </w:rPr>
              <w:t>4</w:t>
            </w:r>
          </w:p>
        </w:tc>
      </w:tr>
      <w:tr>
        <w:trPr>
          <w:trHeight w:val="203"/>
        </w:trPr>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40" w:type="dxa"/>
            <w:vAlign w:val="bottom"/>
            <w:tcBorders>
              <w:bottom w:val="single" w:sz="8" w:color="0000FF"/>
            </w:tcBorders>
            <w:gridSpan w:val="17"/>
          </w:tcPr>
          <w:p>
            <w:pPr>
              <w:spacing w:after="0" w:line="190" w:lineRule="exact"/>
              <w:rPr>
                <w:sz w:val="20"/>
                <w:szCs w:val="20"/>
                <w:color w:val="auto"/>
              </w:rPr>
            </w:pPr>
            <w:r>
              <w:rPr>
                <w:rFonts w:ascii="Times New Roman" w:cs="Times New Roman" w:eastAsia="Times New Roman" w:hAnsi="Times New Roman"/>
                <w:sz w:val="17"/>
                <w:szCs w:val="17"/>
                <w:color w:val="0000FF"/>
                <w:w w:val="97"/>
              </w:rPr>
              <w:t>Consolidated Statements of Comprehensive Income for the Three Months Ended March 31, 2025 and 2024</w:t>
            </w:r>
          </w:p>
        </w:tc>
        <w:tc>
          <w:tcPr>
            <w:tcW w:w="1160" w:type="dxa"/>
            <w:vAlign w:val="bottom"/>
          </w:tcPr>
          <w:p>
            <w:pPr>
              <w:spacing w:after="0"/>
              <w:rPr>
                <w:sz w:val="17"/>
                <w:szCs w:val="17"/>
                <w:color w:val="auto"/>
              </w:rPr>
            </w:pPr>
          </w:p>
        </w:tc>
        <w:tc>
          <w:tcPr>
            <w:tcW w:w="13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0000FF"/>
              </w:rPr>
              <w:t>5</w:t>
            </w:r>
          </w:p>
        </w:tc>
      </w:tr>
      <w:tr>
        <w:trPr>
          <w:trHeight w:val="203"/>
        </w:trPr>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tcBorders>
              <w:bottom w:val="single" w:sz="8" w:color="0000FF"/>
            </w:tcBorders>
            <w:gridSpan w:val="16"/>
          </w:tcPr>
          <w:p>
            <w:pPr>
              <w:spacing w:after="0" w:line="190" w:lineRule="exact"/>
              <w:rPr>
                <w:sz w:val="20"/>
                <w:szCs w:val="20"/>
                <w:color w:val="auto"/>
              </w:rPr>
            </w:pPr>
            <w:r>
              <w:rPr>
                <w:rFonts w:ascii="Times New Roman" w:cs="Times New Roman" w:eastAsia="Times New Roman" w:hAnsi="Times New Roman"/>
                <w:sz w:val="17"/>
                <w:szCs w:val="17"/>
                <w:color w:val="0000FF"/>
                <w:w w:val="97"/>
              </w:rPr>
              <w:t>Consolidated Statements of Stockholders' Equity for the Three Months Ended March 31, 2025 and 2024</w:t>
            </w:r>
          </w:p>
        </w:tc>
        <w:tc>
          <w:tcPr>
            <w:tcW w:w="1360" w:type="dxa"/>
            <w:vAlign w:val="bottom"/>
            <w:gridSpan w:val="2"/>
          </w:tcPr>
          <w:p>
            <w:pPr>
              <w:spacing w:after="0"/>
              <w:rPr>
                <w:sz w:val="17"/>
                <w:szCs w:val="17"/>
                <w:color w:val="auto"/>
              </w:rPr>
            </w:pPr>
          </w:p>
        </w:tc>
        <w:tc>
          <w:tcPr>
            <w:tcW w:w="13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0000FF"/>
              </w:rPr>
              <w:t>6</w:t>
            </w:r>
          </w:p>
        </w:tc>
      </w:tr>
      <w:tr>
        <w:trPr>
          <w:trHeight w:val="203"/>
        </w:trPr>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00" w:type="dxa"/>
            <w:vAlign w:val="bottom"/>
            <w:gridSpan w:val="18"/>
          </w:tcPr>
          <w:p>
            <w:pPr>
              <w:spacing w:after="0" w:line="190" w:lineRule="exact"/>
              <w:rPr>
                <w:sz w:val="20"/>
                <w:szCs w:val="20"/>
                <w:color w:val="auto"/>
              </w:rPr>
            </w:pPr>
            <w:r>
              <w:rPr>
                <w:rFonts w:ascii="Times New Roman" w:cs="Times New Roman" w:eastAsia="Times New Roman" w:hAnsi="Times New Roman"/>
                <w:sz w:val="17"/>
                <w:szCs w:val="17"/>
                <w:color w:val="0000FF"/>
              </w:rPr>
              <w:t>Consolidated Statements of Cash Flows for the Three Months Ended March 31, 2025 and 2024</w:t>
            </w:r>
          </w:p>
        </w:tc>
        <w:tc>
          <w:tcPr>
            <w:tcW w:w="13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0000FF"/>
              </w:rPr>
              <w:t>7</w:t>
            </w:r>
          </w:p>
        </w:tc>
      </w:tr>
      <w:tr>
        <w:trPr>
          <w:trHeight w:val="203"/>
        </w:trPr>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20" w:type="dxa"/>
            <w:vAlign w:val="bottom"/>
            <w:tcBorders>
              <w:top w:val="single" w:sz="8" w:color="0000FF"/>
            </w:tcBorders>
            <w:gridSpan w:val="15"/>
          </w:tcPr>
          <w:p>
            <w:pPr>
              <w:spacing w:after="0" w:line="190" w:lineRule="exact"/>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1980" w:type="dxa"/>
            <w:vAlign w:val="bottom"/>
            <w:gridSpan w:val="3"/>
          </w:tcPr>
          <w:p>
            <w:pPr>
              <w:spacing w:after="0"/>
              <w:rPr>
                <w:sz w:val="17"/>
                <w:szCs w:val="17"/>
                <w:color w:val="auto"/>
              </w:rPr>
            </w:pPr>
          </w:p>
        </w:tc>
        <w:tc>
          <w:tcPr>
            <w:tcW w:w="13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22"/>
                <w:szCs w:val="22"/>
                <w:color w:val="auto"/>
              </w:rPr>
            </w:pPr>
          </w:p>
        </w:tc>
        <w:tc>
          <w:tcPr>
            <w:tcW w:w="850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tcPr>
          <w:p>
            <w:pPr>
              <w:spacing w:after="0"/>
              <w:rPr>
                <w:sz w:val="22"/>
                <w:szCs w:val="22"/>
                <w:color w:val="auto"/>
              </w:rPr>
            </w:pPr>
          </w:p>
        </w:tc>
        <w:tc>
          <w:tcPr>
            <w:tcW w:w="40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w w:val="97"/>
              </w:rPr>
              <w:t>Quantitative and Qualitative Disclosures About Market Risk</w:t>
            </w:r>
          </w:p>
        </w:tc>
        <w:tc>
          <w:tcPr>
            <w:tcW w:w="1920" w:type="dxa"/>
            <w:vAlign w:val="bottom"/>
            <w:tcBorders>
              <w:top w:val="single" w:sz="8" w:color="0000FF"/>
            </w:tcBorders>
            <w:gridSpan w:val="2"/>
          </w:tcPr>
          <w:p>
            <w:pPr>
              <w:spacing w:after="0"/>
              <w:rPr>
                <w:sz w:val="22"/>
                <w:szCs w:val="22"/>
                <w:color w:val="auto"/>
              </w:rPr>
            </w:pPr>
          </w:p>
        </w:tc>
        <w:tc>
          <w:tcPr>
            <w:tcW w:w="2540" w:type="dxa"/>
            <w:vAlign w:val="bottom"/>
            <w:gridSpan w:val="5"/>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w:t>
            </w: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Pr>
          <w:p>
            <w:pPr>
              <w:spacing w:after="0"/>
              <w:rPr>
                <w:sz w:val="22"/>
                <w:szCs w:val="22"/>
                <w:color w:val="auto"/>
              </w:rPr>
            </w:pPr>
          </w:p>
        </w:tc>
        <w:tc>
          <w:tcPr>
            <w:tcW w:w="16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8"/>
              </w:rPr>
              <w:t>Controls and Procedures</w:t>
            </w:r>
          </w:p>
        </w:tc>
        <w:tc>
          <w:tcPr>
            <w:tcW w:w="6840" w:type="dxa"/>
            <w:vAlign w:val="bottom"/>
            <w:gridSpan w:val="12"/>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w:t>
            </w:r>
          </w:p>
        </w:tc>
      </w:tr>
      <w:tr>
        <w:trPr>
          <w:trHeight w:val="256"/>
        </w:trPr>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w w:val="96"/>
              </w:rPr>
              <w:t>Part II. Other Information</w:t>
            </w:r>
          </w:p>
        </w:tc>
        <w:tc>
          <w:tcPr>
            <w:tcW w:w="6780" w:type="dxa"/>
            <w:vAlign w:val="bottom"/>
            <w:gridSpan w:val="11"/>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w:t>
            </w: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Pr>
          <w:p>
            <w:pPr>
              <w:spacing w:after="0"/>
              <w:rPr>
                <w:sz w:val="22"/>
                <w:szCs w:val="22"/>
                <w:color w:val="auto"/>
              </w:rPr>
            </w:pPr>
          </w:p>
        </w:tc>
        <w:tc>
          <w:tcPr>
            <w:tcW w:w="12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6"/>
              </w:rPr>
              <w:t>Legal Proceedings</w:t>
            </w:r>
          </w:p>
        </w:tc>
        <w:tc>
          <w:tcPr>
            <w:tcW w:w="7260" w:type="dxa"/>
            <w:vAlign w:val="bottom"/>
            <w:gridSpan w:val="14"/>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w:t>
            </w:r>
          </w:p>
        </w:tc>
      </w:tr>
      <w:tr>
        <w:trPr>
          <w:trHeight w:val="25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1A.</w:t>
            </w:r>
          </w:p>
        </w:tc>
        <w:tc>
          <w:tcPr>
            <w:tcW w:w="8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5"/>
              </w:rPr>
              <w:t>Risk Factors</w:t>
            </w:r>
          </w:p>
        </w:tc>
        <w:tc>
          <w:tcPr>
            <w:tcW w:w="7660" w:type="dxa"/>
            <w:vAlign w:val="bottom"/>
            <w:gridSpan w:val="16"/>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w:t>
            </w: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22"/>
                <w:szCs w:val="22"/>
                <w:color w:val="auto"/>
              </w:rPr>
            </w:pPr>
          </w:p>
        </w:tc>
        <w:tc>
          <w:tcPr>
            <w:tcW w:w="40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w w:val="97"/>
              </w:rPr>
              <w:t>Unregistered Sales of Equity Securities and Use of Proceeds</w:t>
            </w:r>
          </w:p>
        </w:tc>
        <w:tc>
          <w:tcPr>
            <w:tcW w:w="4480" w:type="dxa"/>
            <w:vAlign w:val="bottom"/>
            <w:gridSpan w:val="8"/>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w:t>
            </w: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tcPr>
          <w:p>
            <w:pPr>
              <w:spacing w:after="0"/>
              <w:rPr>
                <w:sz w:val="22"/>
                <w:szCs w:val="22"/>
                <w:color w:val="auto"/>
              </w:rPr>
            </w:pPr>
          </w:p>
        </w:tc>
        <w:tc>
          <w:tcPr>
            <w:tcW w:w="850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w:t>
            </w: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Pr>
          <w:p>
            <w:pPr>
              <w:spacing w:after="0"/>
              <w:rPr>
                <w:sz w:val="22"/>
                <w:szCs w:val="22"/>
                <w:color w:val="auto"/>
              </w:rPr>
            </w:pPr>
          </w:p>
        </w:tc>
        <w:tc>
          <w:tcPr>
            <w:tcW w:w="16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6"/>
              </w:rPr>
              <w:t>Mine Safety Disclosures</w:t>
            </w:r>
          </w:p>
        </w:tc>
        <w:tc>
          <w:tcPr>
            <w:tcW w:w="500" w:type="dxa"/>
            <w:vAlign w:val="bottom"/>
            <w:tcBorders>
              <w:top w:val="single" w:sz="8" w:color="0000FF"/>
            </w:tcBorders>
            <w:gridSpan w:val="3"/>
          </w:tcPr>
          <w:p>
            <w:pPr>
              <w:spacing w:after="0"/>
              <w:rPr>
                <w:sz w:val="22"/>
                <w:szCs w:val="22"/>
                <w:color w:val="auto"/>
              </w:rPr>
            </w:pPr>
          </w:p>
        </w:tc>
        <w:tc>
          <w:tcPr>
            <w:tcW w:w="6360" w:type="dxa"/>
            <w:vAlign w:val="bottom"/>
            <w:gridSpan w:val="10"/>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w:t>
            </w: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tcPr>
          <w:p>
            <w:pPr>
              <w:spacing w:after="0"/>
              <w:rPr>
                <w:sz w:val="22"/>
                <w:szCs w:val="22"/>
                <w:color w:val="auto"/>
              </w:rPr>
            </w:pPr>
          </w:p>
        </w:tc>
        <w:tc>
          <w:tcPr>
            <w:tcW w:w="12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6"/>
              </w:rPr>
              <w:t>Other Information</w:t>
            </w:r>
          </w:p>
        </w:tc>
        <w:tc>
          <w:tcPr>
            <w:tcW w:w="7280" w:type="dxa"/>
            <w:vAlign w:val="bottom"/>
            <w:gridSpan w:val="15"/>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w:t>
            </w: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520" w:type="dxa"/>
            <w:vAlign w:val="bottom"/>
          </w:tcPr>
          <w:p>
            <w:pPr>
              <w:spacing w:after="0"/>
              <w:rPr>
                <w:sz w:val="22"/>
                <w:szCs w:val="22"/>
                <w:color w:val="auto"/>
              </w:rPr>
            </w:pPr>
          </w:p>
        </w:tc>
        <w:tc>
          <w:tcPr>
            <w:tcW w:w="850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Exhibits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w:t>
            </w:r>
          </w:p>
        </w:tc>
      </w:tr>
      <w:tr>
        <w:trPr>
          <w:trHeight w:val="269"/>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w:t>
            </w:r>
          </w:p>
        </w:tc>
      </w:tr>
      <w:tr>
        <w:trPr>
          <w:trHeight w:val="20"/>
        </w:trPr>
        <w:tc>
          <w:tcPr>
            <w:tcW w:w="7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356"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168"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106"/>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spacing w:after="0"/>
              <w:rPr>
                <w:sz w:val="14"/>
                <w:szCs w:val="14"/>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260" w:type="dxa"/>
            <w:vAlign w:val="bottom"/>
          </w:tcPr>
          <w:p>
            <w:pPr>
              <w:spacing w:after="0"/>
              <w:rPr>
                <w:sz w:val="14"/>
                <w:szCs w:val="14"/>
                <w:color w:val="auto"/>
              </w:rPr>
            </w:pPr>
          </w:p>
        </w:tc>
        <w:tc>
          <w:tcPr>
            <w:tcW w:w="1600" w:type="dxa"/>
            <w:vAlign w:val="bottom"/>
          </w:tcPr>
          <w:p>
            <w:pPr>
              <w:jc w:val="right"/>
              <w:ind w:right="366"/>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182"/>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140,442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w w:val="79"/>
              </w:rPr>
              <w:t>$</w:t>
            </w:r>
          </w:p>
        </w:tc>
        <w:tc>
          <w:tcPr>
            <w:tcW w:w="1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153,355</w:t>
            </w:r>
          </w:p>
        </w:tc>
        <w:tc>
          <w:tcPr>
            <w:tcW w:w="0" w:type="dxa"/>
            <w:vAlign w:val="bottom"/>
          </w:tcPr>
          <w:p>
            <w:pPr>
              <w:spacing w:after="0"/>
              <w:rPr>
                <w:sz w:val="1"/>
                <w:szCs w:val="1"/>
                <w:color w:val="auto"/>
              </w:rPr>
            </w:pPr>
          </w:p>
        </w:tc>
      </w:tr>
      <w:tr>
        <w:trPr>
          <w:trHeight w:val="195"/>
        </w:trPr>
        <w:tc>
          <w:tcPr>
            <w:tcW w:w="63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Short-term investments</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190,978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187,223</w:t>
            </w:r>
          </w:p>
        </w:tc>
        <w:tc>
          <w:tcPr>
            <w:tcW w:w="0" w:type="dxa"/>
            <w:vAlign w:val="bottom"/>
          </w:tcPr>
          <w:p>
            <w:pPr>
              <w:spacing w:after="0"/>
              <w:rPr>
                <w:sz w:val="1"/>
                <w:szCs w:val="1"/>
                <w:color w:val="auto"/>
              </w:rPr>
            </w:pPr>
          </w:p>
        </w:tc>
      </w:tr>
      <w:tr>
        <w:trPr>
          <w:trHeight w:val="199"/>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Restricted cash</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9,826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9,972</w:t>
            </w:r>
          </w:p>
        </w:tc>
        <w:tc>
          <w:tcPr>
            <w:tcW w:w="0" w:type="dxa"/>
            <w:vAlign w:val="bottom"/>
          </w:tcPr>
          <w:p>
            <w:pPr>
              <w:spacing w:after="0"/>
              <w:rPr>
                <w:sz w:val="1"/>
                <w:szCs w:val="1"/>
                <w:color w:val="auto"/>
              </w:rPr>
            </w:pPr>
          </w:p>
        </w:tc>
      </w:tr>
      <w:tr>
        <w:trPr>
          <w:trHeight w:val="195"/>
        </w:trPr>
        <w:tc>
          <w:tcPr>
            <w:tcW w:w="63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receivable, net</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339,856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304,322</w:t>
            </w:r>
          </w:p>
        </w:tc>
        <w:tc>
          <w:tcPr>
            <w:tcW w:w="0" w:type="dxa"/>
            <w:vAlign w:val="bottom"/>
          </w:tcPr>
          <w:p>
            <w:pPr>
              <w:spacing w:after="0"/>
              <w:rPr>
                <w:sz w:val="1"/>
                <w:szCs w:val="1"/>
                <w:color w:val="auto"/>
              </w:rPr>
            </w:pPr>
          </w:p>
        </w:tc>
      </w:tr>
      <w:tr>
        <w:trPr>
          <w:trHeight w:val="199"/>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current assets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11</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150,203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140,317</w:t>
            </w:r>
          </w:p>
        </w:tc>
        <w:tc>
          <w:tcPr>
            <w:tcW w:w="0" w:type="dxa"/>
            <w:vAlign w:val="bottom"/>
          </w:tcPr>
          <w:p>
            <w:pPr>
              <w:spacing w:after="0"/>
              <w:rPr>
                <w:sz w:val="1"/>
                <w:szCs w:val="1"/>
                <w:color w:val="auto"/>
              </w:rPr>
            </w:pPr>
          </w:p>
        </w:tc>
      </w:tr>
      <w:tr>
        <w:trPr>
          <w:trHeight w:val="190"/>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831,305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795,189</w:t>
            </w: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107,148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101,837</w:t>
            </w:r>
          </w:p>
        </w:tc>
        <w:tc>
          <w:tcPr>
            <w:tcW w:w="0" w:type="dxa"/>
            <w:vAlign w:val="bottom"/>
          </w:tcPr>
          <w:p>
            <w:pPr>
              <w:spacing w:after="0"/>
              <w:rPr>
                <w:sz w:val="1"/>
                <w:szCs w:val="1"/>
                <w:color w:val="auto"/>
              </w:rPr>
            </w:pPr>
          </w:p>
        </w:tc>
      </w:tr>
      <w:tr>
        <w:trPr>
          <w:trHeight w:val="195"/>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71,150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68,784</w:t>
            </w:r>
          </w:p>
        </w:tc>
        <w:tc>
          <w:tcPr>
            <w:tcW w:w="0" w:type="dxa"/>
            <w:vAlign w:val="bottom"/>
          </w:tcPr>
          <w:p>
            <w:pPr>
              <w:spacing w:after="0"/>
              <w:rPr>
                <w:sz w:val="1"/>
                <w:szCs w:val="1"/>
                <w:color w:val="auto"/>
              </w:rPr>
            </w:pPr>
          </w:p>
        </w:tc>
      </w:tr>
      <w:tr>
        <w:trPr>
          <w:trHeight w:val="19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cash</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8,210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8,071</w:t>
            </w:r>
          </w:p>
        </w:tc>
        <w:tc>
          <w:tcPr>
            <w:tcW w:w="0" w:type="dxa"/>
            <w:vAlign w:val="bottom"/>
          </w:tcPr>
          <w:p>
            <w:pPr>
              <w:spacing w:after="0"/>
              <w:rPr>
                <w:sz w:val="1"/>
                <w:szCs w:val="1"/>
                <w:color w:val="auto"/>
              </w:rPr>
            </w:pPr>
          </w:p>
        </w:tc>
      </w:tr>
      <w:tr>
        <w:trPr>
          <w:trHeight w:val="195"/>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 assets, net</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109,953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104,747</w:t>
            </w:r>
          </w:p>
        </w:tc>
        <w:tc>
          <w:tcPr>
            <w:tcW w:w="0" w:type="dxa"/>
            <w:vAlign w:val="bottom"/>
          </w:tcPr>
          <w:p>
            <w:pPr>
              <w:spacing w:after="0"/>
              <w:rPr>
                <w:sz w:val="1"/>
                <w:szCs w:val="1"/>
                <w:color w:val="auto"/>
              </w:rPr>
            </w:pPr>
          </w:p>
        </w:tc>
      </w:tr>
      <w:tr>
        <w:trPr>
          <w:trHeight w:val="19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420,494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420,387</w:t>
            </w:r>
          </w:p>
        </w:tc>
        <w:tc>
          <w:tcPr>
            <w:tcW w:w="0" w:type="dxa"/>
            <w:vAlign w:val="bottom"/>
          </w:tcPr>
          <w:p>
            <w:pPr>
              <w:spacing w:after="0"/>
              <w:rPr>
                <w:sz w:val="1"/>
                <w:szCs w:val="1"/>
                <w:color w:val="auto"/>
              </w:rPr>
            </w:pPr>
          </w:p>
        </w:tc>
      </w:tr>
      <w:tr>
        <w:trPr>
          <w:trHeight w:val="195"/>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46,092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49,331</w:t>
            </w:r>
          </w:p>
        </w:tc>
        <w:tc>
          <w:tcPr>
            <w:tcW w:w="0" w:type="dxa"/>
            <w:vAlign w:val="bottom"/>
          </w:tcPr>
          <w:p>
            <w:pPr>
              <w:spacing w:after="0"/>
              <w:rPr>
                <w:sz w:val="1"/>
                <w:szCs w:val="1"/>
                <w:color w:val="auto"/>
              </w:rPr>
            </w:pPr>
          </w:p>
        </w:tc>
      </w:tr>
      <w:tr>
        <w:trPr>
          <w:trHeight w:val="19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investments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20,134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13,972</w:t>
            </w:r>
          </w:p>
        </w:tc>
        <w:tc>
          <w:tcPr>
            <w:tcW w:w="0" w:type="dxa"/>
            <w:vAlign w:val="bottom"/>
          </w:tcPr>
          <w:p>
            <w:pPr>
              <w:spacing w:after="0"/>
              <w:rPr>
                <w:sz w:val="1"/>
                <w:szCs w:val="1"/>
                <w:color w:val="auto"/>
              </w:rPr>
            </w:pPr>
          </w:p>
        </w:tc>
      </w:tr>
      <w:tr>
        <w:trPr>
          <w:trHeight w:val="195"/>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3"/>
              </w:rPr>
              <w:t>12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61,925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56,085</w:t>
            </w:r>
          </w:p>
        </w:tc>
        <w:tc>
          <w:tcPr>
            <w:tcW w:w="0" w:type="dxa"/>
            <w:vAlign w:val="bottom"/>
          </w:tcPr>
          <w:p>
            <w:pPr>
              <w:spacing w:after="0"/>
              <w:rPr>
                <w:sz w:val="1"/>
                <w:szCs w:val="1"/>
                <w:color w:val="auto"/>
              </w:rPr>
            </w:pPr>
          </w:p>
        </w:tc>
      </w:tr>
      <w:tr>
        <w:trPr>
          <w:trHeight w:val="217"/>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1,676,411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6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1,618,403</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3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payable</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5,648</w:t>
            </w:r>
          </w:p>
        </w:tc>
        <w:tc>
          <w:tcPr>
            <w:tcW w:w="120" w:type="dxa"/>
            <w:vAlign w:val="bottom"/>
          </w:tcPr>
          <w:p>
            <w:pPr>
              <w:spacing w:after="0"/>
              <w:rPr>
                <w:sz w:val="16"/>
                <w:szCs w:val="16"/>
                <w:color w:val="auto"/>
              </w:rPr>
            </w:pPr>
          </w:p>
        </w:tc>
        <w:tc>
          <w:tcPr>
            <w:tcW w:w="2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w w:val="79"/>
              </w:rPr>
              <w:t>$</w:t>
            </w:r>
          </w:p>
        </w:tc>
        <w:tc>
          <w:tcPr>
            <w:tcW w:w="1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5,884</w:t>
            </w:r>
          </w:p>
        </w:tc>
        <w:tc>
          <w:tcPr>
            <w:tcW w:w="0" w:type="dxa"/>
            <w:vAlign w:val="bottom"/>
          </w:tcPr>
          <w:p>
            <w:pPr>
              <w:spacing w:after="0"/>
              <w:rPr>
                <w:sz w:val="1"/>
                <w:szCs w:val="1"/>
                <w:color w:val="auto"/>
              </w:rPr>
            </w:pPr>
          </w:p>
        </w:tc>
      </w:tr>
      <w:tr>
        <w:trPr>
          <w:trHeight w:val="199"/>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Current portion of long-term borrowings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4,886</w:t>
            </w:r>
          </w:p>
        </w:tc>
        <w:tc>
          <w:tcPr>
            <w:tcW w:w="0" w:type="dxa"/>
            <w:vAlign w:val="bottom"/>
          </w:tcPr>
          <w:p>
            <w:pPr>
              <w:spacing w:after="0"/>
              <w:rPr>
                <w:sz w:val="1"/>
                <w:szCs w:val="1"/>
                <w:color w:val="auto"/>
              </w:rPr>
            </w:pPr>
          </w:p>
        </w:tc>
      </w:tr>
      <w:tr>
        <w:trPr>
          <w:trHeight w:val="195"/>
        </w:trPr>
        <w:tc>
          <w:tcPr>
            <w:tcW w:w="63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Deferred revenue</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20,138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19,264</w:t>
            </w:r>
          </w:p>
        </w:tc>
        <w:tc>
          <w:tcPr>
            <w:tcW w:w="0" w:type="dxa"/>
            <w:vAlign w:val="bottom"/>
          </w:tcPr>
          <w:p>
            <w:pPr>
              <w:spacing w:after="0"/>
              <w:rPr>
                <w:sz w:val="1"/>
                <w:szCs w:val="1"/>
                <w:color w:val="auto"/>
              </w:rPr>
            </w:pPr>
          </w:p>
        </w:tc>
      </w:tr>
      <w:tr>
        <w:trPr>
          <w:trHeight w:val="199"/>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Accrued employee costs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63,575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129,994</w:t>
            </w:r>
          </w:p>
        </w:tc>
        <w:tc>
          <w:tcPr>
            <w:tcW w:w="0" w:type="dxa"/>
            <w:vAlign w:val="bottom"/>
          </w:tcPr>
          <w:p>
            <w:pPr>
              <w:spacing w:after="0"/>
              <w:rPr>
                <w:sz w:val="1"/>
                <w:szCs w:val="1"/>
                <w:color w:val="auto"/>
              </w:rPr>
            </w:pPr>
          </w:p>
        </w:tc>
      </w:tr>
      <w:tr>
        <w:trPr>
          <w:trHeight w:val="195"/>
        </w:trPr>
        <w:tc>
          <w:tcPr>
            <w:tcW w:w="63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131,980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113,597</w:t>
            </w:r>
          </w:p>
        </w:tc>
        <w:tc>
          <w:tcPr>
            <w:tcW w:w="0" w:type="dxa"/>
            <w:vAlign w:val="bottom"/>
          </w:tcPr>
          <w:p>
            <w:pPr>
              <w:spacing w:after="0"/>
              <w:rPr>
                <w:sz w:val="1"/>
                <w:szCs w:val="1"/>
                <w:color w:val="auto"/>
              </w:rPr>
            </w:pPr>
          </w:p>
        </w:tc>
      </w:tr>
      <w:tr>
        <w:trPr>
          <w:trHeight w:val="199"/>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21</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17,426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16,491</w:t>
            </w:r>
          </w:p>
        </w:tc>
        <w:tc>
          <w:tcPr>
            <w:tcW w:w="0" w:type="dxa"/>
            <w:vAlign w:val="bottom"/>
          </w:tcPr>
          <w:p>
            <w:pPr>
              <w:spacing w:after="0"/>
              <w:rPr>
                <w:sz w:val="1"/>
                <w:szCs w:val="1"/>
                <w:color w:val="auto"/>
              </w:rPr>
            </w:pPr>
          </w:p>
        </w:tc>
      </w:tr>
      <w:tr>
        <w:trPr>
          <w:trHeight w:val="190"/>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243,653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290,116</w:t>
            </w: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borrowings, less current portion</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302,377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283,598</w:t>
            </w:r>
          </w:p>
        </w:tc>
        <w:tc>
          <w:tcPr>
            <w:tcW w:w="0" w:type="dxa"/>
            <w:vAlign w:val="bottom"/>
          </w:tcPr>
          <w:p>
            <w:pPr>
              <w:spacing w:after="0"/>
              <w:rPr>
                <w:sz w:val="1"/>
                <w:szCs w:val="1"/>
                <w:color w:val="auto"/>
              </w:rPr>
            </w:pPr>
          </w:p>
        </w:tc>
      </w:tr>
      <w:tr>
        <w:trPr>
          <w:trHeight w:val="195"/>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liabilities, less current portion</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61,408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59,851</w:t>
            </w:r>
          </w:p>
        </w:tc>
        <w:tc>
          <w:tcPr>
            <w:tcW w:w="0" w:type="dxa"/>
            <w:vAlign w:val="bottom"/>
          </w:tcPr>
          <w:p>
            <w:pPr>
              <w:spacing w:after="0"/>
              <w:rPr>
                <w:sz w:val="1"/>
                <w:szCs w:val="1"/>
                <w:color w:val="auto"/>
              </w:rPr>
            </w:pPr>
          </w:p>
        </w:tc>
      </w:tr>
      <w:tr>
        <w:trPr>
          <w:trHeight w:val="19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22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1,403</w:t>
            </w:r>
          </w:p>
        </w:tc>
        <w:tc>
          <w:tcPr>
            <w:tcW w:w="0" w:type="dxa"/>
            <w:vAlign w:val="bottom"/>
          </w:tcPr>
          <w:p>
            <w:pPr>
              <w:spacing w:after="0"/>
              <w:rPr>
                <w:sz w:val="1"/>
                <w:szCs w:val="1"/>
                <w:color w:val="auto"/>
              </w:rPr>
            </w:pPr>
          </w:p>
        </w:tc>
      </w:tr>
      <w:tr>
        <w:trPr>
          <w:trHeight w:val="195"/>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3"/>
              </w:rPr>
              <w:t>14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55,471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53,573</w:t>
            </w:r>
          </w:p>
        </w:tc>
        <w:tc>
          <w:tcPr>
            <w:tcW w:w="0" w:type="dxa"/>
            <w:vAlign w:val="bottom"/>
          </w:tcPr>
          <w:p>
            <w:pPr>
              <w:spacing w:after="0"/>
              <w:rPr>
                <w:sz w:val="1"/>
                <w:szCs w:val="1"/>
                <w:color w:val="auto"/>
              </w:rPr>
            </w:pPr>
          </w:p>
        </w:tc>
      </w:tr>
      <w:tr>
        <w:trPr>
          <w:trHeight w:val="19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664,534</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688,541</w:t>
            </w:r>
          </w:p>
        </w:tc>
        <w:tc>
          <w:tcPr>
            <w:tcW w:w="0" w:type="dxa"/>
            <w:vAlign w:val="bottom"/>
          </w:tcPr>
          <w:p>
            <w:pPr>
              <w:spacing w:after="0"/>
              <w:rPr>
                <w:sz w:val="1"/>
                <w:szCs w:val="1"/>
                <w:color w:val="auto"/>
              </w:rPr>
            </w:pPr>
          </w:p>
        </w:tc>
      </w:tr>
      <w:tr>
        <w:trPr>
          <w:trHeight w:val="175"/>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25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Preferred stock, $0.001 par value; 15,000,000 shares authorized, none issued</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34"/>
        </w:trPr>
        <w:tc>
          <w:tcPr>
            <w:tcW w:w="6300" w:type="dxa"/>
            <w:vAlign w:val="bottom"/>
            <w:shd w:val="clear" w:color="auto" w:fill="CCEEFF"/>
          </w:tcPr>
          <w:p>
            <w:pPr>
              <w:ind w:left="320"/>
              <w:spacing w:after="0" w:line="134" w:lineRule="exact"/>
              <w:rPr>
                <w:sz w:val="20"/>
                <w:szCs w:val="20"/>
                <w:color w:val="auto"/>
              </w:rPr>
            </w:pPr>
            <w:r>
              <w:rPr>
                <w:rFonts w:ascii="Times New Roman" w:cs="Times New Roman" w:eastAsia="Times New Roman" w:hAnsi="Times New Roman"/>
                <w:sz w:val="14"/>
                <w:szCs w:val="14"/>
                <w:color w:val="auto"/>
              </w:rPr>
              <w:t>Common stock, $0.001 par value; 400,000,000 shares authorized, 207,758,497 shares issued and</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0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4"/>
                <w:szCs w:val="14"/>
                <w:color w:val="auto"/>
              </w:rPr>
              <w:t>162,683,343 shares outstanding as of March 31, 2025 and 206,510,587 shares issued and 161,801,212</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shares outstanding as of December 31, 2024</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206</w:t>
            </w:r>
          </w:p>
        </w:tc>
        <w:tc>
          <w:tcPr>
            <w:tcW w:w="0" w:type="dxa"/>
            <w:vAlign w:val="bottom"/>
          </w:tcPr>
          <w:p>
            <w:pPr>
              <w:spacing w:after="0"/>
              <w:rPr>
                <w:sz w:val="1"/>
                <w:szCs w:val="1"/>
                <w:color w:val="auto"/>
              </w:rPr>
            </w:pPr>
          </w:p>
        </w:tc>
      </w:tr>
      <w:tr>
        <w:trPr>
          <w:trHeight w:val="195"/>
        </w:trPr>
        <w:tc>
          <w:tcPr>
            <w:tcW w:w="63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609,592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588,583</w:t>
            </w:r>
          </w:p>
        </w:tc>
        <w:tc>
          <w:tcPr>
            <w:tcW w:w="0" w:type="dxa"/>
            <w:vAlign w:val="bottom"/>
          </w:tcPr>
          <w:p>
            <w:pPr>
              <w:spacing w:after="0"/>
              <w:rPr>
                <w:sz w:val="1"/>
                <w:szCs w:val="1"/>
                <w:color w:val="auto"/>
              </w:rPr>
            </w:pPr>
          </w:p>
        </w:tc>
      </w:tr>
      <w:tr>
        <w:trPr>
          <w:trHeight w:val="199"/>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Retained earnings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1,348,521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1,281,960</w:t>
            </w:r>
          </w:p>
        </w:tc>
        <w:tc>
          <w:tcPr>
            <w:tcW w:w="0" w:type="dxa"/>
            <w:vAlign w:val="bottom"/>
          </w:tcPr>
          <w:p>
            <w:pPr>
              <w:spacing w:after="0"/>
              <w:rPr>
                <w:sz w:val="1"/>
                <w:szCs w:val="1"/>
                <w:color w:val="auto"/>
              </w:rPr>
            </w:pPr>
          </w:p>
        </w:tc>
      </w:tr>
      <w:tr>
        <w:trPr>
          <w:trHeight w:val="195"/>
        </w:trPr>
        <w:tc>
          <w:tcPr>
            <w:tcW w:w="63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3"/>
              </w:rPr>
              <w:t>15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(142,787)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(154,722)</w:t>
            </w:r>
          </w:p>
        </w:tc>
        <w:tc>
          <w:tcPr>
            <w:tcW w:w="0" w:type="dxa"/>
            <w:vAlign w:val="bottom"/>
          </w:tcPr>
          <w:p>
            <w:pPr>
              <w:spacing w:after="0"/>
              <w:rPr>
                <w:sz w:val="1"/>
                <w:szCs w:val="1"/>
                <w:color w:val="auto"/>
              </w:rPr>
            </w:pPr>
          </w:p>
        </w:tc>
      </w:tr>
      <w:tr>
        <w:trPr>
          <w:trHeight w:val="19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including shares held in treasury</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1,815,533</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1,716,027</w:t>
            </w:r>
          </w:p>
        </w:tc>
        <w:tc>
          <w:tcPr>
            <w:tcW w:w="0" w:type="dxa"/>
            <w:vAlign w:val="bottom"/>
          </w:tcPr>
          <w:p>
            <w:pPr>
              <w:spacing w:after="0"/>
              <w:rPr>
                <w:sz w:val="1"/>
                <w:szCs w:val="1"/>
                <w:color w:val="auto"/>
              </w:rPr>
            </w:pPr>
          </w:p>
        </w:tc>
      </w:tr>
      <w:tr>
        <w:trPr>
          <w:trHeight w:val="111"/>
        </w:trPr>
        <w:tc>
          <w:tcPr>
            <w:tcW w:w="6300" w:type="dxa"/>
            <w:vAlign w:val="bottom"/>
          </w:tcPr>
          <w:p>
            <w:pPr>
              <w:ind w:left="20"/>
              <w:spacing w:after="0" w:line="111" w:lineRule="exact"/>
              <w:rPr>
                <w:sz w:val="20"/>
                <w:szCs w:val="20"/>
                <w:color w:val="auto"/>
              </w:rPr>
            </w:pPr>
            <w:r>
              <w:rPr>
                <w:rFonts w:ascii="Times New Roman" w:cs="Times New Roman" w:eastAsia="Times New Roman" w:hAnsi="Times New Roman"/>
                <w:sz w:val="12"/>
                <w:szCs w:val="12"/>
                <w:color w:val="auto"/>
              </w:rPr>
              <w:t>Less: 45,075,154 shares as of March 31, 2025 and 44,709,375 shares as of December 31, 2024, held in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19</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(803,656)</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(786,165)</w:t>
            </w:r>
          </w:p>
        </w:tc>
        <w:tc>
          <w:tcPr>
            <w:tcW w:w="0" w:type="dxa"/>
            <w:vAlign w:val="bottom"/>
          </w:tcPr>
          <w:p>
            <w:pPr>
              <w:spacing w:after="0"/>
              <w:rPr>
                <w:sz w:val="1"/>
                <w:szCs w:val="1"/>
                <w:color w:val="auto"/>
              </w:rPr>
            </w:pPr>
          </w:p>
        </w:tc>
      </w:tr>
      <w:tr>
        <w:trPr>
          <w:trHeight w:val="193"/>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treasury, at cost</w:t>
            </w:r>
          </w:p>
        </w:tc>
        <w:tc>
          <w:tcPr>
            <w:tcW w:w="7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1,011,877</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929,862</w:t>
            </w:r>
          </w:p>
        </w:tc>
        <w:tc>
          <w:tcPr>
            <w:tcW w:w="0" w:type="dxa"/>
            <w:vAlign w:val="bottom"/>
          </w:tcPr>
          <w:p>
            <w:pPr>
              <w:spacing w:after="0"/>
              <w:rPr>
                <w:sz w:val="1"/>
                <w:szCs w:val="1"/>
                <w:color w:val="auto"/>
              </w:rPr>
            </w:pPr>
          </w:p>
        </w:tc>
      </w:tr>
      <w:tr>
        <w:trPr>
          <w:trHeight w:val="191"/>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1,676,411</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6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1,618,403</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356"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64" w:lineRule="exact"/>
        <w:rPr>
          <w:sz w:val="20"/>
          <w:szCs w:val="20"/>
          <w:color w:val="auto"/>
        </w:rPr>
      </w:pPr>
    </w:p>
    <w:tbl>
      <w:tblPr>
        <w:tblLayout w:type="fixed"/>
        <w:tblInd w:w="260" w:type="dxa"/>
        <w:tblCellMar>
          <w:top w:w="0" w:type="dxa"/>
          <w:left w:w="0" w:type="dxa"/>
          <w:bottom w:w="0" w:type="dxa"/>
          <w:right w:w="0" w:type="dxa"/>
        </w:tblCellMar>
      </w:tblPr>
      <w:tr>
        <w:trPr>
          <w:trHeight w:val="211"/>
        </w:trPr>
        <w:tc>
          <w:tcPr>
            <w:tcW w:w="63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5"/>
        </w:trPr>
        <w:tc>
          <w:tcPr>
            <w:tcW w:w="63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3, 4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501,019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436,507</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2"/>
                <w:szCs w:val="22"/>
                <w:color w:val="auto"/>
                <w:vertAlign w:val="superscript"/>
              </w:rPr>
              <w:t>(1)</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307,705</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273,424</w:t>
            </w: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22"/>
                <w:szCs w:val="22"/>
                <w:b w:val="1"/>
                <w:bCs w:val="1"/>
                <w:color w:val="auto"/>
                <w:vertAlign w:val="superscript"/>
              </w:rPr>
              <w:t>(1)</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193,314</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163,083</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59,417</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53,243</w:t>
            </w:r>
          </w:p>
        </w:tc>
        <w:tc>
          <w:tcPr>
            <w:tcW w:w="0" w:type="dxa"/>
            <w:vAlign w:val="bottom"/>
          </w:tcPr>
          <w:p>
            <w:pPr>
              <w:spacing w:after="0"/>
              <w:rPr>
                <w:sz w:val="1"/>
                <w:szCs w:val="1"/>
                <w:color w:val="auto"/>
              </w:rPr>
            </w:pPr>
          </w:p>
        </w:tc>
      </w:tr>
      <w:tr>
        <w:trPr>
          <w:trHeight w:val="223"/>
        </w:trPr>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35,970</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9, 10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0" w:type="dxa"/>
            <w:vAlign w:val="bottom"/>
          </w:tcPr>
          <w:p>
            <w:pPr>
              <w:spacing w:after="0"/>
              <w:rPr>
                <w:sz w:val="1"/>
                <w:szCs w:val="1"/>
                <w:color w:val="auto"/>
              </w:rPr>
            </w:pPr>
          </w:p>
        </w:tc>
      </w:tr>
      <w:tr>
        <w:trPr>
          <w:trHeight w:val="217"/>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114,899</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101,559</w:t>
            </w: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78,415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61,524</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expense and earnings from equity affiliates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80,166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62,544</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earnings from equity affiliates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66,670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48,791</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2"/>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66,561</w:t>
            </w: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48,763</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80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3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23"/>
        </w:trPr>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80" w:type="dxa"/>
            <w:vAlign w:val="bottom"/>
          </w:tcPr>
          <w:p>
            <w:pPr>
              <w:spacing w:after="0"/>
              <w:rPr>
                <w:sz w:val="19"/>
                <w:szCs w:val="19"/>
                <w:color w:val="auto"/>
              </w:rPr>
            </w:pPr>
          </w:p>
        </w:tc>
        <w:tc>
          <w:tcPr>
            <w:tcW w:w="3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number of shares used in computing earnings per share: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162,490,179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165,082,387</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164,557,333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166,726,853</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00"/>
          </w:cols>
          <w:pgMar w:left="320" w:top="356" w:right="5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9" w:lineRule="exact"/>
        <w:rPr>
          <w:sz w:val="20"/>
          <w:szCs w:val="20"/>
          <w:color w:val="auto"/>
        </w:rPr>
      </w:pPr>
    </w:p>
    <w:tbl>
      <w:tblPr>
        <w:tblLayout w:type="fixed"/>
        <w:tblInd w:w="460" w:type="dxa"/>
        <w:tblCellMar>
          <w:top w:w="0" w:type="dxa"/>
          <w:left w:w="0" w:type="dxa"/>
          <w:bottom w:w="0" w:type="dxa"/>
          <w:right w:w="0" w:type="dxa"/>
        </w:tblCellMar>
      </w:tblPr>
      <w:tr>
        <w:trPr>
          <w:trHeight w:val="211"/>
        </w:trPr>
        <w:tc>
          <w:tcPr>
            <w:tcW w:w="59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5"/>
        </w:trPr>
        <w:tc>
          <w:tcPr>
            <w:tcW w:w="59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48,763</w:t>
            </w:r>
          </w:p>
        </w:tc>
      </w:tr>
      <w:tr>
        <w:trPr>
          <w:trHeight w:val="22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3"/>
        </w:trPr>
        <w:tc>
          <w:tcPr>
            <w:tcW w:w="5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gain/(loss) on cash flow hedges</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w:t>
            </w:r>
          </w:p>
        </w:tc>
      </w:tr>
      <w:tr>
        <w:trPr>
          <w:trHeight w:val="223"/>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Reclassification adjustments:</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3"/>
        </w:trPr>
        <w:tc>
          <w:tcPr>
            <w:tcW w:w="5960" w:type="dxa"/>
            <w:vAlign w:val="bottom"/>
          </w:tcPr>
          <w:p>
            <w:pPr>
              <w:ind w:left="440"/>
              <w:spacing w:after="0" w:line="223" w:lineRule="exact"/>
              <w:rPr>
                <w:sz w:val="20"/>
                <w:szCs w:val="20"/>
                <w:color w:val="auto"/>
              </w:rPr>
            </w:pPr>
            <w:r>
              <w:rPr>
                <w:rFonts w:ascii="Times New Roman" w:cs="Times New Roman" w:eastAsia="Times New Roman" w:hAnsi="Times New Roman"/>
                <w:sz w:val="18"/>
                <w:szCs w:val="18"/>
                <w:color w:val="auto"/>
              </w:rPr>
              <w:t>(Gain)/loss on cash flow hedges</w:t>
            </w:r>
            <w:r>
              <w:rPr>
                <w:rFonts w:ascii="Times New Roman" w:cs="Times New Roman" w:eastAsia="Times New Roman" w:hAnsi="Times New Roman"/>
                <w:sz w:val="22"/>
                <w:szCs w:val="22"/>
                <w:color w:val="auto"/>
                <w:vertAlign w:val="superscript"/>
              </w:rPr>
              <w:t>(1)</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3"/>
        </w:trPr>
        <w:tc>
          <w:tcPr>
            <w:tcW w:w="5960" w:type="dxa"/>
            <w:vAlign w:val="bottom"/>
            <w:shd w:val="clear" w:color="auto" w:fill="CCEEFF"/>
          </w:tcPr>
          <w:p>
            <w:pPr>
              <w:ind w:left="440"/>
              <w:spacing w:after="0" w:line="223" w:lineRule="exact"/>
              <w:rPr>
                <w:sz w:val="20"/>
                <w:szCs w:val="20"/>
                <w:color w:val="auto"/>
              </w:rPr>
            </w:pPr>
            <w:r>
              <w:rPr>
                <w:rFonts w:ascii="Times New Roman" w:cs="Times New Roman" w:eastAsia="Times New Roman" w:hAnsi="Times New Roman"/>
                <w:sz w:val="18"/>
                <w:szCs w:val="18"/>
                <w:color w:val="auto"/>
              </w:rPr>
              <w:t>Retirement benefits</w:t>
            </w:r>
            <w:r>
              <w:rPr>
                <w:rFonts w:ascii="Times New Roman" w:cs="Times New Roman" w:eastAsia="Times New Roman" w:hAnsi="Times New Roman"/>
                <w:sz w:val="22"/>
                <w:szCs w:val="22"/>
                <w:color w:val="auto"/>
                <w:vertAlign w:val="superscript"/>
              </w:rPr>
              <w:t>(2)</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3"/>
        </w:trPr>
        <w:tc>
          <w:tcPr>
            <w:tcW w:w="5960" w:type="dxa"/>
            <w:vAlign w:val="bottom"/>
            <w:tcBorders>
              <w:bottom w:val="single" w:sz="8" w:color="CCEEFF"/>
            </w:tcBorders>
          </w:tcPr>
          <w:p>
            <w:pPr>
              <w:ind w:left="100"/>
              <w:spacing w:after="0" w:line="223" w:lineRule="exact"/>
              <w:rPr>
                <w:sz w:val="20"/>
                <w:szCs w:val="20"/>
                <w:color w:val="auto"/>
              </w:rPr>
            </w:pPr>
            <w:r>
              <w:rPr>
                <w:rFonts w:ascii="Times New Roman" w:cs="Times New Roman" w:eastAsia="Times New Roman" w:hAnsi="Times New Roman"/>
                <w:sz w:val="18"/>
                <w:szCs w:val="18"/>
                <w:b w:val="1"/>
                <w:bCs w:val="1"/>
                <w:color w:val="auto"/>
              </w:rPr>
              <w:t>Income tax effects relating to above</w:t>
            </w:r>
            <w:r>
              <w:rPr>
                <w:rFonts w:ascii="Times New Roman" w:cs="Times New Roman" w:eastAsia="Times New Roman" w:hAnsi="Times New Roman"/>
                <w:sz w:val="22"/>
                <w:szCs w:val="22"/>
                <w:b w:val="1"/>
                <w:bCs w:val="1"/>
                <w:color w:val="auto"/>
                <w:vertAlign w:val="superscript"/>
              </w:rPr>
              <w:t>(3)</w:t>
            </w:r>
          </w:p>
        </w:tc>
        <w:tc>
          <w:tcPr>
            <w:tcW w:w="8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3"/>
              </w:rPr>
              <w:t>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17"/>
        </w:trPr>
        <w:tc>
          <w:tcPr>
            <w:tcW w:w="5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other comprehensive income/(loss)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11,935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(3,396)</w:t>
            </w:r>
          </w:p>
        </w:tc>
      </w:tr>
      <w:tr>
        <w:trPr>
          <w:trHeight w:val="217"/>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78,496</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45,367</w:t>
            </w:r>
          </w:p>
        </w:tc>
      </w:tr>
      <w:tr>
        <w:trPr>
          <w:trHeight w:val="20"/>
        </w:trPr>
        <w:tc>
          <w:tcPr>
            <w:tcW w:w="5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320" w:hanging="315"/>
        <w:spacing w:after="0" w:line="270" w:lineRule="auto"/>
        <w:tabs>
          <w:tab w:leader="none" w:pos="314"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These are reclassified to net income and are included in cost of revenues, operating expenses and interest expense, as applicable in the unaudited consolidated statements of income.</w:t>
      </w:r>
    </w:p>
    <w:p>
      <w:pPr>
        <w:spacing w:after="0" w:line="60" w:lineRule="exact"/>
        <w:rPr>
          <w:rFonts w:ascii="Times New Roman" w:cs="Times New Roman" w:eastAsia="Times New Roman" w:hAnsi="Times New Roman"/>
          <w:sz w:val="18"/>
          <w:szCs w:val="18"/>
          <w:i w:val="1"/>
          <w:iCs w:val="1"/>
          <w:color w:val="auto"/>
        </w:rPr>
      </w:pPr>
    </w:p>
    <w:p>
      <w:pPr>
        <w:ind w:left="320" w:hanging="315"/>
        <w:spacing w:after="0"/>
        <w:tabs>
          <w:tab w:leader="none" w:pos="3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These are reclassified to net income and are included in other income, net in the unaudited consolidated statements of income.</w:t>
      </w:r>
    </w:p>
    <w:p>
      <w:pPr>
        <w:spacing w:after="0" w:line="108" w:lineRule="exact"/>
        <w:rPr>
          <w:rFonts w:ascii="Times New Roman" w:cs="Times New Roman" w:eastAsia="Times New Roman" w:hAnsi="Times New Roman"/>
          <w:sz w:val="18"/>
          <w:szCs w:val="18"/>
          <w:i w:val="1"/>
          <w:iCs w:val="1"/>
          <w:color w:val="auto"/>
        </w:rPr>
      </w:pPr>
    </w:p>
    <w:p>
      <w:pPr>
        <w:ind w:left="320" w:hanging="315"/>
        <w:spacing w:after="0"/>
        <w:tabs>
          <w:tab w:leader="none" w:pos="3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These are income tax effects recognized on cash flow hedges, retirement benefits and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2024</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count)</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10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restart"/>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60" w:type="dxa"/>
            <w:vAlign w:val="bottom"/>
            <w:gridSpan w:val="2"/>
            <w:vMerge w:val="restart"/>
          </w:tcPr>
          <w:p>
            <w:pPr>
              <w:ind w:left="40"/>
              <w:spacing w:after="0" w:line="12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9"/>
                <w:szCs w:val="9"/>
                <w:color w:val="auto"/>
              </w:rPr>
            </w:pPr>
          </w:p>
        </w:tc>
        <w:tc>
          <w:tcPr>
            <w:tcW w:w="1280" w:type="dxa"/>
            <w:vAlign w:val="bottom"/>
            <w:gridSpan w:val="2"/>
            <w:vMerge w:val="restart"/>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10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240" w:type="dxa"/>
            <w:vAlign w:val="bottom"/>
          </w:tcPr>
          <w:p>
            <w:pPr>
              <w:spacing w:after="0"/>
              <w:rPr>
                <w:sz w:val="2"/>
                <w:szCs w:val="2"/>
                <w:color w:val="auto"/>
              </w:rPr>
            </w:pPr>
          </w:p>
        </w:tc>
        <w:tc>
          <w:tcPr>
            <w:tcW w:w="6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2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January 1, 2025</w:t>
            </w: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206,510,587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588,583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1,281,960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(154,722)</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(44,709,375)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(786,165)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929,862</w:t>
            </w:r>
          </w:p>
        </w:tc>
        <w:tc>
          <w:tcPr>
            <w:tcW w:w="0" w:type="dxa"/>
            <w:vAlign w:val="bottom"/>
          </w:tcPr>
          <w:p>
            <w:pPr>
              <w:spacing w:after="0"/>
              <w:rPr>
                <w:sz w:val="1"/>
                <w:szCs w:val="1"/>
                <w:color w:val="auto"/>
              </w:rPr>
            </w:pPr>
          </w:p>
        </w:tc>
      </w:tr>
      <w:tr>
        <w:trPr>
          <w:trHeight w:val="131"/>
        </w:trPr>
        <w:tc>
          <w:tcPr>
            <w:tcW w:w="224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tcPr>
          <w:p>
            <w:pPr>
              <w:spacing w:after="0"/>
              <w:rPr>
                <w:sz w:val="11"/>
                <w:szCs w:val="11"/>
                <w:color w:val="auto"/>
              </w:rPr>
            </w:pP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1,247,910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1,823</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19,187</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(365,779)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(17,491)</w:t>
            </w:r>
          </w:p>
        </w:tc>
        <w:tc>
          <w:tcPr>
            <w:tcW w:w="0" w:type="dxa"/>
            <w:vAlign w:val="bottom"/>
          </w:tcPr>
          <w:p>
            <w:pPr>
              <w:spacing w:after="0"/>
              <w:rPr>
                <w:sz w:val="1"/>
                <w:szCs w:val="1"/>
                <w:color w:val="auto"/>
              </w:rPr>
            </w:pPr>
          </w:p>
        </w:tc>
      </w:tr>
      <w:tr>
        <w:trPr>
          <w:trHeight w:val="20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11,935</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11,935</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66,561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66,561</w:t>
            </w:r>
          </w:p>
        </w:tc>
        <w:tc>
          <w:tcPr>
            <w:tcW w:w="0" w:type="dxa"/>
            <w:vAlign w:val="bottom"/>
          </w:tcPr>
          <w:p>
            <w:pPr>
              <w:spacing w:after="0"/>
              <w:rPr>
                <w:sz w:val="1"/>
                <w:szCs w:val="1"/>
                <w:color w:val="auto"/>
              </w:rPr>
            </w:pPr>
          </w:p>
        </w:tc>
      </w:tr>
      <w:tr>
        <w:trPr>
          <w:trHeight w:val="222"/>
        </w:trPr>
        <w:tc>
          <w:tcPr>
            <w:tcW w:w="2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207,758,497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609,592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1,348,521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(142,787)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(45,075,154)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(803,656)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1,011,877</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2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10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restart"/>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60" w:type="dxa"/>
            <w:vAlign w:val="bottom"/>
            <w:gridSpan w:val="2"/>
            <w:vMerge w:val="restart"/>
          </w:tcPr>
          <w:p>
            <w:pPr>
              <w:ind w:left="40"/>
              <w:spacing w:after="0" w:line="12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9"/>
                <w:szCs w:val="9"/>
                <w:color w:val="auto"/>
              </w:rPr>
            </w:pPr>
          </w:p>
        </w:tc>
        <w:tc>
          <w:tcPr>
            <w:tcW w:w="1280" w:type="dxa"/>
            <w:vAlign w:val="bottom"/>
            <w:gridSpan w:val="2"/>
            <w:vMerge w:val="restart"/>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10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240" w:type="dxa"/>
            <w:vAlign w:val="bottom"/>
          </w:tcPr>
          <w:p>
            <w:pPr>
              <w:spacing w:after="0"/>
              <w:rPr>
                <w:sz w:val="2"/>
                <w:szCs w:val="2"/>
                <w:color w:val="auto"/>
              </w:rPr>
            </w:pPr>
          </w:p>
        </w:tc>
        <w:tc>
          <w:tcPr>
            <w:tcW w:w="6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2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January 1, 2024</w:t>
            </w: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203,410,038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508,028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1,083,663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(127,040)</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(38,132,158)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(575,417)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889,437</w:t>
            </w:r>
          </w:p>
        </w:tc>
        <w:tc>
          <w:tcPr>
            <w:tcW w:w="0" w:type="dxa"/>
            <w:vAlign w:val="bottom"/>
          </w:tcPr>
          <w:p>
            <w:pPr>
              <w:spacing w:after="0"/>
              <w:rPr>
                <w:sz w:val="1"/>
                <w:szCs w:val="1"/>
                <w:color w:val="auto"/>
              </w:rPr>
            </w:pPr>
          </w:p>
        </w:tc>
      </w:tr>
      <w:tr>
        <w:trPr>
          <w:trHeight w:val="131"/>
        </w:trPr>
        <w:tc>
          <w:tcPr>
            <w:tcW w:w="224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tcPr>
          <w:p>
            <w:pPr>
              <w:spacing w:after="0"/>
              <w:rPr>
                <w:sz w:val="11"/>
                <w:szCs w:val="11"/>
                <w:color w:val="auto"/>
              </w:rPr>
            </w:pP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1,324,950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17,852</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(4,177,220)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(125,805)</w:t>
            </w:r>
          </w:p>
        </w:tc>
        <w:tc>
          <w:tcPr>
            <w:tcW w:w="0" w:type="dxa"/>
            <w:vAlign w:val="bottom"/>
          </w:tcPr>
          <w:p>
            <w:pPr>
              <w:spacing w:after="0"/>
              <w:rPr>
                <w:sz w:val="1"/>
                <w:szCs w:val="1"/>
                <w:color w:val="auto"/>
              </w:rPr>
            </w:pPr>
          </w:p>
        </w:tc>
      </w:tr>
      <w:tr>
        <w:trPr>
          <w:trHeight w:val="20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Accelerated share repurchase</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61"/>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Excise tax on repurchase of common</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stock, net of stock issuances</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0" w:type="dxa"/>
            <w:vAlign w:val="bottom"/>
          </w:tcPr>
          <w:p>
            <w:pPr>
              <w:spacing w:after="0"/>
              <w:rPr>
                <w:sz w:val="1"/>
                <w:szCs w:val="1"/>
                <w:color w:val="auto"/>
              </w:rPr>
            </w:pPr>
          </w:p>
        </w:tc>
      </w:tr>
      <w:tr>
        <w:trPr>
          <w:trHeight w:val="24"/>
        </w:trPr>
        <w:tc>
          <w:tcPr>
            <w:tcW w:w="2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(3,396)</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(3,396)</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48,763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48,763</w:t>
            </w:r>
          </w:p>
        </w:tc>
        <w:tc>
          <w:tcPr>
            <w:tcW w:w="0" w:type="dxa"/>
            <w:vAlign w:val="bottom"/>
          </w:tcPr>
          <w:p>
            <w:pPr>
              <w:spacing w:after="0"/>
              <w:rPr>
                <w:sz w:val="1"/>
                <w:szCs w:val="1"/>
                <w:color w:val="auto"/>
              </w:rPr>
            </w:pPr>
          </w:p>
        </w:tc>
      </w:tr>
      <w:tr>
        <w:trPr>
          <w:trHeight w:val="216"/>
        </w:trPr>
        <w:tc>
          <w:tcPr>
            <w:tcW w:w="2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204,734,988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502,827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1,132,426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(130,436)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(42,309,378)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(701,766)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803,255</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6"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0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1" w:lineRule="exact"/>
        <w:rPr>
          <w:sz w:val="20"/>
          <w:szCs w:val="20"/>
          <w:color w:val="auto"/>
        </w:rPr>
      </w:pPr>
    </w:p>
    <w:tbl>
      <w:tblPr>
        <w:tblLayout w:type="fixed"/>
        <w:tblInd w:w="760" w:type="dxa"/>
        <w:tblCellMar>
          <w:top w:w="0" w:type="dxa"/>
          <w:left w:w="0" w:type="dxa"/>
          <w:bottom w:w="0" w:type="dxa"/>
          <w:right w:w="0" w:type="dxa"/>
        </w:tblCellMar>
      </w:tblPr>
      <w:tr>
        <w:trPr>
          <w:trHeight w:val="185"/>
        </w:trPr>
        <w:tc>
          <w:tcPr>
            <w:tcW w:w="6760" w:type="dxa"/>
            <w:vAlign w:val="bottom"/>
          </w:tcPr>
          <w:p>
            <w:pPr>
              <w:spacing w:after="0"/>
              <w:rPr>
                <w:sz w:val="16"/>
                <w:szCs w:val="16"/>
                <w:color w:val="auto"/>
              </w:rPr>
            </w:pPr>
          </w:p>
        </w:tc>
        <w:tc>
          <w:tcPr>
            <w:tcW w:w="2960" w:type="dxa"/>
            <w:vAlign w:val="bottom"/>
            <w:gridSpan w:val="5"/>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67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66,561</w:t>
            </w:r>
          </w:p>
        </w:tc>
        <w:tc>
          <w:tcPr>
            <w:tcW w:w="10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48,763</w:t>
            </w:r>
          </w:p>
        </w:tc>
      </w:tr>
      <w:tr>
        <w:trPr>
          <w:trHeight w:val="204"/>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by/(used for) operating activities: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0"/>
        </w:trPr>
        <w:tc>
          <w:tcPr>
            <w:tcW w:w="6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12,337</w:t>
            </w:r>
          </w:p>
        </w:tc>
      </w:tr>
      <w:tr>
        <w:trPr>
          <w:trHeight w:val="204"/>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17,852</w:t>
            </w:r>
          </w:p>
        </w:tc>
      </w:tr>
      <w:tr>
        <w:trPr>
          <w:trHeight w:val="190"/>
        </w:trPr>
        <w:tc>
          <w:tcPr>
            <w:tcW w:w="6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Reduction in the carrying amount of operating lease right-of-use assets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4,995</w:t>
            </w:r>
          </w:p>
        </w:tc>
      </w:tr>
      <w:tr>
        <w:trPr>
          <w:trHeight w:val="204"/>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Fair value mark-to-market of investments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r>
      <w:tr>
        <w:trPr>
          <w:trHeight w:val="190"/>
        </w:trPr>
        <w:tc>
          <w:tcPr>
            <w:tcW w:w="6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foreign currency exchange (gain)/loss, net</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204"/>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 benefit</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(8,680)</w:t>
            </w:r>
          </w:p>
        </w:tc>
      </w:tr>
      <w:tr>
        <w:trPr>
          <w:trHeight w:val="190"/>
        </w:trPr>
        <w:tc>
          <w:tcPr>
            <w:tcW w:w="6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Others, net</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r>
      <w:tr>
        <w:trPr>
          <w:trHeight w:val="204"/>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0"/>
        </w:trPr>
        <w:tc>
          <w:tcPr>
            <w:tcW w:w="6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(27,578)</w:t>
            </w:r>
          </w:p>
        </w:tc>
      </w:tr>
      <w:tr>
        <w:trPr>
          <w:trHeight w:val="204"/>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current and non-current asset</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(14,969)</w:t>
            </w:r>
          </w:p>
        </w:tc>
      </w:tr>
      <w:tr>
        <w:trPr>
          <w:trHeight w:val="190"/>
        </w:trPr>
        <w:tc>
          <w:tcPr>
            <w:tcW w:w="6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taxes payable, net</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11,443</w:t>
            </w:r>
          </w:p>
        </w:tc>
      </w:tr>
      <w:tr>
        <w:trPr>
          <w:trHeight w:val="204"/>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8,371</w:t>
            </w:r>
          </w:p>
        </w:tc>
      </w:tr>
      <w:tr>
        <w:trPr>
          <w:trHeight w:val="190"/>
        </w:trPr>
        <w:tc>
          <w:tcPr>
            <w:tcW w:w="6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5,829</w:t>
            </w:r>
          </w:p>
        </w:tc>
      </w:tr>
      <w:tr>
        <w:trPr>
          <w:trHeight w:val="204"/>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employee costs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(65,566)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(64,246)</w:t>
            </w:r>
          </w:p>
        </w:tc>
      </w:tr>
      <w:tr>
        <w:trPr>
          <w:trHeight w:val="190"/>
        </w:trPr>
        <w:tc>
          <w:tcPr>
            <w:tcW w:w="6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(4,616)</w:t>
            </w:r>
          </w:p>
        </w:tc>
      </w:tr>
      <w:tr>
        <w:trPr>
          <w:trHeight w:val="204"/>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8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w:t>
            </w:r>
          </w:p>
        </w:tc>
      </w:tr>
      <w:tr>
        <w:trPr>
          <w:trHeight w:val="228"/>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for)/provided by operating activities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3,243</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(21,873)</w:t>
            </w:r>
          </w:p>
        </w:tc>
      </w:tr>
      <w:tr>
        <w:trPr>
          <w:trHeight w:val="190"/>
        </w:trPr>
        <w:tc>
          <w:tcPr>
            <w:tcW w:w="67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8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r>
      <w:tr>
        <w:trPr>
          <w:trHeight w:val="204"/>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(11,266)</w:t>
            </w:r>
          </w:p>
        </w:tc>
      </w:tr>
      <w:tr>
        <w:trPr>
          <w:trHeight w:val="190"/>
        </w:trPr>
        <w:tc>
          <w:tcPr>
            <w:tcW w:w="6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04"/>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 of investments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(90,185)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(64,932)</w:t>
            </w:r>
          </w:p>
        </w:tc>
      </w:tr>
      <w:tr>
        <w:trPr>
          <w:trHeight w:val="190"/>
        </w:trPr>
        <w:tc>
          <w:tcPr>
            <w:tcW w:w="6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redemption of investments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80,825</w:t>
            </w:r>
          </w:p>
        </w:tc>
      </w:tr>
      <w:tr>
        <w:trPr>
          <w:trHeight w:val="204"/>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Investment in equity affiliate</w:t>
            </w:r>
          </w:p>
        </w:tc>
        <w:tc>
          <w:tcPr>
            <w:tcW w:w="8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for)/provided by investing activities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(22,268)</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4,689</w:t>
            </w:r>
          </w:p>
        </w:tc>
      </w:tr>
      <w:tr>
        <w:trPr>
          <w:trHeight w:val="190"/>
        </w:trPr>
        <w:tc>
          <w:tcPr>
            <w:tcW w:w="67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8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r>
      <w:tr>
        <w:trPr>
          <w:trHeight w:val="204"/>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Principal payments of finance lease liabilities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90"/>
        </w:trPr>
        <w:tc>
          <w:tcPr>
            <w:tcW w:w="6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borrowings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r>
      <w:tr>
        <w:trPr>
          <w:trHeight w:val="204"/>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Repayments of borrowings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r>
      <w:tr>
        <w:trPr>
          <w:trHeight w:val="190"/>
        </w:trPr>
        <w:tc>
          <w:tcPr>
            <w:tcW w:w="6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8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r>
      <w:tr>
        <w:trPr>
          <w:trHeight w:val="204"/>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(152,227)</w:t>
            </w:r>
          </w:p>
        </w:tc>
      </w:tr>
      <w:tr>
        <w:trPr>
          <w:trHeight w:val="190"/>
        </w:trPr>
        <w:tc>
          <w:tcPr>
            <w:tcW w:w="6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1,514</w:t>
            </w:r>
          </w:p>
        </w:tc>
      </w:tr>
      <w:tr>
        <w:trPr>
          <w:trHeight w:val="19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for)/provided by financing activities</w:t>
            </w:r>
          </w:p>
        </w:tc>
        <w:tc>
          <w:tcPr>
            <w:tcW w:w="8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(9,773)</w:t>
            </w:r>
          </w:p>
        </w:tc>
      </w:tr>
      <w:tr>
        <w:trPr>
          <w:trHeight w:val="18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(1,212)</w:t>
            </w:r>
          </w:p>
        </w:tc>
      </w:tr>
      <w:tr>
        <w:trPr>
          <w:trHeight w:val="19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(28,169)</w:t>
            </w:r>
          </w:p>
        </w:tc>
      </w:tr>
      <w:tr>
        <w:trPr>
          <w:trHeight w:val="19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the beginning of the period</w:t>
            </w: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171,398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145,401</w:t>
            </w:r>
          </w:p>
        </w:tc>
      </w:tr>
      <w:tr>
        <w:trPr>
          <w:trHeight w:val="21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the end of the period</w:t>
            </w:r>
          </w:p>
        </w:tc>
        <w:tc>
          <w:tcPr>
            <w:tcW w:w="88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158,478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117,232</w:t>
            </w:r>
          </w:p>
        </w:tc>
      </w:tr>
      <w:tr>
        <w:trPr>
          <w:trHeight w:val="23"/>
        </w:trPr>
        <w:tc>
          <w:tcPr>
            <w:tcW w:w="6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4"/>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w:t>
            </w:r>
          </w:p>
        </w:tc>
        <w:tc>
          <w:tcPr>
            <w:tcW w:w="8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2,971</w:t>
            </w:r>
          </w:p>
        </w:tc>
      </w:tr>
      <w:tr>
        <w:trPr>
          <w:trHeight w:val="190"/>
        </w:trPr>
        <w:tc>
          <w:tcPr>
            <w:tcW w:w="6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taxes</w:t>
            </w: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9,595</w:t>
            </w:r>
          </w:p>
        </w:tc>
        <w:tc>
          <w:tcPr>
            <w:tcW w:w="10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11,122</w:t>
            </w:r>
          </w:p>
        </w:tc>
      </w:tr>
      <w:tr>
        <w:trPr>
          <w:trHeight w:val="204"/>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0"/>
        </w:trPr>
        <w:tc>
          <w:tcPr>
            <w:tcW w:w="6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Additions to property and equipment not yet paid</w:t>
            </w: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w:t>
            </w:r>
          </w:p>
        </w:tc>
        <w:tc>
          <w:tcPr>
            <w:tcW w:w="10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3,381</w:t>
            </w:r>
          </w:p>
        </w:tc>
      </w:tr>
      <w:tr>
        <w:trPr>
          <w:trHeight w:val="204"/>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Assets acquired under finance lease</w:t>
            </w:r>
          </w:p>
        </w:tc>
        <w:tc>
          <w:tcPr>
            <w:tcW w:w="8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r>
    </w:tbl>
    <w:p>
      <w:pPr>
        <w:spacing w:after="0" w:line="29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22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80"/>
          </w:cols>
          <w:pgMar w:left="320" w:top="356" w:right="10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0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50" w:lineRule="exact"/>
        <w:rPr>
          <w:sz w:val="20"/>
          <w:szCs w:val="20"/>
          <w:color w:val="auto"/>
        </w:rPr>
      </w:pPr>
    </w:p>
    <w:p>
      <w:pPr>
        <w:jc w:val="both"/>
        <w:ind w:firstLine="394"/>
        <w:spacing w:after="0" w:line="235" w:lineRule="auto"/>
        <w:rPr>
          <w:sz w:val="20"/>
          <w:szCs w:val="20"/>
          <w:color w:val="auto"/>
        </w:rPr>
      </w:pPr>
      <w:r>
        <w:rPr>
          <w:rFonts w:ascii="Times New Roman" w:cs="Times New Roman" w:eastAsia="Times New Roman" w:hAnsi="Times New Roman"/>
          <w:sz w:val="18"/>
          <w:szCs w:val="18"/>
          <w:color w:val="auto"/>
        </w:rPr>
        <w:t>ExlService Holdings, Inc. (“ExlService Holdings”) is organized as a corporation under the laws of the State of Delaware. ExlService Holdings, together with its subsidiaries and affiliates (collectively, the “Company”), is a global data and artificial intelligence (“AI”) company that offers services and solutions to reinvent client business models, drive better outcomes and unlock growth with speed. The Company harnesses the power of data, AI, and deep industry knowledge to transform businesses, including the world’s leading corporations in industries including insurance, healthcare and life sciences, banking and capital markets, retail, communications and media, and energy and infrastructure, among others.</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clients are located principally in the United States of America (“U.S.”) and the United Kingdom (“U.K.”).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Preparation and Principles of Consolidation</w:t>
      </w:r>
    </w:p>
    <w:p>
      <w:pPr>
        <w:spacing w:after="0" w:line="165"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2024.</w:t>
      </w:r>
    </w:p>
    <w:p>
      <w:pPr>
        <w:spacing w:after="0" w:line="116" w:lineRule="exact"/>
        <w:rPr>
          <w:sz w:val="20"/>
          <w:szCs w:val="20"/>
          <w:color w:val="auto"/>
        </w:rPr>
      </w:pPr>
    </w:p>
    <w:p>
      <w:pPr>
        <w:jc w:val="both"/>
        <w:ind w:firstLine="394"/>
        <w:spacing w:after="0" w:line="235" w:lineRule="auto"/>
        <w:rPr>
          <w:sz w:val="20"/>
          <w:szCs w:val="20"/>
          <w:color w:val="auto"/>
        </w:rPr>
      </w:pPr>
      <w:r>
        <w:rPr>
          <w:rFonts w:ascii="Times New Roman" w:cs="Times New Roman" w:eastAsia="Times New Roman" w:hAnsi="Times New Roman"/>
          <w:sz w:val="18"/>
          <w:szCs w:val="18"/>
          <w:color w:val="auto"/>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207"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financial statements of ExlService Holdings and all of its subsidiaries. The standalone financial statements of subsidiaries are fully consolidated on a line-by-line basis. Intra-group balances and transactions, and gains and losses arising from intra-group transactions, are eliminated while preparing consolidated financial statements. The Company’s investments in equity affiliates are recorded using equity method of accounting.</w:t>
      </w:r>
    </w:p>
    <w:p>
      <w:pPr>
        <w:spacing w:after="0" w:line="208" w:lineRule="exact"/>
        <w:rPr>
          <w:sz w:val="20"/>
          <w:szCs w:val="20"/>
          <w:color w:val="auto"/>
        </w:rPr>
      </w:pPr>
    </w:p>
    <w:p>
      <w:pPr>
        <w:jc w:val="both"/>
        <w:ind w:firstLine="394"/>
        <w:spacing w:after="0" w:line="234" w:lineRule="auto"/>
        <w:rPr>
          <w:sz w:val="20"/>
          <w:szCs w:val="20"/>
          <w:color w:val="auto"/>
        </w:rPr>
      </w:pPr>
      <w:r>
        <w:rPr>
          <w:rFonts w:ascii="Times New Roman" w:cs="Times New Roman" w:eastAsia="Times New Roman" w:hAnsi="Times New Roman"/>
          <w:sz w:val="18"/>
          <w:szCs w:val="18"/>
          <w:color w:val="auto"/>
        </w:rPr>
        <w:t>In the first quarter of 2025, the Company implemented operational and structural changes to accelerate the execution of its data and AI strategy. Under the new structure, the Company reports its financial performance based on new segments described in Note 3 - Segment Information to the unaudited consolidated financial statements. In conjunction with the new reporting structure, the Company has recast prior period amounts, wherever applicable, to conform to the way the Company internally manages and monitors segment performance. This change primarily impacted Note 3 - Segment Information and Note 10 - Goodwill and Other Intangible Assets to the unaudited consolidated financial statements. This change in segment presentation does not affect the Company’s unaudited consolidated statements of income, balance sheets or statements of cash flows.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152"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The preparation of the unaudited consolidated financial statements in conformity with U.S. GAAP requires management to make estimates and assumptions that affect the carrying amounts of assets and liabilities and disclosure of contingent assets and liabilities included in the unaudited consolidated financial statements. Although these estimates are based on management’s best assessment of the current business environment, actual results may be different from those estimates. The significant estimates that affect the unaudited consolidated financial statements include, but are not limited to, estimates of the fair value of the identifiable intangible assets and contingent consideration, purchase price allocation, including revenue projections and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discount rate applied within the discounted cash flow model for business acquisitions, credit risk of customers, the nature and timing of the satisfaction of performance obligations, the standalone selling price of performance obligations, variable consideration in a customer contract, expected recoverability from customers with contingent fee arrangements, estimated costs to complete fixed price contracts, assets and obligations related to employee benefit plans, deferred tax valuation allowances, income-tax uncertainties and other contingencies, valuation of derivative financial instruments and stock-based awards, and useful life of long-lived assets and other intangible assets. The significant assumptions underneath these estimates include, but are not limited to assumptions to calculate stock-based compensation expense, determine incremental borrowing rate to calculate lease liabilities and right-of-use (“ROU”) assets, determine lease term to calculate single operating lease cost, determine pattern of generation of economic benefits to calculate depreciation and amortization for long-lived assets and other intangible assets, and recoverability of long-lived assets, goodwill and other intangible assets.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Recent Accounting Pronouncements</w:t>
      </w:r>
    </w:p>
    <w:p>
      <w:pPr>
        <w:spacing w:after="0" w:line="242" w:lineRule="exact"/>
        <w:rPr>
          <w:sz w:val="20"/>
          <w:szCs w:val="20"/>
          <w:color w:val="auto"/>
        </w:rPr>
      </w:pPr>
    </w:p>
    <w:p>
      <w:pPr>
        <w:jc w:val="both"/>
        <w:ind w:firstLine="394"/>
        <w:spacing w:after="0" w:line="250"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No.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Standards Codification (“ASC”) Topic 740”), Improvements to Income Tax Disclosures. </w:t>
      </w:r>
      <w:r>
        <w:rPr>
          <w:rFonts w:ascii="Times New Roman" w:cs="Times New Roman" w:eastAsia="Times New Roman" w:hAnsi="Times New Roman"/>
          <w:sz w:val="18"/>
          <w:szCs w:val="18"/>
          <w:color w:val="auto"/>
        </w:rPr>
        <w:t>This ASU expands disclosures relating to the entity’s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rate reconciliation, income taxes paid and certain other disclosures related to income taxes. The ASU is effective for annual periods beginning after December 15, 2024. The Company is currently evaluating the impact of this ASU on its annual consolidated financial statements for the year ending on December 31, 2025.</w:t>
      </w:r>
    </w:p>
    <w:p>
      <w:pPr>
        <w:spacing w:after="0" w:line="210" w:lineRule="exact"/>
        <w:rPr>
          <w:sz w:val="20"/>
          <w:szCs w:val="20"/>
          <w:color w:val="auto"/>
        </w:rPr>
      </w:pPr>
    </w:p>
    <w:p>
      <w:pPr>
        <w:jc w:val="both"/>
        <w:ind w:firstLine="394"/>
        <w:spacing w:after="0" w:line="289" w:lineRule="auto"/>
        <w:rPr>
          <w:sz w:val="20"/>
          <w:szCs w:val="20"/>
          <w:color w:val="auto"/>
        </w:rPr>
      </w:pPr>
      <w:r>
        <w:rPr>
          <w:rFonts w:ascii="Times New Roman" w:cs="Times New Roman" w:eastAsia="Times New Roman" w:hAnsi="Times New Roman"/>
          <w:sz w:val="16"/>
          <w:szCs w:val="16"/>
          <w:color w:val="auto"/>
        </w:rPr>
        <w:t xml:space="preserve">In November 2024, FASB issued ASU No. 2024-03, </w:t>
      </w:r>
      <w:r>
        <w:rPr>
          <w:rFonts w:ascii="Times New Roman" w:cs="Times New Roman" w:eastAsia="Times New Roman" w:hAnsi="Times New Roman"/>
          <w:sz w:val="16"/>
          <w:szCs w:val="16"/>
          <w:i w:val="1"/>
          <w:iCs w:val="1"/>
          <w:color w:val="auto"/>
        </w:rPr>
        <w:t>Income Statement - Reporting Comprehensive Income (“ASC Topic 220”): Expense Disaggregation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Disclosures. </w:t>
      </w:r>
      <w:r>
        <w:rPr>
          <w:rFonts w:ascii="Times New Roman" w:cs="Times New Roman" w:eastAsia="Times New Roman" w:hAnsi="Times New Roman"/>
          <w:sz w:val="16"/>
          <w:szCs w:val="16"/>
          <w:color w:val="auto"/>
        </w:rPr>
        <w:t>This ASU improves disclosures relating to the disaggregation of income statement expenses, requires additional disclosures about the nature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expenses in commonly presented financial statement captions on an annual and interim basis for all public business entities. The ASU will be effective for annual reporting periods beginning after December 15, 2026, and interim periods within annual reporting periods beginning after December 15, 2027, with early adoption permitted. The Company is currently evaluating the impact of this ASU on its unaudited consolidated 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Recently Adopted and Applicable Accounting Pronouncements</w:t>
      </w:r>
    </w:p>
    <w:p>
      <w:pPr>
        <w:spacing w:after="0" w:line="150" w:lineRule="exact"/>
        <w:rPr>
          <w:sz w:val="20"/>
          <w:szCs w:val="20"/>
          <w:color w:val="auto"/>
        </w:rPr>
      </w:pPr>
    </w:p>
    <w:p>
      <w:pPr>
        <w:jc w:val="both"/>
        <w:ind w:firstLine="394"/>
        <w:spacing w:after="0" w:line="236" w:lineRule="auto"/>
        <w:rPr>
          <w:sz w:val="20"/>
          <w:szCs w:val="20"/>
          <w:color w:val="auto"/>
        </w:rPr>
      </w:pPr>
      <w:r>
        <w:rPr>
          <w:rFonts w:ascii="Times New Roman" w:cs="Times New Roman" w:eastAsia="Times New Roman" w:hAnsi="Times New Roman"/>
          <w:sz w:val="18"/>
          <w:szCs w:val="18"/>
          <w:color w:val="auto"/>
        </w:rPr>
        <w:t>In March 2024, FASB issued ASU No. 2024-01</w:t>
      </w:r>
      <w:r>
        <w:rPr>
          <w:rFonts w:ascii="Times New Roman" w:cs="Times New Roman" w:eastAsia="Times New Roman" w:hAnsi="Times New Roman"/>
          <w:sz w:val="18"/>
          <w:szCs w:val="18"/>
          <w:i w:val="1"/>
          <w:iCs w:val="1"/>
          <w:color w:val="auto"/>
        </w:rPr>
        <w:t>, Compensation-Stock Compensation (“ASC Topic 718”).</w:t>
      </w:r>
      <w:r>
        <w:rPr>
          <w:rFonts w:ascii="Times New Roman" w:cs="Times New Roman" w:eastAsia="Times New Roman" w:hAnsi="Times New Roman"/>
          <w:sz w:val="18"/>
          <w:szCs w:val="18"/>
          <w:color w:val="auto"/>
        </w:rPr>
        <w:t xml:space="preserve"> This ASU clarifies how to evaluate whether profits interest and similar awards given to employees and non-employees are within the scope of share-based payment arrangement under ASC Topic 718. The ASU will be effective for annual periods beginning after December 15, 2024, including interim periods within those years, with early adoption permitted. The Company has early adopted this ASU beginning January 1, 2024. The adoption of this ASU did not have a material impact on the Company’s unaudited consolidated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Information</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is a provider of data and AI-led and digital operations services in an integrated manner for clients across industry verticals.</w:t>
      </w:r>
    </w:p>
    <w:p>
      <w:pPr>
        <w:spacing w:after="0" w:line="161"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In the first quarter of 2025, the Company implemented operational and structural changes to align with how the Company’s Chief Operating Decision Maker (“CODM”) reviews financial information and makes operating decisions. This new operating model comprises of Industry Market Units (“IMUs”) which focus on delivering higher value to clients by leveraging full suite of capabilities; and Strategic Growth Units which rapidly advance the capabilities specific to various industries and client needs.</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Consequently, the Company realigned its reportable segments to the IMUs as follows:</w:t>
      </w:r>
    </w:p>
    <w:p>
      <w:pPr>
        <w:spacing w:after="0" w:line="21" w:lineRule="exact"/>
        <w:rPr>
          <w:sz w:val="20"/>
          <w:szCs w:val="20"/>
          <w:color w:val="auto"/>
        </w:rPr>
      </w:pPr>
    </w:p>
    <w:p>
      <w:pPr>
        <w:ind w:left="1260" w:hanging="466"/>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3" w:lineRule="exact"/>
        <w:rPr>
          <w:rFonts w:ascii="Times New Roman" w:cs="Times New Roman" w:eastAsia="Times New Roman" w:hAnsi="Times New Roman"/>
          <w:sz w:val="18"/>
          <w:szCs w:val="18"/>
          <w:color w:val="auto"/>
        </w:rPr>
      </w:pPr>
    </w:p>
    <w:p>
      <w:pPr>
        <w:ind w:left="1260" w:hanging="466"/>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and Life Sciences,</w:t>
      </w:r>
    </w:p>
    <w:p>
      <w:pPr>
        <w:spacing w:after="0" w:line="3" w:lineRule="exact"/>
        <w:rPr>
          <w:rFonts w:ascii="Times New Roman" w:cs="Times New Roman" w:eastAsia="Times New Roman" w:hAnsi="Times New Roman"/>
          <w:sz w:val="18"/>
          <w:szCs w:val="18"/>
          <w:color w:val="auto"/>
        </w:rPr>
      </w:pPr>
    </w:p>
    <w:p>
      <w:pPr>
        <w:ind w:left="1260" w:hanging="466"/>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Capital Markets and Diversified Industries,</w:t>
      </w:r>
    </w:p>
    <w:p>
      <w:pPr>
        <w:spacing w:after="0" w:line="3" w:lineRule="exact"/>
        <w:rPr>
          <w:rFonts w:ascii="Times New Roman" w:cs="Times New Roman" w:eastAsia="Times New Roman" w:hAnsi="Times New Roman"/>
          <w:sz w:val="18"/>
          <w:szCs w:val="18"/>
          <w:color w:val="auto"/>
        </w:rPr>
      </w:pPr>
    </w:p>
    <w:p>
      <w:pPr>
        <w:ind w:left="1260" w:hanging="466"/>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Growth Markets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The primary changes in the new reportable segments reflect 1) the integration of the former Analytics reportable segment as a core capability within each of the IMUs, ensuring alignment with the specialized needs of clients across IMUs, 2) the reorganization of the former Emerging Business reportable segment into a Banking, Capital Markets and Diversified Industries reportable segment, excluding Life Sciences, which is now a part of the new Healthcare and Life Sciences reportable segment, and 3) the formation of International Growth Markets as a separate business unit to represent all service and solutions offerings to clients in the United Kingdom, Europe, Middle East, Asia-Pacific and South Africa geographies across all industry verticals. The International Growth Markets business unit will help the Company to strategically expand its footprint in markets outside of North America and drive focus on offerings and expansion in those markets in new and existing clients.</w:t>
      </w:r>
    </w:p>
    <w:p>
      <w:pPr>
        <w:spacing w:after="0" w:line="218"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In addition, revenues by service type are now presented as data and AI-led and digital operations services. Revenues attributable to geographical regions are now presented as North America (including the United States, Canada and Mexico), U.K. &amp; Europe, and the Rest of World.</w:t>
      </w:r>
    </w:p>
    <w:p>
      <w:pPr>
        <w:spacing w:after="0" w:line="195"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 Company has recast segment disclosures for the prior periods presented herein to conform to the new segment structure. This change in segment presentation does not affect the Company’s unaudited consolidated statements of income, balance sheet or statements of cash flows.</w:t>
      </w:r>
    </w:p>
    <w:p>
      <w:pPr>
        <w:spacing w:after="0" w:line="116" w:lineRule="exact"/>
        <w:rPr>
          <w:sz w:val="20"/>
          <w:szCs w:val="20"/>
          <w:color w:val="auto"/>
        </w:rPr>
      </w:pPr>
    </w:p>
    <w:p>
      <w:pPr>
        <w:jc w:val="both"/>
        <w:ind w:firstLine="315"/>
        <w:spacing w:after="0" w:line="268" w:lineRule="auto"/>
        <w:rPr>
          <w:sz w:val="20"/>
          <w:szCs w:val="20"/>
          <w:color w:val="auto"/>
        </w:rPr>
      </w:pPr>
      <w:r>
        <w:rPr>
          <w:rFonts w:ascii="Times New Roman" w:cs="Times New Roman" w:eastAsia="Times New Roman" w:hAnsi="Times New Roman"/>
          <w:sz w:val="18"/>
          <w:szCs w:val="18"/>
          <w:color w:val="auto"/>
        </w:rPr>
        <w:t>The Company’s Chief Executive Officer has been identified as the CODM. The CODM generally reviews financial information such as revenues, cost of revenues and gross profit to allocate an overall budget and measure segment performance.</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Revenues and cost of revenues for the three months ended March 31, 2025 and 2024, respectively, for each of the reportable segments, are as follows:</w:t>
      </w:r>
    </w:p>
    <w:p>
      <w:pPr>
        <w:spacing w:after="0" w:line="203" w:lineRule="exact"/>
        <w:rPr>
          <w:sz w:val="20"/>
          <w:szCs w:val="20"/>
          <w:color w:val="auto"/>
        </w:rPr>
      </w:pPr>
    </w:p>
    <w:tbl>
      <w:tblPr>
        <w:tblLayout w:type="fixed"/>
        <w:tblInd w:w="80" w:type="dxa"/>
        <w:tblCellMar>
          <w:top w:w="0" w:type="dxa"/>
          <w:left w:w="0" w:type="dxa"/>
          <w:bottom w:w="0" w:type="dxa"/>
          <w:right w:w="0" w:type="dxa"/>
        </w:tblCellMar>
      </w:tblPr>
      <w:tr>
        <w:trPr>
          <w:trHeight w:val="211"/>
        </w:trPr>
        <w:tc>
          <w:tcPr>
            <w:tcW w:w="46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8"/>
          </w:tcPr>
          <w:p>
            <w:pPr>
              <w:ind w:left="70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Healthcare and</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Banking, Capital</w:t>
            </w:r>
          </w:p>
        </w:tc>
        <w:tc>
          <w:tcPr>
            <w:tcW w:w="160" w:type="dxa"/>
            <w:vAlign w:val="bottom"/>
            <w:shd w:val="clear" w:color="auto" w:fill="CCEEFF"/>
          </w:tcPr>
          <w:p>
            <w:pPr>
              <w:spacing w:after="0"/>
              <w:rPr>
                <w:sz w:val="19"/>
                <w:szCs w:val="19"/>
                <w:color w:val="auto"/>
              </w:rPr>
            </w:pPr>
          </w:p>
        </w:tc>
        <w:tc>
          <w:tcPr>
            <w:tcW w:w="1180" w:type="dxa"/>
            <w:vAlign w:val="bottom"/>
            <w:gridSpan w:val="2"/>
            <w:vMerge w:val="restart"/>
            <w:shd w:val="clear" w:color="auto" w:fill="CCEEFF"/>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International</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9"/>
        </w:trPr>
        <w:tc>
          <w:tcPr>
            <w:tcW w:w="46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gridSpan w:val="2"/>
            <w:vMerge w:val="restart"/>
            <w:shd w:val="clear" w:color="auto" w:fill="CCEEFF"/>
          </w:tcPr>
          <w:p>
            <w:pPr>
              <w:ind w:left="60"/>
              <w:spacing w:after="0" w:line="158" w:lineRule="exact"/>
              <w:rPr>
                <w:sz w:val="20"/>
                <w:szCs w:val="20"/>
                <w:color w:val="auto"/>
              </w:rPr>
            </w:pPr>
            <w:r>
              <w:rPr>
                <w:rFonts w:ascii="Times New Roman" w:cs="Times New Roman" w:eastAsia="Times New Roman" w:hAnsi="Times New Roman"/>
                <w:sz w:val="15"/>
                <w:szCs w:val="15"/>
                <w:b w:val="1"/>
                <w:bCs w:val="1"/>
                <w:color w:val="auto"/>
              </w:rPr>
              <w:t>Insurance</w:t>
            </w:r>
          </w:p>
        </w:tc>
        <w:tc>
          <w:tcPr>
            <w:tcW w:w="12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80" w:type="dxa"/>
            <w:vAlign w:val="bottom"/>
            <w:gridSpan w:val="2"/>
            <w:vMerge w:val="restart"/>
            <w:shd w:val="clear" w:color="auto" w:fill="CCEEFF"/>
          </w:tcPr>
          <w:p>
            <w:pPr>
              <w:jc w:val="center"/>
              <w:ind w:right="240"/>
              <w:spacing w:after="0" w:line="158" w:lineRule="exact"/>
              <w:rPr>
                <w:sz w:val="20"/>
                <w:szCs w:val="20"/>
                <w:color w:val="auto"/>
              </w:rPr>
            </w:pPr>
            <w:r>
              <w:rPr>
                <w:rFonts w:ascii="Times New Roman" w:cs="Times New Roman" w:eastAsia="Times New Roman" w:hAnsi="Times New Roman"/>
                <w:sz w:val="15"/>
                <w:szCs w:val="15"/>
                <w:b w:val="1"/>
                <w:bCs w:val="1"/>
                <w:color w:val="auto"/>
                <w:w w:val="99"/>
              </w:rPr>
              <w:t>Markets and</w:t>
            </w:r>
          </w:p>
        </w:tc>
        <w:tc>
          <w:tcPr>
            <w:tcW w:w="16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vMerge w:val="restart"/>
            <w:shd w:val="clear" w:color="auto" w:fill="CCEEFF"/>
          </w:tcPr>
          <w:p>
            <w:pPr>
              <w:jc w:val="right"/>
              <w:ind w:right="254"/>
              <w:spacing w:after="0" w:line="158"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79"/>
        </w:trPr>
        <w:tc>
          <w:tcPr>
            <w:tcW w:w="46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6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8"/>
              </w:rPr>
              <w:t>Life Sciences</w:t>
            </w:r>
          </w:p>
        </w:tc>
        <w:tc>
          <w:tcPr>
            <w:tcW w:w="16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34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Growth Markets</w:t>
            </w:r>
          </w:p>
        </w:tc>
        <w:tc>
          <w:tcPr>
            <w:tcW w:w="2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4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gridSpan w:val="2"/>
            <w:vMerge w:val="continue"/>
            <w:shd w:val="clear" w:color="auto" w:fill="CCEEFF"/>
          </w:tcPr>
          <w:p>
            <w:pPr>
              <w:spacing w:after="0"/>
              <w:rPr>
                <w:sz w:val="10"/>
                <w:szCs w:val="10"/>
                <w:color w:val="auto"/>
              </w:rPr>
            </w:pPr>
          </w:p>
        </w:tc>
        <w:tc>
          <w:tcPr>
            <w:tcW w:w="154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Diversified Industries</w:t>
            </w:r>
          </w:p>
        </w:tc>
        <w:tc>
          <w:tcPr>
            <w:tcW w:w="1340" w:type="dxa"/>
            <w:vAlign w:val="bottom"/>
            <w:gridSpan w:val="3"/>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46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540" w:type="dxa"/>
            <w:vAlign w:val="bottom"/>
            <w:gridSpan w:val="3"/>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64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9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18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30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08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7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172,056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125,592</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85,669</w:t>
            </w:r>
          </w:p>
        </w:tc>
        <w:tc>
          <w:tcPr>
            <w:tcW w:w="100" w:type="dxa"/>
            <w:vAlign w:val="bottom"/>
          </w:tcPr>
          <w:p>
            <w:pPr>
              <w:spacing w:after="0"/>
              <w:rPr>
                <w:sz w:val="18"/>
                <w:szCs w:val="18"/>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501,019</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7"/>
                <w:szCs w:val="17"/>
                <w:color w:val="auto"/>
              </w:rPr>
              <w:t xml:space="preserve">Cost of revenues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Employee costs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258,587</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Infrastructure and technology costs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34,314</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140"/>
              <w:spacing w:after="0" w:line="224" w:lineRule="exact"/>
              <w:rPr>
                <w:sz w:val="20"/>
                <w:szCs w:val="20"/>
                <w:color w:val="auto"/>
              </w:rPr>
            </w:pPr>
            <w:r>
              <w:rPr>
                <w:rFonts w:ascii="Times New Roman" w:cs="Times New Roman" w:eastAsia="Times New Roman" w:hAnsi="Times New Roman"/>
                <w:sz w:val="17"/>
                <w:szCs w:val="17"/>
                <w:color w:val="auto"/>
              </w:rPr>
              <w:t xml:space="preserve">Other costs </w:t>
            </w:r>
            <w:r>
              <w:rPr>
                <w:rFonts w:ascii="Times New Roman" w:cs="Times New Roman" w:eastAsia="Times New Roman" w:hAnsi="Times New Roman"/>
                <w:sz w:val="21"/>
                <w:szCs w:val="21"/>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14,804</w:t>
            </w:r>
          </w:p>
        </w:tc>
        <w:tc>
          <w:tcPr>
            <w:tcW w:w="0" w:type="dxa"/>
            <w:vAlign w:val="bottom"/>
          </w:tcPr>
          <w:p>
            <w:pPr>
              <w:spacing w:after="0"/>
              <w:rPr>
                <w:sz w:val="1"/>
                <w:szCs w:val="1"/>
                <w:color w:val="auto"/>
              </w:rPr>
            </w:pPr>
          </w:p>
        </w:tc>
      </w:tr>
      <w:tr>
        <w:trPr>
          <w:trHeight w:val="242"/>
        </w:trPr>
        <w:tc>
          <w:tcPr>
            <w:tcW w:w="4640" w:type="dxa"/>
            <w:vAlign w:val="bottom"/>
            <w:tcBorders>
              <w:bottom w:val="single" w:sz="8" w:color="CCEEFF"/>
            </w:tcBorders>
            <w:shd w:val="clear" w:color="auto" w:fill="CCEEFF"/>
          </w:tcPr>
          <w:p>
            <w:pPr>
              <w:ind w:left="20"/>
              <w:spacing w:after="0" w:line="217" w:lineRule="exact"/>
              <w:rPr>
                <w:sz w:val="20"/>
                <w:szCs w:val="20"/>
                <w:color w:val="auto"/>
              </w:rPr>
            </w:pPr>
            <w:r>
              <w:rPr>
                <w:rFonts w:ascii="Times New Roman" w:cs="Times New Roman" w:eastAsia="Times New Roman" w:hAnsi="Times New Roman"/>
                <w:sz w:val="17"/>
                <w:szCs w:val="17"/>
                <w:color w:val="auto"/>
              </w:rPr>
              <w:t xml:space="preserve">Gross profit </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193,314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114,899</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gain, net, interest expense and other income, net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equity-method investment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7"/>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66,561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560" w:hanging="239"/>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of depreciation and amortization expense.</w:t>
      </w:r>
    </w:p>
    <w:p>
      <w:pPr>
        <w:spacing w:after="0" w:line="161" w:lineRule="exact"/>
        <w:rPr>
          <w:rFonts w:ascii="Times New Roman" w:cs="Times New Roman" w:eastAsia="Times New Roman" w:hAnsi="Times New Roman"/>
          <w:sz w:val="18"/>
          <w:szCs w:val="18"/>
          <w:color w:val="auto"/>
        </w:rPr>
      </w:pPr>
    </w:p>
    <w:p>
      <w:pPr>
        <w:ind w:left="80" w:firstLine="241"/>
        <w:spacing w:after="0" w:line="268" w:lineRule="auto"/>
        <w:tabs>
          <w:tab w:leader="none" w:pos="5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primarily include travel and entertainment costs and other direct pass-through expenses related to client contracts for the Company’s direct marketing business.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47"/>
        </w:trPr>
        <w:tc>
          <w:tcPr>
            <w:tcW w:w="46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Insurance</w:t>
            </w:r>
          </w:p>
        </w:tc>
        <w:tc>
          <w:tcPr>
            <w:tcW w:w="12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Healthcare and</w:t>
            </w:r>
          </w:p>
        </w:tc>
        <w:tc>
          <w:tcPr>
            <w:tcW w:w="16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gridSpan w:val="2"/>
            <w:shd w:val="clear" w:color="auto" w:fill="CCEEFF"/>
          </w:tcPr>
          <w:p>
            <w:pPr>
              <w:jc w:val="center"/>
              <w:ind w:right="240"/>
              <w:spacing w:after="0" w:line="147" w:lineRule="exact"/>
              <w:rPr>
                <w:sz w:val="20"/>
                <w:szCs w:val="20"/>
                <w:color w:val="auto"/>
              </w:rPr>
            </w:pPr>
            <w:r>
              <w:rPr>
                <w:rFonts w:ascii="Times New Roman" w:cs="Times New Roman" w:eastAsia="Times New Roman" w:hAnsi="Times New Roman"/>
                <w:sz w:val="15"/>
                <w:szCs w:val="15"/>
                <w:b w:val="1"/>
                <w:bCs w:val="1"/>
                <w:color w:val="auto"/>
              </w:rPr>
              <w:t>Banking, Capital</w:t>
            </w:r>
          </w:p>
        </w:tc>
        <w:tc>
          <w:tcPr>
            <w:tcW w:w="1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International</w:t>
            </w: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ind w:right="31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66"/>
        </w:trPr>
        <w:tc>
          <w:tcPr>
            <w:tcW w:w="4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20" w:type="dxa"/>
            <w:vAlign w:val="bottom"/>
            <w:gridSpan w:val="2"/>
            <w:vMerge w:val="restart"/>
            <w:shd w:val="clear" w:color="auto" w:fill="CCEEFF"/>
          </w:tcPr>
          <w:p>
            <w:pPr>
              <w:jc w:val="center"/>
              <w:ind w:right="240"/>
              <w:spacing w:after="0" w:line="153" w:lineRule="exact"/>
              <w:rPr>
                <w:sz w:val="20"/>
                <w:szCs w:val="20"/>
                <w:color w:val="auto"/>
              </w:rPr>
            </w:pPr>
            <w:r>
              <w:rPr>
                <w:rFonts w:ascii="Times New Roman" w:cs="Times New Roman" w:eastAsia="Times New Roman" w:hAnsi="Times New Roman"/>
                <w:sz w:val="15"/>
                <w:szCs w:val="15"/>
                <w:b w:val="1"/>
                <w:bCs w:val="1"/>
                <w:color w:val="auto"/>
                <w:w w:val="99"/>
              </w:rPr>
              <w:t>Markets and</w:t>
            </w:r>
          </w:p>
        </w:tc>
        <w:tc>
          <w:tcPr>
            <w:tcW w:w="140" w:type="dxa"/>
            <w:vAlign w:val="bottom"/>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46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2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Life Sciences</w:t>
            </w:r>
          </w:p>
        </w:tc>
        <w:tc>
          <w:tcPr>
            <w:tcW w:w="160" w:type="dxa"/>
            <w:vAlign w:val="bottom"/>
            <w:shd w:val="clear" w:color="auto" w:fill="CCEEFF"/>
          </w:tcPr>
          <w:p>
            <w:pPr>
              <w:spacing w:after="0"/>
              <w:rPr>
                <w:sz w:val="7"/>
                <w:szCs w:val="7"/>
                <w:color w:val="auto"/>
              </w:rPr>
            </w:pPr>
          </w:p>
        </w:tc>
        <w:tc>
          <w:tcPr>
            <w:tcW w:w="1420" w:type="dxa"/>
            <w:vAlign w:val="bottom"/>
            <w:gridSpan w:val="2"/>
            <w:vMerge w:val="continue"/>
            <w:shd w:val="clear" w:color="auto" w:fill="CCEEFF"/>
          </w:tcPr>
          <w:p>
            <w:pPr>
              <w:spacing w:after="0"/>
              <w:rPr>
                <w:sz w:val="7"/>
                <w:szCs w:val="7"/>
                <w:color w:val="auto"/>
              </w:rPr>
            </w:pPr>
          </w:p>
        </w:tc>
        <w:tc>
          <w:tcPr>
            <w:tcW w:w="130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Growth Markets</w:t>
            </w:r>
          </w:p>
        </w:tc>
        <w:tc>
          <w:tcPr>
            <w:tcW w:w="240" w:type="dxa"/>
            <w:vAlign w:val="bottom"/>
            <w:shd w:val="clear" w:color="auto" w:fill="CCEEFF"/>
          </w:tcPr>
          <w:p>
            <w:pPr>
              <w:spacing w:after="0"/>
              <w:rPr>
                <w:sz w:val="7"/>
                <w:szCs w:val="7"/>
                <w:color w:val="auto"/>
              </w:rPr>
            </w:pPr>
          </w:p>
        </w:tc>
        <w:tc>
          <w:tcPr>
            <w:tcW w:w="8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4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158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Diversified Industries</w:t>
            </w:r>
          </w:p>
        </w:tc>
        <w:tc>
          <w:tcPr>
            <w:tcW w:w="1300" w:type="dxa"/>
            <w:vAlign w:val="bottom"/>
            <w:gridSpan w:val="3"/>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6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80" w:type="dxa"/>
            <w:vAlign w:val="bottom"/>
            <w:gridSpan w:val="3"/>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158,267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100,656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103,253</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74,331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436,507</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7"/>
                <w:szCs w:val="17"/>
                <w:color w:val="auto"/>
              </w:rPr>
              <w:t xml:space="preserve">Cost of revenues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Employee costs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225,583</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Infrastructure and technology costs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140"/>
              <w:spacing w:after="0" w:line="224" w:lineRule="exact"/>
              <w:rPr>
                <w:sz w:val="20"/>
                <w:szCs w:val="20"/>
                <w:color w:val="auto"/>
              </w:rPr>
            </w:pPr>
            <w:r>
              <w:rPr>
                <w:rFonts w:ascii="Times New Roman" w:cs="Times New Roman" w:eastAsia="Times New Roman" w:hAnsi="Times New Roman"/>
                <w:sz w:val="17"/>
                <w:szCs w:val="17"/>
                <w:color w:val="auto"/>
              </w:rPr>
              <w:t xml:space="preserve">Other costs </w:t>
            </w:r>
            <w:r>
              <w:rPr>
                <w:rFonts w:ascii="Times New Roman" w:cs="Times New Roman" w:eastAsia="Times New Roman" w:hAnsi="Times New Roman"/>
                <w:sz w:val="21"/>
                <w:szCs w:val="21"/>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18,684</w:t>
            </w:r>
          </w:p>
        </w:tc>
        <w:tc>
          <w:tcPr>
            <w:tcW w:w="0" w:type="dxa"/>
            <w:vAlign w:val="bottom"/>
          </w:tcPr>
          <w:p>
            <w:pPr>
              <w:spacing w:after="0"/>
              <w:rPr>
                <w:sz w:val="1"/>
                <w:szCs w:val="1"/>
                <w:color w:val="auto"/>
              </w:rPr>
            </w:pPr>
          </w:p>
        </w:tc>
      </w:tr>
      <w:tr>
        <w:trPr>
          <w:trHeight w:val="242"/>
        </w:trPr>
        <w:tc>
          <w:tcPr>
            <w:tcW w:w="4640" w:type="dxa"/>
            <w:vAlign w:val="bottom"/>
            <w:tcBorders>
              <w:bottom w:val="single" w:sz="8" w:color="CCEEFF"/>
            </w:tcBorders>
            <w:shd w:val="clear" w:color="auto" w:fill="CCEEFF"/>
          </w:tcPr>
          <w:p>
            <w:pPr>
              <w:ind w:left="20"/>
              <w:spacing w:after="0" w:line="217" w:lineRule="exact"/>
              <w:rPr>
                <w:sz w:val="20"/>
                <w:szCs w:val="20"/>
                <w:color w:val="auto"/>
              </w:rPr>
            </w:pPr>
            <w:r>
              <w:rPr>
                <w:rFonts w:ascii="Times New Roman" w:cs="Times New Roman" w:eastAsia="Times New Roman" w:hAnsi="Times New Roman"/>
                <w:sz w:val="17"/>
                <w:szCs w:val="17"/>
                <w:color w:val="auto"/>
              </w:rPr>
              <w:t xml:space="preserve">Gross profit </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163,083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101,559</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gain, net, interest expense and other income, net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equity-method investment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7"/>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48,763</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560" w:hanging="239"/>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of depreciation and amortization expense.</w:t>
      </w:r>
    </w:p>
    <w:p>
      <w:pPr>
        <w:spacing w:after="0" w:line="161" w:lineRule="exact"/>
        <w:rPr>
          <w:rFonts w:ascii="Times New Roman" w:cs="Times New Roman" w:eastAsia="Times New Roman" w:hAnsi="Times New Roman"/>
          <w:sz w:val="18"/>
          <w:szCs w:val="18"/>
          <w:color w:val="auto"/>
        </w:rPr>
      </w:pPr>
    </w:p>
    <w:p>
      <w:pPr>
        <w:ind w:left="80" w:firstLine="241"/>
        <w:spacing w:after="0" w:line="268" w:lineRule="auto"/>
        <w:tabs>
          <w:tab w:leader="none" w:pos="57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primarily include travel and entertainment costs and other direct pass-through expenses related to client contracts for the Company’s direct marketing business.</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Revenues, net by service type, were as follows:</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11"/>
        </w:trPr>
        <w:tc>
          <w:tcPr>
            <w:tcW w:w="5480" w:type="dxa"/>
            <w:vAlign w:val="bottom"/>
          </w:tcPr>
          <w:p>
            <w:pPr>
              <w:spacing w:after="0"/>
              <w:rPr>
                <w:sz w:val="18"/>
                <w:szCs w:val="18"/>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00" w:type="dxa"/>
            <w:vAlign w:val="bottom"/>
            <w:tcBorders>
              <w:bottom w:val="single" w:sz="8" w:color="auto"/>
            </w:tcBorders>
          </w:tcPr>
          <w:p>
            <w:pPr>
              <w:spacing w:after="0"/>
              <w:rPr>
                <w:sz w:val="18"/>
                <w:szCs w:val="18"/>
                <w:color w:val="auto"/>
              </w:rPr>
            </w:pPr>
          </w:p>
        </w:tc>
      </w:tr>
      <w:tr>
        <w:trPr>
          <w:trHeight w:val="205"/>
        </w:trPr>
        <w:tc>
          <w:tcPr>
            <w:tcW w:w="54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7"/>
                <w:szCs w:val="17"/>
                <w:color w:val="auto"/>
              </w:rPr>
            </w:pPr>
          </w:p>
        </w:tc>
      </w:tr>
      <w:tr>
        <w:trPr>
          <w:trHeight w:val="217"/>
        </w:trPr>
        <w:tc>
          <w:tcPr>
            <w:tcW w:w="548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Data and AI-led </w:t>
            </w:r>
            <w:r>
              <w:rPr>
                <w:rFonts w:ascii="Times New Roman" w:cs="Times New Roman" w:eastAsia="Times New Roman" w:hAnsi="Times New Roman"/>
                <w:sz w:val="22"/>
                <w:szCs w:val="22"/>
                <w:color w:val="auto"/>
                <w:vertAlign w:val="superscript"/>
              </w:rPr>
              <w:t>(1)</w:t>
            </w:r>
          </w:p>
        </w:tc>
        <w:tc>
          <w:tcPr>
            <w:tcW w:w="1080" w:type="dxa"/>
            <w:vAlign w:val="bottom"/>
            <w:shd w:val="clear" w:color="auto" w:fill="CCEEFF"/>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267,929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231,724</w:t>
            </w:r>
          </w:p>
        </w:tc>
      </w:tr>
      <w:tr>
        <w:trPr>
          <w:trHeight w:val="223"/>
        </w:trPr>
        <w:tc>
          <w:tcPr>
            <w:tcW w:w="548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Digital operations </w:t>
            </w:r>
            <w:r>
              <w:rPr>
                <w:rFonts w:ascii="Times New Roman" w:cs="Times New Roman" w:eastAsia="Times New Roman" w:hAnsi="Times New Roman"/>
                <w:sz w:val="22"/>
                <w:szCs w:val="22"/>
                <w:color w:val="auto"/>
                <w:vertAlign w:val="superscript"/>
              </w:rPr>
              <w:t>(2)</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233,090</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204,783</w:t>
            </w:r>
          </w:p>
        </w:tc>
      </w:tr>
      <w:tr>
        <w:trPr>
          <w:trHeight w:val="242"/>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080" w:type="dxa"/>
            <w:vAlign w:val="bottom"/>
            <w:tcBorders>
              <w:bottom w:val="single" w:sz="8" w:color="auto"/>
            </w:tcBorders>
            <w:shd w:val="clear" w:color="auto" w:fill="CCEEFF"/>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501,019</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436,507</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firstLine="478"/>
        <w:spacing w:after="0" w:line="276" w:lineRule="auto"/>
        <w:tabs>
          <w:tab w:leader="none" w:pos="758"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Data and AI-led revenue comes from AI-powered solutions and services in which the Company embeds data and AI into client workflows. Leveraging the Company’s depth of domain knowledge, analytics, data management and digital engineering expertise, the Company’s industry-specific offerings are designed to help clients accelerate growth, improve customer experience, enhance efficiency, and deliver lasting competitive advantages. As clients evolve from digital operations to data and AI-powered operations and outcomes, these capabilities represent the next stage of enterprise transformation.</w:t>
      </w:r>
    </w:p>
    <w:p>
      <w:pPr>
        <w:spacing w:after="0" w:line="178" w:lineRule="exact"/>
        <w:rPr>
          <w:rFonts w:ascii="Times New Roman" w:cs="Times New Roman" w:eastAsia="Times New Roman" w:hAnsi="Times New Roman"/>
          <w:sz w:val="16"/>
          <w:szCs w:val="16"/>
          <w:color w:val="auto"/>
        </w:rPr>
      </w:pPr>
    </w:p>
    <w:p>
      <w:pPr>
        <w:jc w:val="both"/>
        <w:ind w:firstLine="478"/>
        <w:spacing w:after="0" w:line="233" w:lineRule="auto"/>
        <w:tabs>
          <w:tab w:leader="none" w:pos="72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operations revenue comes from the Company’s industry-specific solutions and services that help clients run essential business functions with greater speed, accuracy, and efficiency. The Company applies deep industry expertise and tailored technology—whether its proprietary technology or client technology—to solve complex challenges and drive measurable outcomes. These digital operations deployments form the foundation for future client transformation opportunities to infuse AI into client workflows and unlock even greater value.</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All four reportable segments of the Company include revenues from both data and AI-led and digital operations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attributes revenues based on geographical markets where the customer operations being served by it are located.</w:t>
      </w:r>
    </w:p>
    <w:p>
      <w:pPr>
        <w:spacing w:after="0" w:line="203" w:lineRule="exact"/>
        <w:rPr>
          <w:sz w:val="20"/>
          <w:szCs w:val="20"/>
          <w:color w:val="auto"/>
        </w:rPr>
      </w:pPr>
    </w:p>
    <w:tbl>
      <w:tblPr>
        <w:tblLayout w:type="fixed"/>
        <w:tblInd w:w="1180" w:type="dxa"/>
        <w:tblCellMar>
          <w:top w:w="0" w:type="dxa"/>
          <w:left w:w="0" w:type="dxa"/>
          <w:bottom w:w="0" w:type="dxa"/>
          <w:right w:w="0" w:type="dxa"/>
        </w:tblCellMar>
      </w:tblPr>
      <w:tr>
        <w:trPr>
          <w:trHeight w:val="211"/>
        </w:trPr>
        <w:tc>
          <w:tcPr>
            <w:tcW w:w="544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60" w:type="dxa"/>
            <w:vAlign w:val="bottom"/>
            <w:tcBorders>
              <w:bottom w:val="single" w:sz="8" w:color="auto"/>
            </w:tcBorders>
          </w:tcPr>
          <w:p>
            <w:pPr>
              <w:spacing w:after="0"/>
              <w:rPr>
                <w:sz w:val="18"/>
                <w:szCs w:val="18"/>
                <w:color w:val="auto"/>
              </w:rPr>
            </w:pPr>
          </w:p>
        </w:tc>
      </w:tr>
      <w:tr>
        <w:trPr>
          <w:trHeight w:val="205"/>
        </w:trPr>
        <w:tc>
          <w:tcPr>
            <w:tcW w:w="54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7"/>
                <w:szCs w:val="17"/>
                <w:color w:val="auto"/>
              </w:rPr>
            </w:pPr>
          </w:p>
        </w:tc>
      </w:tr>
      <w:tr>
        <w:trPr>
          <w:trHeight w:val="204"/>
        </w:trPr>
        <w:tc>
          <w:tcPr>
            <w:tcW w:w="54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Revenues, net</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02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415,350</w:t>
            </w:r>
          </w:p>
        </w:tc>
        <w:tc>
          <w:tcPr>
            <w:tcW w:w="100" w:type="dxa"/>
            <w:vAlign w:val="bottom"/>
          </w:tcPr>
          <w:p>
            <w:pPr>
              <w:spacing w:after="0"/>
              <w:rPr>
                <w:sz w:val="19"/>
                <w:szCs w:val="19"/>
                <w:color w:val="auto"/>
              </w:rPr>
            </w:pP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362,176</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U.K. &amp; Europe</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65,610</w:t>
            </w:r>
          </w:p>
        </w:tc>
      </w:tr>
      <w:tr>
        <w:trPr>
          <w:trHeight w:val="22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9,976</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8,721</w:t>
            </w:r>
          </w:p>
        </w:tc>
      </w:tr>
      <w:tr>
        <w:trPr>
          <w:trHeight w:val="24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020" w:type="dxa"/>
            <w:vAlign w:val="bottom"/>
            <w:tcBorders>
              <w:bottom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501,019</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436,507</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Revenues, net by industry verticals, were as follows:</w:t>
      </w:r>
    </w:p>
    <w:p>
      <w:pPr>
        <w:spacing w:after="0" w:line="203" w:lineRule="exact"/>
        <w:rPr>
          <w:sz w:val="20"/>
          <w:szCs w:val="20"/>
          <w:color w:val="auto"/>
        </w:rPr>
      </w:pPr>
    </w:p>
    <w:tbl>
      <w:tblPr>
        <w:tblLayout w:type="fixed"/>
        <w:tblInd w:w="1340" w:type="dxa"/>
        <w:tblCellMar>
          <w:top w:w="0" w:type="dxa"/>
          <w:left w:w="0" w:type="dxa"/>
          <w:bottom w:w="0" w:type="dxa"/>
          <w:right w:w="0" w:type="dxa"/>
        </w:tblCellMar>
      </w:tblPr>
      <w:tr>
        <w:trPr>
          <w:trHeight w:val="211"/>
        </w:trPr>
        <w:tc>
          <w:tcPr>
            <w:tcW w:w="5160" w:type="dxa"/>
            <w:vAlign w:val="bottom"/>
          </w:tcPr>
          <w:p>
            <w:pPr>
              <w:spacing w:after="0"/>
              <w:rPr>
                <w:sz w:val="18"/>
                <w:szCs w:val="18"/>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80" w:type="dxa"/>
            <w:vAlign w:val="bottom"/>
            <w:tcBorders>
              <w:bottom w:val="single" w:sz="8" w:color="auto"/>
            </w:tcBorders>
          </w:tcPr>
          <w:p>
            <w:pPr>
              <w:spacing w:after="0"/>
              <w:rPr>
                <w:sz w:val="18"/>
                <w:szCs w:val="18"/>
                <w:color w:val="auto"/>
              </w:rPr>
            </w:pPr>
          </w:p>
        </w:tc>
      </w:tr>
      <w:tr>
        <w:trPr>
          <w:trHeight w:val="205"/>
        </w:trPr>
        <w:tc>
          <w:tcPr>
            <w:tcW w:w="51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7"/>
                <w:szCs w:val="17"/>
                <w:color w:val="auto"/>
              </w:rPr>
            </w:pPr>
          </w:p>
        </w:tc>
      </w:tr>
      <w:tr>
        <w:trPr>
          <w:trHeight w:val="21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00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200,361</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183,059</w:t>
            </w: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Healthcare and Life Sciences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125,826</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100,900</w:t>
            </w:r>
          </w:p>
        </w:tc>
      </w:tr>
      <w:tr>
        <w:trPr>
          <w:trHeight w:val="22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Banking, Capital Markets and Diversified Industries</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174,832</w:t>
            </w:r>
          </w:p>
        </w:tc>
        <w:tc>
          <w:tcPr>
            <w:tcW w:w="14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152,548</w:t>
            </w:r>
          </w:p>
        </w:tc>
      </w:tr>
      <w:tr>
        <w:trPr>
          <w:trHeight w:val="21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00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501,019</w:t>
            </w:r>
          </w:p>
        </w:tc>
        <w:tc>
          <w:tcPr>
            <w:tcW w:w="140" w:type="dxa"/>
            <w:vAlign w:val="bottom"/>
          </w:tcPr>
          <w:p>
            <w:pPr>
              <w:spacing w:after="0"/>
              <w:rPr>
                <w:sz w:val="18"/>
                <w:szCs w:val="18"/>
                <w:color w:val="auto"/>
              </w:rPr>
            </w:pPr>
          </w:p>
        </w:tc>
        <w:tc>
          <w:tcPr>
            <w:tcW w:w="104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436,507</w:t>
            </w: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Long-lived assets by geographic area, which consist of property and equipment, net and operating lease ROU assets were as follows:</w:t>
      </w:r>
    </w:p>
    <w:p>
      <w:pPr>
        <w:spacing w:after="0" w:line="203" w:lineRule="exact"/>
        <w:rPr>
          <w:sz w:val="20"/>
          <w:szCs w:val="20"/>
          <w:color w:val="auto"/>
        </w:rPr>
      </w:pPr>
    </w:p>
    <w:tbl>
      <w:tblPr>
        <w:tblLayout w:type="fixed"/>
        <w:tblInd w:w="780" w:type="dxa"/>
        <w:tblCellMar>
          <w:top w:w="0" w:type="dxa"/>
          <w:left w:w="0" w:type="dxa"/>
          <w:bottom w:w="0" w:type="dxa"/>
          <w:right w:w="0" w:type="dxa"/>
        </w:tblCellMar>
      </w:tblPr>
      <w:tr>
        <w:trPr>
          <w:trHeight w:val="211"/>
        </w:trPr>
        <w:tc>
          <w:tcPr>
            <w:tcW w:w="6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18"/>
                <w:szCs w:val="18"/>
                <w:color w:val="auto"/>
              </w:rPr>
            </w:pPr>
          </w:p>
        </w:tc>
      </w:tr>
      <w:tr>
        <w:trPr>
          <w:trHeight w:val="205"/>
        </w:trPr>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7"/>
                <w:szCs w:val="17"/>
                <w:color w:val="auto"/>
              </w:rPr>
            </w:pPr>
          </w:p>
        </w:tc>
        <w:tc>
          <w:tcPr>
            <w:tcW w:w="1580" w:type="dxa"/>
            <w:vAlign w:val="bottom"/>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4"/>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Long-lived assets</w:t>
            </w:r>
          </w:p>
        </w:tc>
        <w:tc>
          <w:tcPr>
            <w:tcW w:w="2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r>
      <w:tr>
        <w:trPr>
          <w:trHeight w:val="220"/>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India</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66,263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63,040</w:t>
            </w:r>
          </w:p>
        </w:tc>
      </w:tr>
      <w:tr>
        <w:trPr>
          <w:trHeight w:val="227"/>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North America</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52,510</w:t>
            </w:r>
          </w:p>
        </w:tc>
      </w:tr>
      <w:tr>
        <w:trPr>
          <w:trHeight w:val="220"/>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Philippines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25,881</w:t>
            </w:r>
          </w:p>
        </w:tc>
      </w:tr>
      <w:tr>
        <w:trPr>
          <w:trHeight w:val="227"/>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South Africa</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23,828</w:t>
            </w:r>
          </w:p>
        </w:tc>
      </w:tr>
      <w:tr>
        <w:trPr>
          <w:trHeight w:val="220"/>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Rest of World</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5,362</w:t>
            </w:r>
          </w:p>
        </w:tc>
      </w:tr>
      <w:tr>
        <w:trPr>
          <w:trHeight w:val="242"/>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Long-lived assets</w:t>
            </w: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178,298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170,621</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60"/>
          </w:cols>
          <w:pgMar w:left="320" w:top="119" w:right="11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 net and Accounts Receivable, net</w:t>
      </w:r>
    </w:p>
    <w:p>
      <w:pPr>
        <w:spacing w:after="0" w:line="163"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Refer to Note 3 - Segment Information to the unaudited consolidated financial statements for revenues disaggregated by reportable segments, service type, geography and industry verticals.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contract assets and contract liabilities from contracts with customers:</w:t>
      </w:r>
    </w:p>
    <w:p>
      <w:pPr>
        <w:spacing w:after="0" w:line="242" w:lineRule="exact"/>
        <w:rPr>
          <w:sz w:val="20"/>
          <w:szCs w:val="20"/>
          <w:color w:val="auto"/>
        </w:rPr>
      </w:pPr>
    </w:p>
    <w:tbl>
      <w:tblPr>
        <w:tblLayout w:type="fixed"/>
        <w:tblInd w:w="720" w:type="dxa"/>
        <w:tblCellMar>
          <w:top w:w="0" w:type="dxa"/>
          <w:left w:w="0" w:type="dxa"/>
          <w:bottom w:w="0" w:type="dxa"/>
          <w:right w:w="0" w:type="dxa"/>
        </w:tblCellMar>
      </w:tblPr>
      <w:tr>
        <w:trPr>
          <w:trHeight w:val="211"/>
        </w:trPr>
        <w:tc>
          <w:tcPr>
            <w:tcW w:w="6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40" w:type="dxa"/>
            <w:vAlign w:val="bottom"/>
            <w:tcBorders>
              <w:bottom w:val="single" w:sz="8" w:color="auto"/>
            </w:tcBorders>
          </w:tcPr>
          <w:p>
            <w:pPr>
              <w:spacing w:after="0"/>
              <w:rPr>
                <w:sz w:val="18"/>
                <w:szCs w:val="18"/>
                <w:color w:val="auto"/>
              </w:rPr>
            </w:pPr>
          </w:p>
        </w:tc>
      </w:tr>
      <w:tr>
        <w:trPr>
          <w:trHeight w:val="230"/>
        </w:trPr>
        <w:tc>
          <w:tcPr>
            <w:tcW w:w="6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0" w:type="dxa"/>
            <w:vAlign w:val="bottom"/>
          </w:tcPr>
          <w:p>
            <w:pPr>
              <w:spacing w:after="0"/>
              <w:rPr>
                <w:sz w:val="19"/>
                <w:szCs w:val="19"/>
                <w:color w:val="auto"/>
              </w:rPr>
            </w:pPr>
          </w:p>
        </w:tc>
        <w:tc>
          <w:tcPr>
            <w:tcW w:w="164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9"/>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339,856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304,322</w:t>
            </w: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39,700</w:t>
            </w:r>
          </w:p>
        </w:tc>
      </w:tr>
      <w:tr>
        <w:trPr>
          <w:trHeight w:val="22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3"/>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(consideration received in advance)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15,484</w:t>
            </w:r>
          </w:p>
        </w:tc>
      </w:tr>
      <w:tr>
        <w:trPr>
          <w:trHeight w:val="223"/>
        </w:trPr>
        <w:tc>
          <w:tcPr>
            <w:tcW w:w="6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Consideration received for process transition activities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21,993</w:t>
            </w:r>
          </w:p>
        </w:tc>
      </w:tr>
    </w:tbl>
    <w:p>
      <w:pPr>
        <w:spacing w:after="0" w:line="231"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Accounts receivable includes $144,747 and $121,817 as of March 31, 2025 and December 31, 2024, respectively, representing unbilled receivables. The Company has accrued the unbilled receivables for work performed in accordance with the terms of contracts with customers and considers no performance risk associated with its unbilled receivables. Contract assets as of March 31, 2025 and December 31, 2024, includes receivables of $38,130 and $33,472, respectively, from our payment integrity services. There are no performance risks associated with these contract assets.</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significant cumulative catch-up impact or impairment related to contract assets as of March 31, 2025 and December 31, 2024.</w:t>
      </w:r>
    </w:p>
    <w:p>
      <w:pPr>
        <w:spacing w:after="0" w:line="161"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Revenue recognized during the three months ended March 31, 2025 and 2024, which was included in the contract liabilities balance at the beginning of the respective periods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7"/>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46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00" w:type="dxa"/>
            <w:vAlign w:val="bottom"/>
          </w:tcPr>
          <w:p>
            <w:pPr>
              <w:spacing w:after="0"/>
              <w:rPr>
                <w:sz w:val="20"/>
                <w:szCs w:val="20"/>
                <w:color w:val="auto"/>
              </w:rPr>
            </w:pPr>
          </w:p>
        </w:tc>
        <w:tc>
          <w:tcPr>
            <w:tcW w:w="3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Deferred revenue (consideration received in advance)</w:t>
            </w: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7,429</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 w:type="dxa"/>
            <w:vAlign w:val="bottom"/>
          </w:tcPr>
          <w:p>
            <w:pPr>
              <w:spacing w:after="0"/>
              <w:rPr>
                <w:sz w:val="21"/>
                <w:szCs w:val="21"/>
                <w:color w:val="auto"/>
              </w:rPr>
            </w:pPr>
          </w:p>
        </w:tc>
        <w:tc>
          <w:tcPr>
            <w:tcW w:w="45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Consideration received for process transition activities</w:t>
            </w: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1,377</w:t>
            </w:r>
          </w:p>
        </w:tc>
        <w:tc>
          <w:tcPr>
            <w:tcW w:w="100" w:type="dxa"/>
            <w:vAlign w:val="bottom"/>
          </w:tcPr>
          <w:p>
            <w:pPr>
              <w:spacing w:after="0"/>
              <w:rPr>
                <w:sz w:val="21"/>
                <w:szCs w:val="21"/>
                <w:color w:val="auto"/>
              </w:rPr>
            </w:pPr>
          </w:p>
        </w:tc>
        <w:tc>
          <w:tcPr>
            <w:tcW w:w="6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8"/>
        </w:trPr>
        <w:tc>
          <w:tcPr>
            <w:tcW w:w="3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6"/>
              </w:rPr>
              <w:t>Contract acquisition and fulfillment costs</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380" w:type="dxa"/>
            <w:vAlign w:val="bottom"/>
            <w:gridSpan w:val="12"/>
          </w:tcPr>
          <w:p>
            <w:pPr>
              <w:ind w:left="400"/>
              <w:spacing w:after="0"/>
              <w:rPr>
                <w:sz w:val="20"/>
                <w:szCs w:val="20"/>
                <w:color w:val="auto"/>
              </w:rPr>
            </w:pPr>
            <w:r>
              <w:rPr>
                <w:rFonts w:ascii="Times New Roman" w:cs="Times New Roman" w:eastAsia="Times New Roman" w:hAnsi="Times New Roman"/>
                <w:sz w:val="18"/>
                <w:szCs w:val="18"/>
                <w:color w:val="auto"/>
                <w:w w:val="99"/>
              </w:rPr>
              <w:t>The following table provides details of the Company’s contract acquisition and fulfillment costs: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7"/>
          </w:tcPr>
          <w:p>
            <w:pPr>
              <w:jc w:val="center"/>
              <w:ind w:right="436"/>
              <w:spacing w:after="0"/>
              <w:rPr>
                <w:sz w:val="20"/>
                <w:szCs w:val="20"/>
                <w:color w:val="auto"/>
              </w:rPr>
            </w:pPr>
            <w:r>
              <w:rPr>
                <w:rFonts w:ascii="Times New Roman" w:cs="Times New Roman" w:eastAsia="Times New Roman" w:hAnsi="Times New Roman"/>
                <w:sz w:val="16"/>
                <w:szCs w:val="16"/>
                <w:b w:val="1"/>
                <w:bCs w:val="1"/>
                <w:color w:val="auto"/>
                <w:w w:val="98"/>
              </w:rPr>
              <w:t>Contract Acquisition Costs</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Contract Fulfillment Costs</w:t>
            </w: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6"/>
              </w:rPr>
              <w:t>Year ended</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Year ended</w:t>
            </w:r>
          </w:p>
        </w:tc>
        <w:tc>
          <w:tcPr>
            <w:tcW w:w="0" w:type="dxa"/>
            <w:vAlign w:val="bottom"/>
          </w:tcPr>
          <w:p>
            <w:pPr>
              <w:spacing w:after="0"/>
              <w:rPr>
                <w:sz w:val="1"/>
                <w:szCs w:val="1"/>
                <w:color w:val="auto"/>
              </w:rPr>
            </w:pPr>
          </w:p>
        </w:tc>
      </w:tr>
      <w:tr>
        <w:trPr>
          <w:trHeight w:val="152"/>
        </w:trPr>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6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260" w:type="dxa"/>
            <w:vAlign w:val="bottom"/>
            <w:gridSpan w:val="3"/>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March 31, 2024</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center"/>
              <w:ind w:right="16"/>
              <w:spacing w:after="0" w:line="15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80" w:type="dxa"/>
            <w:vAlign w:val="bottom"/>
            <w:shd w:val="clear" w:color="auto" w:fill="CCEEFF"/>
          </w:tcPr>
          <w:p>
            <w:pPr>
              <w:spacing w:after="0"/>
              <w:rPr>
                <w:sz w:val="13"/>
                <w:szCs w:val="13"/>
                <w:color w:val="auto"/>
              </w:rPr>
            </w:pPr>
          </w:p>
        </w:tc>
        <w:tc>
          <w:tcPr>
            <w:tcW w:w="1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gridSpan w:val="3"/>
            <w:vMerge w:val="continue"/>
            <w:shd w:val="clear" w:color="auto" w:fill="CCEEFF"/>
          </w:tcPr>
          <w:p>
            <w:pPr>
              <w:spacing w:after="0"/>
              <w:rPr>
                <w:sz w:val="18"/>
                <w:szCs w:val="18"/>
                <w:color w:val="auto"/>
              </w:rPr>
            </w:pPr>
          </w:p>
        </w:tc>
        <w:tc>
          <w:tcPr>
            <w:tcW w:w="12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Opening balance</w:t>
            </w:r>
          </w:p>
        </w:tc>
        <w:tc>
          <w:tcPr>
            <w:tcW w:w="580" w:type="dxa"/>
            <w:vAlign w:val="bottom"/>
          </w:tcPr>
          <w:p>
            <w:pPr>
              <w:spacing w:after="0"/>
              <w:rPr>
                <w:sz w:val="18"/>
                <w:szCs w:val="18"/>
                <w:color w:val="auto"/>
              </w:rPr>
            </w:pPr>
          </w:p>
        </w:tc>
        <w:tc>
          <w:tcPr>
            <w:tcW w:w="52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80" w:type="dxa"/>
            <w:vAlign w:val="bottom"/>
          </w:tcPr>
          <w:p>
            <w:pPr>
              <w:spacing w:after="0"/>
              <w:rPr>
                <w:sz w:val="18"/>
                <w:szCs w:val="18"/>
                <w:color w:val="auto"/>
              </w:rPr>
            </w:pPr>
          </w:p>
        </w:tc>
        <w:tc>
          <w:tcPr>
            <w:tcW w:w="68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2,122</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center"/>
              <w:ind w:left="456"/>
              <w:spacing w:after="0"/>
              <w:rPr>
                <w:sz w:val="20"/>
                <w:szCs w:val="20"/>
                <w:color w:val="auto"/>
              </w:rPr>
            </w:pPr>
            <w:r>
              <w:rPr>
                <w:rFonts w:ascii="Times New Roman" w:cs="Times New Roman" w:eastAsia="Times New Roman" w:hAnsi="Times New Roman"/>
                <w:sz w:val="18"/>
                <w:szCs w:val="18"/>
                <w:color w:val="auto"/>
                <w:w w:val="98"/>
              </w:rPr>
              <w:t>2,122</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36,022</w:t>
            </w:r>
          </w:p>
        </w:tc>
        <w:tc>
          <w:tcPr>
            <w:tcW w:w="80" w:type="dxa"/>
            <w:vAlign w:val="bottom"/>
          </w:tcPr>
          <w:p>
            <w:pPr>
              <w:spacing w:after="0"/>
              <w:rPr>
                <w:sz w:val="18"/>
                <w:szCs w:val="18"/>
                <w:color w:val="auto"/>
              </w:rPr>
            </w:pPr>
          </w:p>
        </w:tc>
        <w:tc>
          <w:tcPr>
            <w:tcW w:w="40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rPr>
              <w:t>24,673</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56"/>
              <w:spacing w:after="0"/>
              <w:rPr>
                <w:sz w:val="20"/>
                <w:szCs w:val="20"/>
                <w:color w:val="auto"/>
              </w:rPr>
            </w:pPr>
            <w:r>
              <w:rPr>
                <w:rFonts w:ascii="Times New Roman" w:cs="Times New Roman" w:eastAsia="Times New Roman" w:hAnsi="Times New Roman"/>
                <w:sz w:val="18"/>
                <w:szCs w:val="18"/>
                <w:color w:val="auto"/>
                <w:w w:val="98"/>
              </w:rPr>
              <w:t>1,240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15,118</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5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436"/>
              <w:spacing w:after="0"/>
              <w:rPr>
                <w:sz w:val="20"/>
                <w:szCs w:val="20"/>
                <w:color w:val="auto"/>
              </w:rPr>
            </w:pPr>
            <w:r>
              <w:rPr>
                <w:rFonts w:ascii="Times New Roman" w:cs="Times New Roman" w:eastAsia="Times New Roman" w:hAnsi="Times New Roman"/>
                <w:sz w:val="18"/>
                <w:szCs w:val="18"/>
                <w:color w:val="auto"/>
                <w:w w:val="95"/>
              </w:rPr>
              <w:t>(1,075)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w w:val="98"/>
              </w:rPr>
              <w:t>(3,769)</w:t>
            </w:r>
          </w:p>
        </w:tc>
        <w:tc>
          <w:tcPr>
            <w:tcW w:w="0" w:type="dxa"/>
            <w:vAlign w:val="bottom"/>
          </w:tcPr>
          <w:p>
            <w:pPr>
              <w:spacing w:after="0"/>
              <w:rPr>
                <w:sz w:val="1"/>
                <w:szCs w:val="1"/>
                <w:color w:val="auto"/>
              </w:rPr>
            </w:pPr>
          </w:p>
        </w:tc>
      </w:tr>
      <w:tr>
        <w:trPr>
          <w:trHeight w:val="242"/>
        </w:trPr>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balance</w:t>
            </w:r>
          </w:p>
        </w:tc>
        <w:tc>
          <w:tcPr>
            <w:tcW w:w="5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1,901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center"/>
              <w:ind w:left="456"/>
              <w:spacing w:after="0"/>
              <w:rPr>
                <w:sz w:val="20"/>
                <w:szCs w:val="20"/>
                <w:color w:val="auto"/>
              </w:rPr>
            </w:pPr>
            <w:r>
              <w:rPr>
                <w:rFonts w:ascii="Times New Roman" w:cs="Times New Roman" w:eastAsia="Times New Roman" w:hAnsi="Times New Roman"/>
                <w:sz w:val="18"/>
                <w:szCs w:val="18"/>
                <w:color w:val="auto"/>
                <w:w w:val="98"/>
              </w:rPr>
              <w:t>2,287</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36,022</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was no significant impairment for contract acquisition and contract fulfillment costs as of March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expected credit losses</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net of allowance for expected credit losses:</w:t>
      </w:r>
    </w:p>
    <w:p>
      <w:pPr>
        <w:spacing w:after="0" w:line="177" w:lineRule="exact"/>
        <w:rPr>
          <w:sz w:val="20"/>
          <w:szCs w:val="20"/>
          <w:color w:val="auto"/>
        </w:rPr>
      </w:pPr>
    </w:p>
    <w:tbl>
      <w:tblPr>
        <w:tblLayout w:type="fixed"/>
        <w:tblInd w:w="400" w:type="dxa"/>
        <w:tblCellMar>
          <w:top w:w="0" w:type="dxa"/>
          <w:left w:w="0" w:type="dxa"/>
          <w:bottom w:w="0" w:type="dxa"/>
          <w:right w:w="0" w:type="dxa"/>
        </w:tblCellMar>
      </w:tblPr>
      <w:tr>
        <w:trPr>
          <w:trHeight w:val="209"/>
        </w:trPr>
        <w:tc>
          <w:tcPr>
            <w:tcW w:w="24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r>
      <w:tr>
        <w:trPr>
          <w:trHeight w:val="182"/>
        </w:trPr>
        <w:tc>
          <w:tcPr>
            <w:tcW w:w="24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gridSpan w:val="4"/>
          </w:tcPr>
          <w:p>
            <w:pPr>
              <w:jc w:val="center"/>
              <w:ind w:right="480"/>
              <w:spacing w:after="0" w:line="182" w:lineRule="exact"/>
              <w:rPr>
                <w:sz w:val="20"/>
                <w:szCs w:val="20"/>
                <w:color w:val="auto"/>
              </w:rPr>
            </w:pPr>
            <w:r>
              <w:rPr>
                <w:rFonts w:ascii="Times New Roman" w:cs="Times New Roman" w:eastAsia="Times New Roman" w:hAnsi="Times New Roman"/>
                <w:sz w:val="16"/>
                <w:szCs w:val="16"/>
                <w:b w:val="1"/>
                <w:bCs w:val="1"/>
                <w:color w:val="auto"/>
                <w:w w:val="97"/>
              </w:rPr>
              <w:t>March 31, 2025</w:t>
            </w:r>
          </w:p>
        </w:tc>
        <w:tc>
          <w:tcPr>
            <w:tcW w:w="60" w:type="dxa"/>
            <w:vAlign w:val="bottom"/>
          </w:tcPr>
          <w:p>
            <w:pPr>
              <w:spacing w:after="0"/>
              <w:rPr>
                <w:sz w:val="15"/>
                <w:szCs w:val="15"/>
                <w:color w:val="auto"/>
              </w:rPr>
            </w:pPr>
          </w:p>
        </w:tc>
        <w:tc>
          <w:tcPr>
            <w:tcW w:w="2000" w:type="dxa"/>
            <w:vAlign w:val="bottom"/>
            <w:gridSpan w:val="4"/>
          </w:tcPr>
          <w:p>
            <w:pPr>
              <w:jc w:val="right"/>
              <w:ind w:right="274"/>
              <w:spacing w:after="0" w:line="182"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300" w:type="dxa"/>
            <w:vAlign w:val="bottom"/>
          </w:tcPr>
          <w:p>
            <w:pPr>
              <w:spacing w:after="0"/>
              <w:rPr>
                <w:sz w:val="15"/>
                <w:szCs w:val="15"/>
                <w:color w:val="auto"/>
              </w:rPr>
            </w:pPr>
          </w:p>
        </w:tc>
      </w:tr>
      <w:tr>
        <w:trPr>
          <w:trHeight w:val="217"/>
        </w:trPr>
        <w:tc>
          <w:tcPr>
            <w:tcW w:w="5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344,590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307,850</w:t>
            </w:r>
          </w:p>
        </w:tc>
        <w:tc>
          <w:tcPr>
            <w:tcW w:w="300" w:type="dxa"/>
            <w:vAlign w:val="bottom"/>
          </w:tcPr>
          <w:p>
            <w:pPr>
              <w:spacing w:after="0"/>
              <w:rPr>
                <w:sz w:val="18"/>
                <w:szCs w:val="18"/>
                <w:color w:val="auto"/>
              </w:rPr>
            </w:pPr>
          </w:p>
        </w:tc>
      </w:tr>
      <w:tr>
        <w:trPr>
          <w:trHeight w:val="223"/>
        </w:trPr>
        <w:tc>
          <w:tcPr>
            <w:tcW w:w="5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4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300" w:type="dxa"/>
            <w:vAlign w:val="bottom"/>
          </w:tcPr>
          <w:p>
            <w:pPr>
              <w:spacing w:after="0"/>
              <w:rPr>
                <w:sz w:val="19"/>
                <w:szCs w:val="19"/>
                <w:color w:val="auto"/>
              </w:rPr>
            </w:pPr>
          </w:p>
        </w:tc>
      </w:tr>
      <w:tr>
        <w:trPr>
          <w:trHeight w:val="250"/>
        </w:trPr>
        <w:tc>
          <w:tcPr>
            <w:tcW w:w="5760" w:type="dxa"/>
            <w:vAlign w:val="bottom"/>
            <w:tcBorders>
              <w:bottom w:val="single" w:sz="8" w:color="CCEEFF"/>
            </w:tcBorders>
            <w:gridSpan w:val="2"/>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Accounts receivable, net</w:t>
            </w:r>
          </w:p>
        </w:tc>
        <w:tc>
          <w:tcPr>
            <w:tcW w:w="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gridSpan w:val="2"/>
            <w:shd w:val="clear" w:color="auto" w:fill="CCEEFF"/>
          </w:tcPr>
          <w:p>
            <w:pPr>
              <w:jc w:val="right"/>
              <w:ind w:right="340"/>
              <w:spacing w:after="0" w:line="190"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339,856</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5"/>
              <w:spacing w:after="0" w:line="19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304,322</w:t>
            </w:r>
          </w:p>
        </w:tc>
        <w:tc>
          <w:tcPr>
            <w:tcW w:w="300" w:type="dxa"/>
            <w:vAlign w:val="bottom"/>
          </w:tcPr>
          <w:p>
            <w:pPr>
              <w:spacing w:after="0"/>
              <w:rPr>
                <w:sz w:val="21"/>
                <w:szCs w:val="21"/>
                <w:color w:val="auto"/>
              </w:rPr>
            </w:pPr>
          </w:p>
        </w:tc>
      </w:tr>
      <w:tr>
        <w:trPr>
          <w:trHeight w:val="40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movement in “Allowance for expected credit losses” was as follows: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93"/>
        </w:trPr>
        <w:tc>
          <w:tcPr>
            <w:tcW w:w="2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80" w:type="dxa"/>
            <w:vAlign w:val="bottom"/>
            <w:gridSpan w:val="9"/>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7"/>
              </w:rPr>
              <w:t>Three months ended March 31,</w:t>
            </w:r>
          </w:p>
        </w:tc>
        <w:tc>
          <w:tcPr>
            <w:tcW w:w="160" w:type="dxa"/>
            <w:vAlign w:val="bottom"/>
          </w:tcPr>
          <w:p>
            <w:pPr>
              <w:spacing w:after="0"/>
              <w:rPr>
                <w:sz w:val="24"/>
                <w:szCs w:val="24"/>
                <w:color w:val="auto"/>
              </w:rPr>
            </w:pP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179"/>
        </w:trPr>
        <w:tc>
          <w:tcPr>
            <w:tcW w:w="240" w:type="dxa"/>
            <w:vAlign w:val="bottom"/>
          </w:tcPr>
          <w:p>
            <w:pPr>
              <w:spacing w:after="0"/>
              <w:rPr>
                <w:sz w:val="15"/>
                <w:szCs w:val="15"/>
                <w:color w:val="auto"/>
              </w:rPr>
            </w:pPr>
          </w:p>
        </w:tc>
        <w:tc>
          <w:tcPr>
            <w:tcW w:w="55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7"/>
        </w:trPr>
        <w:tc>
          <w:tcPr>
            <w:tcW w:w="240" w:type="dxa"/>
            <w:vAlign w:val="bottom"/>
          </w:tcPr>
          <w:p>
            <w:pPr>
              <w:spacing w:after="0"/>
              <w:rPr>
                <w:sz w:val="18"/>
                <w:szCs w:val="18"/>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balance</w:t>
            </w:r>
          </w:p>
        </w:tc>
        <w:tc>
          <w:tcPr>
            <w:tcW w:w="4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3,703</w:t>
            </w:r>
          </w:p>
        </w:tc>
      </w:tr>
      <w:tr>
        <w:trPr>
          <w:trHeight w:val="223"/>
        </w:trPr>
        <w:tc>
          <w:tcPr>
            <w:tcW w:w="24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Additions/(reductions)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24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due to write-off of accounts receivable</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r>
      <w:tr>
        <w:trPr>
          <w:trHeight w:val="223"/>
        </w:trPr>
        <w:tc>
          <w:tcPr>
            <w:tcW w:w="24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42"/>
        </w:trPr>
        <w:tc>
          <w:tcPr>
            <w:tcW w:w="240" w:type="dxa"/>
            <w:vAlign w:val="bottom"/>
          </w:tcPr>
          <w:p>
            <w:pPr>
              <w:spacing w:after="0"/>
              <w:rPr>
                <w:sz w:val="20"/>
                <w:szCs w:val="20"/>
                <w:color w:val="auto"/>
              </w:rPr>
            </w:pPr>
          </w:p>
        </w:tc>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balance</w:t>
            </w:r>
          </w:p>
        </w:tc>
        <w:tc>
          <w:tcPr>
            <w:tcW w:w="440" w:type="dxa"/>
            <w:vAlign w:val="bottom"/>
            <w:tcBorders>
              <w:top w:val="single" w:sz="8" w:color="auto"/>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3,528</w:t>
            </w:r>
          </w:p>
        </w:tc>
      </w:tr>
      <w:tr>
        <w:trPr>
          <w:trHeight w:val="20"/>
        </w:trPr>
        <w:tc>
          <w:tcPr>
            <w:tcW w:w="240" w:type="dxa"/>
            <w:vAlign w:val="bottom"/>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and credit risk concentration</w:t>
      </w:r>
    </w:p>
    <w:p>
      <w:pPr>
        <w:spacing w:after="0" w:line="150"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No single customer accounted for more than 10% of the Company's revenues, net during the three months ended March 31, 2025 and 2024. The Company’s management believes that the loss of any of its top ten clients could have a material adverse effect on its financial performance.</w:t>
      </w:r>
    </w:p>
    <w:p>
      <w:pPr>
        <w:spacing w:after="0" w:line="24"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To reduce credit risk, the Company conducts ongoing credit evaluations of its customers. No customer accounted for more than 10% of accounts receivable, net, as of March 31, 2025 and December 31, 2024.</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32"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7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5"/>
        </w:trPr>
        <w:tc>
          <w:tcPr>
            <w:tcW w:w="71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4"/>
        </w:trPr>
        <w:tc>
          <w:tcPr>
            <w:tcW w:w="718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Numerators: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66,561</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48,763</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3"/>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162,490,179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165,082,387</w:t>
            </w:r>
          </w:p>
        </w:tc>
      </w:tr>
      <w:tr>
        <w:trPr>
          <w:trHeight w:val="223"/>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2,067,154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1,644,466</w:t>
            </w:r>
          </w:p>
        </w:tc>
      </w:tr>
      <w:tr>
        <w:trPr>
          <w:trHeight w:val="217"/>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164,557,333</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166,726,853</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0"/>
        </w:trPr>
        <w:tc>
          <w:tcPr>
            <w:tcW w:w="7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23"/>
        </w:trPr>
        <w:tc>
          <w:tcPr>
            <w:tcW w:w="7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23"/>
        </w:trPr>
        <w:tc>
          <w:tcPr>
            <w:tcW w:w="7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171"/>
        </w:trPr>
        <w:tc>
          <w:tcPr>
            <w:tcW w:w="71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9"/>
              </w:rPr>
              <w:t>Weighted average potentially dilutive shares considered anti-dilutive and not included in computing</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3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318,740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3,181,304</w:t>
            </w:r>
          </w:p>
        </w:tc>
      </w:tr>
    </w:tbl>
    <w:p>
      <w:pPr>
        <w:spacing w:after="0" w:line="298" w:lineRule="exact"/>
        <w:rPr>
          <w:sz w:val="20"/>
          <w:szCs w:val="20"/>
          <w:color w:val="auto"/>
        </w:rPr>
      </w:pPr>
    </w:p>
    <w:p>
      <w:pPr>
        <w:jc w:val="both"/>
        <w:ind w:firstLine="394"/>
        <w:spacing w:after="0" w:line="230" w:lineRule="auto"/>
        <w:rPr>
          <w:sz w:val="20"/>
          <w:szCs w:val="20"/>
          <w:color w:val="auto"/>
        </w:rPr>
      </w:pPr>
      <w:r>
        <w:rPr>
          <w:rFonts w:ascii="Times New Roman" w:cs="Times New Roman" w:eastAsia="Times New Roman" w:hAnsi="Times New Roman"/>
          <w:sz w:val="18"/>
          <w:szCs w:val="18"/>
          <w:color w:val="auto"/>
        </w:rPr>
        <w:t>On March 15, 2024, the Company entered into a master confirmation (the “Master Accelerated Share Repurchase Confirmation”) and a supplemental confirmation (together with the Master Accelerated Share Repurchase Confirmation, the “2024 ASR Agreement”), with Citibank, N.A. (“Citibank”). Refer to Note 19 - Capital Structure to the unaudited consolidated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financial statements for further details. During the three months ended March 31, 2024, the Company recorded the initial delivery of shares in treasury stock, which resulted in an immediate reduction of its outstanding shares used to calculate the weighted average common shares outstanding for basic and diluted earnings per share.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Income, net</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income, net consists of the following:</w:t>
      </w:r>
    </w:p>
    <w:p>
      <w:pPr>
        <w:spacing w:after="0" w:line="22"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6780" w:type="dxa"/>
            <w:vAlign w:val="bottom"/>
          </w:tcPr>
          <w:p>
            <w:pPr>
              <w:spacing w:after="0"/>
              <w:rPr>
                <w:sz w:val="19"/>
                <w:szCs w:val="19"/>
                <w:color w:val="auto"/>
              </w:rPr>
            </w:pPr>
          </w:p>
        </w:tc>
        <w:tc>
          <w:tcPr>
            <w:tcW w:w="3240" w:type="dxa"/>
            <w:vAlign w:val="bottom"/>
            <w:tcBorders>
              <w:bottom w:val="single" w:sz="8" w:color="auto"/>
            </w:tcBorders>
            <w:gridSpan w:val="4"/>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600" w:type="dxa"/>
            <w:vAlign w:val="bottom"/>
            <w:tcBorders>
              <w:bottom w:val="single" w:sz="8" w:color="auto"/>
            </w:tcBorders>
          </w:tcPr>
          <w:p>
            <w:pPr>
              <w:spacing w:after="0"/>
              <w:rPr>
                <w:sz w:val="19"/>
                <w:szCs w:val="19"/>
                <w:color w:val="auto"/>
              </w:rPr>
            </w:pPr>
          </w:p>
        </w:tc>
      </w:tr>
      <w:tr>
        <w:trPr>
          <w:trHeight w:val="222"/>
        </w:trPr>
        <w:tc>
          <w:tcPr>
            <w:tcW w:w="67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bottom w:val="single" w:sz="8" w:color="auto"/>
            </w:tcBorders>
          </w:tcPr>
          <w:p>
            <w:pPr>
              <w:spacing w:after="0"/>
              <w:rPr>
                <w:sz w:val="19"/>
                <w:szCs w:val="19"/>
                <w:color w:val="auto"/>
              </w:rPr>
            </w:pPr>
          </w:p>
        </w:tc>
      </w:tr>
      <w:tr>
        <w:trPr>
          <w:trHeight w:val="21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 and fair value mark-to-market on investments</w:t>
            </w:r>
          </w:p>
        </w:tc>
        <w:tc>
          <w:tcPr>
            <w:tcW w:w="1260" w:type="dxa"/>
            <w:vAlign w:val="bottom"/>
            <w:shd w:val="clear" w:color="auto" w:fill="CCEEFF"/>
          </w:tcPr>
          <w:p>
            <w:pPr>
              <w:jc w:val="right"/>
              <w:ind w:right="107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w:t>
            </w:r>
          </w:p>
        </w:tc>
      </w:tr>
      <w:tr>
        <w:trPr>
          <w:trHeight w:val="24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and dividend income</w:t>
            </w:r>
          </w:p>
        </w:tc>
        <w:tc>
          <w:tcPr>
            <w:tcW w:w="1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2,625</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2,284</w:t>
            </w:r>
          </w:p>
        </w:tc>
      </w:tr>
      <w:tr>
        <w:trPr>
          <w:trHeight w:val="231"/>
        </w:trPr>
        <w:tc>
          <w:tcPr>
            <w:tcW w:w="6780" w:type="dxa"/>
            <w:vAlign w:val="bottom"/>
            <w:shd w:val="clear" w:color="auto" w:fill="CCEEFF"/>
          </w:tcPr>
          <w:p>
            <w:pPr>
              <w:ind w:left="20"/>
              <w:spacing w:after="0" w:line="231" w:lineRule="exact"/>
              <w:rPr>
                <w:sz w:val="20"/>
                <w:szCs w:val="20"/>
                <w:color w:val="auto"/>
              </w:rPr>
            </w:pPr>
            <w:r>
              <w:rPr>
                <w:rFonts w:ascii="Times New Roman" w:cs="Times New Roman" w:eastAsia="Times New Roman" w:hAnsi="Times New Roman"/>
                <w:sz w:val="17"/>
                <w:szCs w:val="17"/>
                <w:color w:val="auto"/>
              </w:rPr>
              <w:t xml:space="preserve">Fair value changes of contingent consideration </w:t>
            </w:r>
            <w:r>
              <w:rPr>
                <w:rFonts w:ascii="Times New Roman" w:cs="Times New Roman" w:eastAsia="Times New Roman" w:hAnsi="Times New Roman"/>
                <w:sz w:val="21"/>
                <w:szCs w:val="21"/>
                <w:color w:val="auto"/>
                <w:vertAlign w:val="superscript"/>
              </w:rPr>
              <w:t>(1)</w:t>
            </w:r>
          </w:p>
        </w:tc>
        <w:tc>
          <w:tcPr>
            <w:tcW w:w="12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w:t>
            </w:r>
          </w:p>
        </w:tc>
      </w:tr>
      <w:tr>
        <w:trPr>
          <w:trHeight w:val="22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Others, net</w:t>
            </w:r>
          </w:p>
        </w:tc>
        <w:tc>
          <w:tcPr>
            <w:tcW w:w="1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45"/>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260" w:type="dxa"/>
            <w:vAlign w:val="bottom"/>
            <w:tcBorders>
              <w:bottom w:val="single" w:sz="8" w:color="auto"/>
            </w:tcBorders>
            <w:shd w:val="clear" w:color="auto" w:fill="CCEEFF"/>
          </w:tcPr>
          <w:p>
            <w:pPr>
              <w:jc w:val="right"/>
              <w:ind w:right="107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4,703</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7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640" w:hanging="241"/>
        <w:spacing w:after="0"/>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16 - Fair Value Measurements to the unaudited consolidated financial statements for further details.</w:t>
      </w:r>
    </w:p>
    <w:p>
      <w:pPr>
        <w:spacing w:after="0" w:line="200" w:lineRule="exact"/>
        <w:rPr>
          <w:rFonts w:ascii="Times New Roman" w:cs="Times New Roman" w:eastAsia="Times New Roman" w:hAnsi="Times New Roman"/>
          <w:sz w:val="18"/>
          <w:szCs w:val="18"/>
          <w:color w:val="auto"/>
        </w:rPr>
      </w:pPr>
    </w:p>
    <w:p>
      <w:pPr>
        <w:spacing w:after="0" w:line="261" w:lineRule="exact"/>
        <w:rPr>
          <w:rFonts w:ascii="Times New Roman" w:cs="Times New Roman" w:eastAsia="Times New Roman" w:hAnsi="Times New Roman"/>
          <w:sz w:val="18"/>
          <w:szCs w:val="18"/>
          <w:color w:val="auto"/>
        </w:rPr>
      </w:pPr>
    </w:p>
    <w:p>
      <w:pPr>
        <w:ind w:left="180" w:hanging="175"/>
        <w:spacing w:after="0"/>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Restricted Cash</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the purposes of unaudited statements of cash flows, cash, cash equivalents and restricted cash consist of the following:</w:t>
      </w:r>
    </w:p>
    <w:p>
      <w:pPr>
        <w:spacing w:after="0" w:line="190"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05"/>
        </w:trPr>
        <w:tc>
          <w:tcPr>
            <w:tcW w:w="5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4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17"/>
                <w:szCs w:val="17"/>
                <w:color w:val="auto"/>
              </w:rPr>
            </w:pPr>
          </w:p>
        </w:tc>
        <w:tc>
          <w:tcPr>
            <w:tcW w:w="158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7"/>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140,442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153,355</w:t>
            </w:r>
          </w:p>
        </w:tc>
      </w:tr>
      <w:tr>
        <w:trPr>
          <w:trHeight w:val="223"/>
        </w:trPr>
        <w:tc>
          <w:tcPr>
            <w:tcW w:w="50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Restricted cash (current) </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9,972</w:t>
            </w:r>
          </w:p>
        </w:tc>
      </w:tr>
      <w:tr>
        <w:trPr>
          <w:trHeight w:val="223"/>
        </w:trPr>
        <w:tc>
          <w:tcPr>
            <w:tcW w:w="50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Restricted cash (non-current) </w:t>
            </w:r>
            <w:r>
              <w:rPr>
                <w:rFonts w:ascii="Times New Roman" w:cs="Times New Roman" w:eastAsia="Times New Roman" w:hAnsi="Times New Roman"/>
                <w:sz w:val="22"/>
                <w:szCs w:val="22"/>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8,071</w:t>
            </w:r>
          </w:p>
        </w:tc>
      </w:tr>
      <w:tr>
        <w:trPr>
          <w:trHeight w:val="21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158,478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117,232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171,398</w:t>
            </w: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firstLine="399"/>
        <w:spacing w:after="0" w:line="25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(current) primarily represents funds held on behalf of customers in dedicated bank accounts. The corresponding liability against the same is included under “Accrued Expenses and other current liabilities.” Restricted cash also includes funds held as collateral in a dedicated bank account for irrevocable letters of credit issued in favor of third parties for facility leases.</w:t>
      </w:r>
    </w:p>
    <w:p>
      <w:pPr>
        <w:spacing w:after="0" w:line="73" w:lineRule="exact"/>
        <w:rPr>
          <w:rFonts w:ascii="Times New Roman" w:cs="Times New Roman" w:eastAsia="Times New Roman" w:hAnsi="Times New Roman"/>
          <w:sz w:val="18"/>
          <w:szCs w:val="18"/>
          <w:color w:val="auto"/>
        </w:rPr>
      </w:pPr>
    </w:p>
    <w:p>
      <w:pPr>
        <w:jc w:val="both"/>
        <w:ind w:firstLine="399"/>
        <w:spacing w:after="0" w:line="256" w:lineRule="auto"/>
        <w:tabs>
          <w:tab w:leader="none" w:pos="6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(non-current) represents deposits with banks against bank guarantees issued through banks in favor of relevant statutory authorities for equipment imports, deposits for obtaining indirect tax registrations and for demands against pending income tax and value added tax (“VAT”) assessments. These deposits with banks will mature one year after the balance sheet date.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Investments consist of the following:</w:t>
      </w:r>
    </w:p>
    <w:p>
      <w:pPr>
        <w:spacing w:after="0" w:line="150" w:lineRule="exact"/>
        <w:rPr>
          <w:sz w:val="20"/>
          <w:szCs w:val="20"/>
          <w:color w:val="auto"/>
        </w:rPr>
      </w:pPr>
    </w:p>
    <w:tbl>
      <w:tblPr>
        <w:tblLayout w:type="fixed"/>
        <w:tblInd w:w="400" w:type="dxa"/>
        <w:tblCellMar>
          <w:top w:w="0" w:type="dxa"/>
          <w:left w:w="0" w:type="dxa"/>
          <w:bottom w:w="0" w:type="dxa"/>
          <w:right w:w="0" w:type="dxa"/>
        </w:tblCellMar>
      </w:tblPr>
      <w:tr>
        <w:trPr>
          <w:trHeight w:val="219"/>
        </w:trPr>
        <w:tc>
          <w:tcPr>
            <w:tcW w:w="5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1"/>
              </w:rPr>
              <w:t>As of</w:t>
            </w:r>
          </w:p>
        </w:tc>
        <w:tc>
          <w:tcPr>
            <w:tcW w:w="1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4"/>
        </w:trPr>
        <w:tc>
          <w:tcPr>
            <w:tcW w:w="55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Short-term investments</w:t>
            </w: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100,588</w:t>
            </w:r>
          </w:p>
        </w:tc>
        <w:tc>
          <w:tcPr>
            <w:tcW w:w="46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108,251</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 deposits</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90,390</w:t>
            </w: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78,972</w:t>
            </w:r>
          </w:p>
        </w:tc>
        <w:tc>
          <w:tcPr>
            <w:tcW w:w="0" w:type="dxa"/>
            <w:vAlign w:val="bottom"/>
          </w:tcPr>
          <w:p>
            <w:pPr>
              <w:spacing w:after="0"/>
              <w:rPr>
                <w:sz w:val="1"/>
                <w:szCs w:val="1"/>
                <w:color w:val="auto"/>
              </w:rPr>
            </w:pPr>
          </w:p>
        </w:tc>
      </w:tr>
      <w:tr>
        <w:trPr>
          <w:trHeight w:val="217"/>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190,978</w:t>
            </w:r>
          </w:p>
        </w:tc>
        <w:tc>
          <w:tcPr>
            <w:tcW w:w="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187,223</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5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 deposits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14,966</w:t>
            </w:r>
          </w:p>
        </w:tc>
        <w:tc>
          <w:tcPr>
            <w:tcW w:w="46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9,295</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Investment in equity affiliate</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4,677</w:t>
            </w:r>
          </w:p>
        </w:tc>
        <w:tc>
          <w:tcPr>
            <w:tcW w:w="0" w:type="dxa"/>
            <w:vAlign w:val="bottom"/>
          </w:tcPr>
          <w:p>
            <w:pPr>
              <w:spacing w:after="0"/>
              <w:rPr>
                <w:sz w:val="1"/>
                <w:szCs w:val="1"/>
                <w:color w:val="auto"/>
              </w:rPr>
            </w:pPr>
          </w:p>
        </w:tc>
      </w:tr>
      <w:tr>
        <w:trPr>
          <w:trHeight w:val="242"/>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20,134</w:t>
            </w:r>
          </w:p>
        </w:tc>
        <w:tc>
          <w:tcPr>
            <w:tcW w:w="1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13,972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Refer to Note 16 - Fair Value Measurements to the unaudited consolidated financial statements for further details.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and Equipment, net</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p>
      <w:pPr>
        <w:spacing w:after="0" w:line="194"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80" w:type="dxa"/>
            <w:vAlign w:val="bottom"/>
          </w:tcPr>
          <w:p>
            <w:pPr>
              <w:spacing w:after="0"/>
              <w:rPr>
                <w:sz w:val="16"/>
                <w:szCs w:val="16"/>
                <w:color w:val="auto"/>
              </w:rPr>
            </w:pPr>
          </w:p>
        </w:tc>
      </w:tr>
      <w:tr>
        <w:trPr>
          <w:trHeight w:val="24"/>
        </w:trPr>
        <w:tc>
          <w:tcPr>
            <w:tcW w:w="5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4"/>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Pr>
          <w:p>
            <w:pPr>
              <w:spacing w:after="0"/>
              <w:rPr>
                <w:sz w:val="16"/>
                <w:szCs w:val="16"/>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center"/>
              <w:ind w:left="739"/>
              <w:spacing w:after="0"/>
              <w:rPr>
                <w:sz w:val="20"/>
                <w:szCs w:val="20"/>
                <w:color w:val="auto"/>
              </w:rPr>
            </w:pPr>
            <w:r>
              <w:rPr>
                <w:rFonts w:ascii="Times New Roman" w:cs="Times New Roman" w:eastAsia="Times New Roman" w:hAnsi="Times New Roman"/>
                <w:sz w:val="18"/>
                <w:szCs w:val="18"/>
                <w:color w:val="auto"/>
                <w:w w:val="99"/>
              </w:rPr>
              <w:t>372,237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center"/>
              <w:ind w:left="777"/>
              <w:spacing w:after="0"/>
              <w:rPr>
                <w:sz w:val="20"/>
                <w:szCs w:val="20"/>
                <w:color w:val="auto"/>
              </w:rPr>
            </w:pPr>
            <w:r>
              <w:rPr>
                <w:rFonts w:ascii="Times New Roman" w:cs="Times New Roman" w:eastAsia="Times New Roman" w:hAnsi="Times New Roman"/>
                <w:sz w:val="18"/>
                <w:szCs w:val="18"/>
                <w:color w:val="auto"/>
                <w:w w:val="95"/>
              </w:rPr>
              <w:t>356,060</w:t>
            </w: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719"/>
              <w:spacing w:after="0"/>
              <w:rPr>
                <w:sz w:val="20"/>
                <w:szCs w:val="20"/>
                <w:color w:val="auto"/>
              </w:rPr>
            </w:pPr>
            <w:r>
              <w:rPr>
                <w:rFonts w:ascii="Times New Roman" w:cs="Times New Roman" w:eastAsia="Times New Roman" w:hAnsi="Times New Roman"/>
                <w:sz w:val="18"/>
                <w:szCs w:val="18"/>
                <w:color w:val="auto"/>
                <w:w w:val="96"/>
              </w:rPr>
              <w:t>(265,089)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757"/>
              <w:spacing w:after="0"/>
              <w:rPr>
                <w:sz w:val="20"/>
                <w:szCs w:val="20"/>
                <w:color w:val="auto"/>
              </w:rPr>
            </w:pPr>
            <w:r>
              <w:rPr>
                <w:rFonts w:ascii="Times New Roman" w:cs="Times New Roman" w:eastAsia="Times New Roman" w:hAnsi="Times New Roman"/>
                <w:sz w:val="18"/>
                <w:szCs w:val="18"/>
                <w:color w:val="auto"/>
                <w:w w:val="99"/>
              </w:rPr>
              <w:t>(254,223)</w:t>
            </w:r>
          </w:p>
        </w:tc>
      </w:tr>
      <w:tr>
        <w:trPr>
          <w:trHeight w:val="242"/>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center"/>
              <w:ind w:left="739"/>
              <w:spacing w:after="0"/>
              <w:rPr>
                <w:sz w:val="20"/>
                <w:szCs w:val="20"/>
                <w:color w:val="auto"/>
              </w:rPr>
            </w:pPr>
            <w:r>
              <w:rPr>
                <w:rFonts w:ascii="Times New Roman" w:cs="Times New Roman" w:eastAsia="Times New Roman" w:hAnsi="Times New Roman"/>
                <w:sz w:val="18"/>
                <w:szCs w:val="18"/>
                <w:color w:val="auto"/>
                <w:w w:val="99"/>
              </w:rPr>
              <w:t>107,148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center"/>
              <w:ind w:left="777"/>
              <w:spacing w:after="0"/>
              <w:rPr>
                <w:sz w:val="20"/>
                <w:szCs w:val="20"/>
                <w:color w:val="auto"/>
              </w:rPr>
            </w:pPr>
            <w:r>
              <w:rPr>
                <w:rFonts w:ascii="Times New Roman" w:cs="Times New Roman" w:eastAsia="Times New Roman" w:hAnsi="Times New Roman"/>
                <w:sz w:val="18"/>
                <w:szCs w:val="18"/>
                <w:color w:val="auto"/>
                <w:w w:val="95"/>
              </w:rPr>
              <w:t>101,837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2025, there were no material changes in estimated useful lives of property and equipment during the ordinary course of operations.</w:t>
      </w:r>
    </w:p>
    <w:p>
      <w:pPr>
        <w:spacing w:after="0" w:line="11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depreciation and amortization expense, excluding amortization of acquisition-related intangibles, recognized in the unaudited consolidated statements of income was as follows:</w:t>
      </w:r>
    </w:p>
    <w:p>
      <w:pPr>
        <w:spacing w:after="0" w:line="149"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164"/>
        </w:trPr>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4"/>
                <w:szCs w:val="14"/>
                <w:color w:val="auto"/>
              </w:rPr>
            </w:pPr>
          </w:p>
        </w:tc>
      </w:tr>
      <w:tr>
        <w:trPr>
          <w:trHeight w:val="217"/>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9,266</w:t>
            </w:r>
          </w:p>
        </w:tc>
        <w:tc>
          <w:tcPr>
            <w:tcW w:w="380" w:type="dxa"/>
            <w:vAlign w:val="bottom"/>
          </w:tcPr>
          <w:p>
            <w:pPr>
              <w:spacing w:after="0"/>
              <w:rPr>
                <w:sz w:val="18"/>
                <w:szCs w:val="18"/>
                <w:color w:val="auto"/>
              </w:rPr>
            </w:pPr>
          </w:p>
        </w:tc>
      </w:tr>
      <w:tr>
        <w:trPr>
          <w:trHeight w:val="367"/>
        </w:trPr>
        <w:tc>
          <w:tcPr>
            <w:tcW w:w="646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color w:val="auto"/>
                <w:w w:val="97"/>
              </w:rPr>
              <w:t>Internally developed software costs, included in property and equipment was as follows: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58"/>
        </w:trPr>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4"/>
        </w:trPr>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184"/>
        </w:trPr>
        <w:tc>
          <w:tcPr>
            <w:tcW w:w="260" w:type="dxa"/>
            <w:vAlign w:val="bottom"/>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54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3"/>
        </w:trPr>
        <w:tc>
          <w:tcPr>
            <w:tcW w:w="260" w:type="dxa"/>
            <w:vAlign w:val="bottom"/>
          </w:tcPr>
          <w:p>
            <w:pPr>
              <w:spacing w:after="0"/>
              <w:rPr>
                <w:sz w:val="19"/>
                <w:szCs w:val="19"/>
                <w:color w:val="auto"/>
              </w:rPr>
            </w:pPr>
          </w:p>
        </w:tc>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3"/>
            <w:shd w:val="clear" w:color="auto" w:fill="CCEEFF"/>
          </w:tcPr>
          <w:p>
            <w:pPr>
              <w:jc w:val="center"/>
              <w:ind w:left="860"/>
              <w:spacing w:after="0"/>
              <w:rPr>
                <w:sz w:val="20"/>
                <w:szCs w:val="20"/>
                <w:color w:val="auto"/>
              </w:rPr>
            </w:pPr>
            <w:r>
              <w:rPr>
                <w:rFonts w:ascii="Times New Roman" w:cs="Times New Roman" w:eastAsia="Times New Roman" w:hAnsi="Times New Roman"/>
                <w:sz w:val="18"/>
                <w:szCs w:val="18"/>
                <w:color w:val="auto"/>
                <w:w w:val="96"/>
              </w:rPr>
              <w:t>60,648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center"/>
              <w:ind w:left="878"/>
              <w:spacing w:after="0"/>
              <w:rPr>
                <w:sz w:val="20"/>
                <w:szCs w:val="20"/>
                <w:color w:val="auto"/>
              </w:rPr>
            </w:pPr>
            <w:r>
              <w:rPr>
                <w:rFonts w:ascii="Times New Roman" w:cs="Times New Roman" w:eastAsia="Times New Roman" w:hAnsi="Times New Roman"/>
                <w:sz w:val="18"/>
                <w:szCs w:val="18"/>
                <w:color w:val="auto"/>
                <w:w w:val="96"/>
              </w:rPr>
              <w:t>60,447</w:t>
            </w:r>
          </w:p>
        </w:tc>
      </w:tr>
      <w:tr>
        <w:trPr>
          <w:trHeight w:val="223"/>
        </w:trPr>
        <w:tc>
          <w:tcPr>
            <w:tcW w:w="260" w:type="dxa"/>
            <w:vAlign w:val="bottom"/>
          </w:tcPr>
          <w:p>
            <w:pPr>
              <w:spacing w:after="0"/>
              <w:rPr>
                <w:sz w:val="19"/>
                <w:szCs w:val="19"/>
                <w:color w:val="auto"/>
              </w:rPr>
            </w:pPr>
          </w:p>
        </w:tc>
        <w:tc>
          <w:tcPr>
            <w:tcW w:w="5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 Accumulated amortization</w:t>
            </w:r>
          </w:p>
        </w:tc>
        <w:tc>
          <w:tcPr>
            <w:tcW w:w="4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820"/>
              <w:spacing w:after="0"/>
              <w:rPr>
                <w:sz w:val="20"/>
                <w:szCs w:val="20"/>
                <w:color w:val="auto"/>
              </w:rPr>
            </w:pPr>
            <w:r>
              <w:rPr>
                <w:rFonts w:ascii="Times New Roman" w:cs="Times New Roman" w:eastAsia="Times New Roman" w:hAnsi="Times New Roman"/>
                <w:sz w:val="18"/>
                <w:szCs w:val="18"/>
                <w:color w:val="auto"/>
                <w:w w:val="97"/>
              </w:rPr>
              <w:t>(40,983)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left="838"/>
              <w:spacing w:after="0"/>
              <w:rPr>
                <w:sz w:val="20"/>
                <w:szCs w:val="20"/>
                <w:color w:val="auto"/>
              </w:rPr>
            </w:pPr>
            <w:r>
              <w:rPr>
                <w:rFonts w:ascii="Times New Roman" w:cs="Times New Roman" w:eastAsia="Times New Roman" w:hAnsi="Times New Roman"/>
                <w:sz w:val="18"/>
                <w:szCs w:val="18"/>
                <w:color w:val="auto"/>
                <w:w w:val="97"/>
              </w:rPr>
              <w:t>(38,243)</w:t>
            </w:r>
          </w:p>
        </w:tc>
      </w:tr>
      <w:tr>
        <w:trPr>
          <w:trHeight w:val="242"/>
        </w:trPr>
        <w:tc>
          <w:tcPr>
            <w:tcW w:w="260" w:type="dxa"/>
            <w:vAlign w:val="bottom"/>
          </w:tcPr>
          <w:p>
            <w:pPr>
              <w:spacing w:after="0"/>
              <w:rPr>
                <w:sz w:val="20"/>
                <w:szCs w:val="20"/>
                <w:color w:val="auto"/>
              </w:rPr>
            </w:pPr>
          </w:p>
        </w:tc>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 net</w:t>
            </w:r>
          </w:p>
        </w:tc>
        <w:tc>
          <w:tcPr>
            <w:tcW w:w="4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gridSpan w:val="3"/>
            <w:shd w:val="clear" w:color="auto" w:fill="CCEEFF"/>
          </w:tcPr>
          <w:p>
            <w:pPr>
              <w:jc w:val="center"/>
              <w:ind w:left="860"/>
              <w:spacing w:after="0"/>
              <w:rPr>
                <w:sz w:val="20"/>
                <w:szCs w:val="20"/>
                <w:color w:val="auto"/>
              </w:rPr>
            </w:pPr>
            <w:r>
              <w:rPr>
                <w:rFonts w:ascii="Times New Roman" w:cs="Times New Roman" w:eastAsia="Times New Roman" w:hAnsi="Times New Roman"/>
                <w:sz w:val="18"/>
                <w:szCs w:val="18"/>
                <w:color w:val="auto"/>
                <w:w w:val="96"/>
              </w:rPr>
              <w:t>19,665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gridSpan w:val="2"/>
            <w:shd w:val="clear" w:color="auto" w:fill="CCEEFF"/>
          </w:tcPr>
          <w:p>
            <w:pPr>
              <w:jc w:val="center"/>
              <w:ind w:left="878"/>
              <w:spacing w:after="0"/>
              <w:rPr>
                <w:sz w:val="20"/>
                <w:szCs w:val="20"/>
                <w:color w:val="auto"/>
              </w:rPr>
            </w:pPr>
            <w:r>
              <w:rPr>
                <w:rFonts w:ascii="Times New Roman" w:cs="Times New Roman" w:eastAsia="Times New Roman" w:hAnsi="Times New Roman"/>
                <w:sz w:val="18"/>
                <w:szCs w:val="18"/>
                <w:color w:val="auto"/>
                <w:w w:val="96"/>
              </w:rPr>
              <w:t>22,204</w:t>
            </w:r>
          </w:p>
        </w:tc>
      </w:tr>
      <w:tr>
        <w:trPr>
          <w:trHeight w:val="20"/>
        </w:trPr>
        <w:tc>
          <w:tcPr>
            <w:tcW w:w="260" w:type="dxa"/>
            <w:vAlign w:val="bottom"/>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amortization expense on internally developed software recognized in the unaudited consolidated statements of income was as follows:</w:t>
      </w:r>
    </w:p>
    <w:p>
      <w:pPr>
        <w:spacing w:after="0" w:line="19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30480</wp:posOffset>
            </wp:positionV>
            <wp:extent cx="21113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11375" cy="8255"/>
                    </a:xfrm>
                    <a:prstGeom prst="rect">
                      <a:avLst/>
                    </a:prstGeom>
                    <a:noFill/>
                  </pic:spPr>
                </pic:pic>
              </a:graphicData>
            </a:graphic>
          </wp:anchor>
        </w:drawing>
      </w:r>
    </w:p>
    <w:p>
      <w:pPr>
        <w:spacing w:after="0" w:line="29" w:lineRule="exact"/>
        <w:rPr>
          <w:sz w:val="20"/>
          <w:szCs w:val="20"/>
          <w:color w:val="auto"/>
        </w:rPr>
      </w:pPr>
    </w:p>
    <w:p>
      <w:pPr>
        <w:ind w:left="6920"/>
        <w:spacing w:after="0"/>
        <w:tabs>
          <w:tab w:leader="none" w:pos="86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30480</wp:posOffset>
            </wp:positionV>
            <wp:extent cx="5024120" cy="167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24120" cy="167005"/>
                    </a:xfrm>
                    <a:prstGeom prst="rect">
                      <a:avLst/>
                    </a:prstGeom>
                    <a:noFill/>
                  </pic:spPr>
                </pic:pic>
              </a:graphicData>
            </a:graphic>
          </wp:anchor>
        </w:drawing>
      </w:r>
    </w:p>
    <w:p>
      <w:pPr>
        <w:spacing w:after="0" w:line="35" w:lineRule="exact"/>
        <w:rPr>
          <w:sz w:val="20"/>
          <w:szCs w:val="20"/>
          <w:color w:val="auto"/>
        </w:rPr>
      </w:pPr>
    </w:p>
    <w:p>
      <w:pPr>
        <w:ind w:left="1680"/>
        <w:spacing w:after="0"/>
        <w:tabs>
          <w:tab w:leader="none" w:pos="6260" w:val="left"/>
          <w:tab w:leader="none" w:pos="7360" w:val="left"/>
          <w:tab w:leader="none" w:pos="7960" w:val="left"/>
          <w:tab w:leader="none" w:pos="9100" w:val="left"/>
        </w:tabs>
        <w:rPr>
          <w:sz w:val="20"/>
          <w:szCs w:val="20"/>
          <w:color w:val="auto"/>
        </w:rPr>
      </w:pPr>
      <w:r>
        <w:rPr>
          <w:rFonts w:ascii="Times New Roman" w:cs="Times New Roman" w:eastAsia="Times New Roman" w:hAnsi="Times New Roman"/>
          <w:sz w:val="18"/>
          <w:szCs w:val="18"/>
          <w:color w:val="auto"/>
        </w:rPr>
        <w:t>Amortization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2,740</w:t>
        <w:tab/>
        <w:t>$</w:t>
      </w:r>
      <w:r>
        <w:rPr>
          <w:sz w:val="20"/>
          <w:szCs w:val="20"/>
          <w:color w:val="auto"/>
        </w:rPr>
        <w:tab/>
      </w:r>
      <w:r>
        <w:rPr>
          <w:rFonts w:ascii="Times New Roman" w:cs="Times New Roman" w:eastAsia="Times New Roman" w:hAnsi="Times New Roman"/>
          <w:sz w:val="16"/>
          <w:szCs w:val="16"/>
          <w:color w:val="auto"/>
        </w:rPr>
        <w:t>2,520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38735</wp:posOffset>
            </wp:positionV>
            <wp:extent cx="21113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11375" cy="8255"/>
                    </a:xfrm>
                    <a:prstGeom prst="rect">
                      <a:avLst/>
                    </a:prstGeom>
                    <a:noFill/>
                  </pic:spPr>
                </pic:pic>
              </a:graphicData>
            </a:graphic>
          </wp:anchor>
        </w:drawing>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three months ended March 31, 2025 and 2024, there were no indicators of impairment related to capitalized software.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Other Intangible Assets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In the first quarter of 2025, the Company implemented operational and structural changes which resulted in the realignment of its reporting segments.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3- Segment Information for further details. Goodwill has been re-allocated to reporting units based on the relative fair value approach.</w:t>
      </w:r>
    </w:p>
    <w:p>
      <w:pPr>
        <w:spacing w:after="0" w:line="143"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 xml:space="preserve">The Company tested goodwill for impairment prior to the segment realignment and immediately thereafter, for events and conditions identified in accordance with the guidance in ASC Topic 350, </w:t>
      </w:r>
      <w:r>
        <w:rPr>
          <w:rFonts w:ascii="Times New Roman" w:cs="Times New Roman" w:eastAsia="Times New Roman" w:hAnsi="Times New Roman"/>
          <w:sz w:val="18"/>
          <w:szCs w:val="18"/>
          <w:i w:val="1"/>
          <w:iCs w:val="1"/>
          <w:color w:val="auto"/>
        </w:rPr>
        <w:t>Intangibles- Goodwill and Other</w:t>
      </w:r>
      <w:r>
        <w:rPr>
          <w:rFonts w:ascii="Times New Roman" w:cs="Times New Roman" w:eastAsia="Times New Roman" w:hAnsi="Times New Roman"/>
          <w:sz w:val="18"/>
          <w:szCs w:val="18"/>
          <w:color w:val="auto"/>
        </w:rPr>
        <w:t>. The fair value of the reporting units was calculated using a discounted cash flow model using estimated future cash flows. The results of the evaluation demonstrated that the fair value of each reporting unit exceeded its book value as of the date of the segment realignment.</w:t>
      </w:r>
    </w:p>
    <w:p>
      <w:pPr>
        <w:spacing w:after="0" w:line="200" w:lineRule="exact"/>
        <w:rPr>
          <w:sz w:val="20"/>
          <w:szCs w:val="20"/>
          <w:color w:val="auto"/>
        </w:rPr>
      </w:pPr>
    </w:p>
    <w:p>
      <w:pPr>
        <w:spacing w:after="0" w:line="3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details of changes in goodwill by reportable segment of the Company:</w:t>
      </w:r>
    </w:p>
    <w:p>
      <w:pPr>
        <w:spacing w:after="0" w:line="178"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60" w:type="dxa"/>
            <w:vAlign w:val="bottom"/>
          </w:tcPr>
          <w:p>
            <w:pPr>
              <w:spacing w:after="0"/>
              <w:rPr>
                <w:sz w:val="13"/>
                <w:szCs w:val="13"/>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Healthcare and Life</w:t>
            </w: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Banking, Capital Markets</w:t>
            </w:r>
          </w:p>
        </w:tc>
        <w:tc>
          <w:tcPr>
            <w:tcW w:w="100" w:type="dxa"/>
            <w:vAlign w:val="bottom"/>
          </w:tcPr>
          <w:p>
            <w:pPr>
              <w:spacing w:after="0"/>
              <w:rPr>
                <w:sz w:val="13"/>
                <w:szCs w:val="13"/>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40" w:type="dxa"/>
            <w:vAlign w:val="bottom"/>
          </w:tcPr>
          <w:p>
            <w:pPr>
              <w:spacing w:after="0"/>
              <w:rPr>
                <w:sz w:val="13"/>
                <w:szCs w:val="13"/>
                <w:color w:val="auto"/>
              </w:rPr>
            </w:pPr>
          </w:p>
        </w:tc>
        <w:tc>
          <w:tcPr>
            <w:tcW w:w="7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6"/>
        </w:trPr>
        <w:tc>
          <w:tcPr>
            <w:tcW w:w="3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Sciences</w:t>
            </w:r>
          </w:p>
        </w:tc>
        <w:tc>
          <w:tcPr>
            <w:tcW w:w="1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and Diversified Industries</w:t>
            </w:r>
          </w:p>
        </w:tc>
        <w:tc>
          <w:tcPr>
            <w:tcW w:w="100" w:type="dxa"/>
            <w:vAlign w:val="bottom"/>
          </w:tcPr>
          <w:p>
            <w:pPr>
              <w:spacing w:after="0"/>
              <w:rPr>
                <w:sz w:val="9"/>
                <w:szCs w:val="9"/>
                <w:color w:val="auto"/>
              </w:rPr>
            </w:pPr>
          </w:p>
        </w:tc>
        <w:tc>
          <w:tcPr>
            <w:tcW w:w="12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Growth Markets</w:t>
            </w: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7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189,621</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420,387</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2"/>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189,622</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100,656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420,494</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performed an assessment to determine whether events or circumstances exist that may lead to a determination that it is more likely than not that the fair value of a reporting unit is less than its carrying amount. Based on such assessment, the Company concluded that there was no impairment on goodwill as of March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regarding the Company’s intangible assets is set forth below:</w:t>
      </w:r>
    </w:p>
    <w:p>
      <w:pPr>
        <w:spacing w:after="0" w:line="194"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10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 of March 31, 2025</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880" w:type="dxa"/>
            <w:vAlign w:val="bottom"/>
            <w:gridSpan w:val="2"/>
          </w:tcPr>
          <w:p>
            <w:pPr>
              <w:jc w:val="center"/>
              <w:ind w:right="112"/>
              <w:spacing w:after="0" w:line="127"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80" w:type="dxa"/>
            <w:vAlign w:val="bottom"/>
          </w:tcPr>
          <w:p>
            <w:pPr>
              <w:spacing w:after="0"/>
              <w:rPr>
                <w:sz w:val="10"/>
                <w:szCs w:val="10"/>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0"/>
                <w:szCs w:val="10"/>
                <w:color w:val="auto"/>
              </w:rPr>
            </w:pPr>
          </w:p>
        </w:tc>
        <w:tc>
          <w:tcPr>
            <w:tcW w:w="98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3"/>
        </w:trPr>
        <w:tc>
          <w:tcPr>
            <w:tcW w:w="1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72"/>
              <w:spacing w:after="0" w:line="14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60" w:type="dxa"/>
            <w:vAlign w:val="bottom"/>
          </w:tcPr>
          <w:p>
            <w:pPr>
              <w:spacing w:after="0"/>
              <w:rPr>
                <w:sz w:val="16"/>
                <w:szCs w:val="16"/>
                <w:color w:val="auto"/>
              </w:rPr>
            </w:pPr>
          </w:p>
        </w:tc>
        <w:tc>
          <w:tcPr>
            <w:tcW w:w="880" w:type="dxa"/>
            <w:vAlign w:val="bottom"/>
            <w:gridSpan w:val="2"/>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Finite-lived intangible assets:</w:t>
            </w: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44,717</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108,550</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(60,667)</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47,883</w:t>
            </w:r>
          </w:p>
        </w:tc>
        <w:tc>
          <w:tcPr>
            <w:tcW w:w="0" w:type="dxa"/>
            <w:vAlign w:val="bottom"/>
          </w:tcPr>
          <w:p>
            <w:pPr>
              <w:spacing w:after="0"/>
              <w:rPr>
                <w:sz w:val="1"/>
                <w:szCs w:val="1"/>
                <w:color w:val="auto"/>
              </w:rPr>
            </w:pPr>
          </w:p>
        </w:tc>
      </w:tr>
      <w:tr>
        <w:trPr>
          <w:trHeight w:val="223"/>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Trade names and trademarks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3"/>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Non-compete agreements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48,431</w:t>
            </w:r>
          </w:p>
        </w:tc>
        <w:tc>
          <w:tcPr>
            <w:tcW w:w="0" w:type="dxa"/>
            <w:vAlign w:val="bottom"/>
          </w:tcPr>
          <w:p>
            <w:pPr>
              <w:spacing w:after="0"/>
              <w:rPr>
                <w:sz w:val="1"/>
                <w:szCs w:val="1"/>
                <w:color w:val="auto"/>
              </w:rPr>
            </w:pPr>
          </w:p>
        </w:tc>
      </w:tr>
      <w:tr>
        <w:trPr>
          <w:trHeight w:val="210"/>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Trade names and trademarks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42"/>
        </w:trPr>
        <w:tc>
          <w:tcPr>
            <w:tcW w:w="2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intangible assets</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49,331</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gridSpan w:val="2"/>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7460" w:type="dxa"/>
            <w:vAlign w:val="bottom"/>
            <w:gridSpan w:val="14"/>
          </w:tcPr>
          <w:p>
            <w:pPr>
              <w:jc w:val="right"/>
              <w:spacing w:after="0"/>
              <w:rPr>
                <w:sz w:val="20"/>
                <w:szCs w:val="20"/>
                <w:color w:val="auto"/>
              </w:rPr>
            </w:pPr>
            <w:r>
              <w:rPr>
                <w:rFonts w:ascii="Times New Roman" w:cs="Times New Roman" w:eastAsia="Times New Roman" w:hAnsi="Times New Roman"/>
                <w:sz w:val="18"/>
                <w:szCs w:val="18"/>
                <w:color w:val="auto"/>
                <w:w w:val="97"/>
              </w:rPr>
              <w:t>The amortization expense recognized in the unaudited consolidated statements of income was as follows: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0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634"/>
              <w:spacing w:after="0" w:line="180"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
              <w:spacing w:after="0" w:line="180"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the three months ended March 31, 2025 and 2024, there were no indicators of impairment related to intangible assets.</w:t>
      </w:r>
    </w:p>
    <w:p>
      <w:pPr>
        <w:spacing w:after="0" w:line="200" w:lineRule="exact"/>
        <w:rPr>
          <w:sz w:val="20"/>
          <w:szCs w:val="20"/>
          <w:color w:val="auto"/>
        </w:rPr>
      </w:pPr>
    </w:p>
    <w:tbl>
      <w:tblPr>
        <w:tblLayout w:type="fixed"/>
        <w:tblInd w:w="400" w:type="dxa"/>
        <w:tblCellMar>
          <w:top w:w="0" w:type="dxa"/>
          <w:left w:w="0" w:type="dxa"/>
          <w:bottom w:w="0" w:type="dxa"/>
          <w:right w:w="0" w:type="dxa"/>
        </w:tblCellMar>
      </w:tblPr>
      <w:tr>
        <w:trPr>
          <w:trHeight w:val="228"/>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Estimated future amortization expense related to finite-lived intangible assets as of March 31, 2025 was as follows:</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4"/>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(April 1 - December 31)</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12,785</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11,844</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9,227</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r>
      <w:tr>
        <w:trPr>
          <w:trHeight w:val="217"/>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45,192</w:t>
            </w:r>
          </w:p>
        </w:tc>
      </w:tr>
      <w:tr>
        <w:trPr>
          <w:trHeight w:val="20"/>
        </w:trPr>
        <w:tc>
          <w:tcPr>
            <w:tcW w:w="8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80"/>
          </w:cols>
          <w:pgMar w:left="320" w:top="119" w:right="10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Current Assets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current assets consist of the following: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7"/>
          </w:tcPr>
          <w:p>
            <w:pPr>
              <w:ind w:left="15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36,072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income tax, net</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49,377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from statutory authorities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94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150,203</w:t>
            </w:r>
          </w:p>
        </w:tc>
        <w:tc>
          <w:tcPr>
            <w:tcW w:w="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140,317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Other Assets</w:t>
            </w:r>
          </w:p>
        </w:tc>
        <w:tc>
          <w:tcPr>
            <w:tcW w:w="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460" w:type="dxa"/>
            <w:vAlign w:val="bottom"/>
            <w:gridSpan w:val="4"/>
            <w:vMerge w:val="continue"/>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 consist of the following:</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2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1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33,157</w:t>
            </w:r>
          </w:p>
        </w:tc>
        <w:tc>
          <w:tcPr>
            <w:tcW w:w="60" w:type="dxa"/>
            <w:vAlign w:val="bottom"/>
            <w:gridSpan w:val="2"/>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with statutory authorities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deposits</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61,925</w:t>
            </w:r>
          </w:p>
        </w:tc>
        <w:tc>
          <w:tcPr>
            <w:tcW w:w="60" w:type="dxa"/>
            <w:vAlign w:val="bottom"/>
            <w:tcBorders>
              <w:bottom w:val="single" w:sz="8" w:color="auto"/>
            </w:tcBorders>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13. Accrued Expenses and Other Current Liabilities</w:t>
            </w: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5460" w:type="dxa"/>
            <w:vAlign w:val="bottom"/>
            <w:gridSpan w:val="4"/>
            <w:vMerge w:val="continue"/>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Accrued expenses and other current liabilities consist of the following:</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5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320" w:type="dxa"/>
            <w:vAlign w:val="bottom"/>
            <w:gridSpan w:val="3"/>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63,548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Payable to statutory authorities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40,928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22,935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liabilities</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9,711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2,059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7,454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1,280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2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6,326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20" w:type="dxa"/>
            <w:vAlign w:val="bottom"/>
          </w:tcPr>
          <w:p>
            <w:pPr>
              <w:spacing w:after="0"/>
              <w:rPr>
                <w:sz w:val="20"/>
                <w:szCs w:val="20"/>
                <w:color w:val="auto"/>
              </w:rPr>
            </w:pPr>
          </w:p>
        </w:tc>
        <w:tc>
          <w:tcPr>
            <w:tcW w:w="52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320" w:type="dxa"/>
            <w:vAlign w:val="bottom"/>
            <w:tcBorders>
              <w:bottom w:val="single" w:sz="8" w:color="CCEEFF"/>
            </w:tcBorders>
            <w:gridSpan w:val="3"/>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113,597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ind w:right="592"/>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1"/>
        </w:trPr>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1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Other Non-Current Liabilities</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p>
      <w:pPr>
        <w:spacing w:after="0" w:line="137" w:lineRule="exact"/>
        <w:rPr>
          <w:sz w:val="20"/>
          <w:szCs w:val="20"/>
          <w:color w:val="auto"/>
        </w:rPr>
      </w:pPr>
    </w:p>
    <w:tbl>
      <w:tblPr>
        <w:tblLayout w:type="fixed"/>
        <w:tblInd w:w="300" w:type="dxa"/>
        <w:tblCellMar>
          <w:top w:w="0" w:type="dxa"/>
          <w:left w:w="0" w:type="dxa"/>
          <w:bottom w:w="0" w:type="dxa"/>
          <w:right w:w="0" w:type="dxa"/>
        </w:tblCellMar>
      </w:tblPr>
      <w:tr>
        <w:trPr>
          <w:trHeight w:val="211"/>
        </w:trPr>
        <w:tc>
          <w:tcPr>
            <w:tcW w:w="6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60" w:type="dxa"/>
            <w:vAlign w:val="bottom"/>
            <w:tcBorders>
              <w:bottom w:val="single" w:sz="8" w:color="auto"/>
            </w:tcBorders>
          </w:tcPr>
          <w:p>
            <w:pPr>
              <w:spacing w:after="0"/>
              <w:rPr>
                <w:sz w:val="18"/>
                <w:szCs w:val="18"/>
                <w:color w:val="auto"/>
              </w:rPr>
            </w:pPr>
          </w:p>
        </w:tc>
      </w:tr>
      <w:tr>
        <w:trPr>
          <w:trHeight w:val="205"/>
        </w:trPr>
        <w:tc>
          <w:tcPr>
            <w:tcW w:w="6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80" w:type="dxa"/>
            <w:vAlign w:val="bottom"/>
          </w:tcPr>
          <w:p>
            <w:pPr>
              <w:spacing w:after="0"/>
              <w:rPr>
                <w:sz w:val="17"/>
                <w:szCs w:val="17"/>
                <w:color w:val="auto"/>
              </w:rPr>
            </w:pPr>
          </w:p>
        </w:tc>
        <w:tc>
          <w:tcPr>
            <w:tcW w:w="186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7"/>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benefits</w:t>
            </w: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24,795</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transition revenue</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18,213</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r>
      <w:tr>
        <w:trPr>
          <w:trHeight w:val="22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w:t>
            </w:r>
          </w:p>
        </w:tc>
      </w:tr>
      <w:tr>
        <w:trPr>
          <w:trHeight w:val="242"/>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53,573</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Income/(Loss)</w:t>
      </w:r>
    </w:p>
    <w:p>
      <w:pPr>
        <w:spacing w:after="0" w:line="202"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6"/>
          <w:szCs w:val="16"/>
          <w:color w:val="auto"/>
        </w:rPr>
        <w:t xml:space="preserve">Accumulated other comprehensive income/(loss) (“AOCI”) consists of actuarial gain/(loss) on retirement benefits and foreign currency translation adjustments. In addition, the Company enters into foreign currency forward contracts and interest rate swaps, which are designated as cash flow hedges, as applicable, in accordance with ASC Topic 815, </w:t>
      </w:r>
      <w:r>
        <w:rPr>
          <w:rFonts w:ascii="Times New Roman" w:cs="Times New Roman" w:eastAsia="Times New Roman" w:hAnsi="Times New Roman"/>
          <w:sz w:val="16"/>
          <w:szCs w:val="16"/>
          <w:i w:val="1"/>
          <w:iCs w:val="1"/>
          <w:color w:val="auto"/>
        </w:rPr>
        <w:t>Derivatives and Hedging</w:t>
      </w:r>
      <w:r>
        <w:rPr>
          <w:rFonts w:ascii="Times New Roman" w:cs="Times New Roman" w:eastAsia="Times New Roman" w:hAnsi="Times New Roman"/>
          <w:sz w:val="16"/>
          <w:szCs w:val="16"/>
          <w:color w:val="auto"/>
        </w:rPr>
        <w:t>. Cumulative changes in the fair values of cash flow hedges are recognized in AOCI on the Company’s consolidated balance sheets. The fair value changes are reclassified from AOCI to unaudited consolidated statements of income upon settlement of foreign currency forward contracts designated as cash flow hedges of a forecast transaction, whereas such changes for interest rate swaps are reclassified over the term of the contract. The following table sets forth the changes in AOCI during the three months ended March 31,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gridSpan w:val="8"/>
          </w:tcPr>
          <w:p>
            <w:pPr>
              <w:ind w:left="1580"/>
              <w:spacing w:after="0"/>
              <w:rPr>
                <w:sz w:val="20"/>
                <w:szCs w:val="20"/>
                <w:color w:val="auto"/>
              </w:rPr>
            </w:pPr>
            <w:r>
              <w:rPr>
                <w:rFonts w:ascii="Times New Roman" w:cs="Times New Roman" w:eastAsia="Times New Roman" w:hAnsi="Times New Roman"/>
                <w:sz w:val="16"/>
                <w:szCs w:val="16"/>
                <w:b w:val="1"/>
                <w:bCs w:val="1"/>
                <w:color w:val="auto"/>
              </w:rPr>
              <w:t>Accumulated Other Comprehensive Income/(Loss)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6"/>
                <w:szCs w:val="16"/>
                <w:b w:val="1"/>
                <w:bCs w:val="1"/>
                <w:color w:val="auto"/>
                <w:w w:val="98"/>
              </w:rPr>
              <w:t>Currency translation</w:t>
            </w:r>
          </w:p>
        </w:tc>
        <w:tc>
          <w:tcPr>
            <w:tcW w:w="1860" w:type="dxa"/>
            <w:vAlign w:val="bottom"/>
            <w:gridSpan w:val="3"/>
          </w:tcPr>
          <w:p>
            <w:pPr>
              <w:jc w:val="center"/>
              <w:ind w:right="120"/>
              <w:spacing w:after="0" w:line="153" w:lineRule="exact"/>
              <w:rPr>
                <w:sz w:val="20"/>
                <w:szCs w:val="20"/>
                <w:color w:val="auto"/>
              </w:rPr>
            </w:pPr>
            <w:r>
              <w:rPr>
                <w:rFonts w:ascii="Times New Roman" w:cs="Times New Roman" w:eastAsia="Times New Roman" w:hAnsi="Times New Roman"/>
                <w:sz w:val="16"/>
                <w:szCs w:val="16"/>
                <w:b w:val="1"/>
                <w:bCs w:val="1"/>
                <w:color w:val="auto"/>
                <w:w w:val="98"/>
              </w:rPr>
              <w:t>Unrealized gain/(loss) on</w:t>
            </w:r>
          </w:p>
        </w:tc>
        <w:tc>
          <w:tcPr>
            <w:tcW w:w="1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Retirement benefits</w:t>
            </w:r>
          </w:p>
        </w:tc>
        <w:tc>
          <w:tcPr>
            <w:tcW w:w="340" w:type="dxa"/>
            <w:vAlign w:val="bottom"/>
          </w:tcPr>
          <w:p>
            <w:pPr>
              <w:spacing w:after="0"/>
              <w:rPr>
                <w:sz w:val="13"/>
                <w:szCs w:val="13"/>
                <w:color w:val="auto"/>
              </w:rPr>
            </w:pPr>
          </w:p>
        </w:tc>
        <w:tc>
          <w:tcPr>
            <w:tcW w:w="1180" w:type="dxa"/>
            <w:vAlign w:val="bottom"/>
            <w:vMerge w:val="restart"/>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220" w:type="dxa"/>
            <w:vAlign w:val="bottom"/>
          </w:tcPr>
          <w:p>
            <w:pPr>
              <w:spacing w:after="0"/>
              <w:rPr>
                <w:sz w:val="11"/>
                <w:szCs w:val="11"/>
                <w:color w:val="auto"/>
              </w:rPr>
            </w:pPr>
          </w:p>
        </w:tc>
        <w:tc>
          <w:tcPr>
            <w:tcW w:w="16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cash flow hedges</w:t>
            </w:r>
          </w:p>
        </w:tc>
        <w:tc>
          <w:tcPr>
            <w:tcW w:w="160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(146,998)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(154,722)</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recognized during the period</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13,396</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Reclassification to net income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Income tax effects </w:t>
            </w:r>
            <w:r>
              <w:rPr>
                <w:rFonts w:ascii="Times New Roman" w:cs="Times New Roman" w:eastAsia="Times New Roman" w:hAnsi="Times New Roman"/>
                <w:sz w:val="22"/>
                <w:szCs w:val="22"/>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6"/>
                <w:szCs w:val="16"/>
                <w:color w:val="auto"/>
              </w:rPr>
              <w:t>Accumulated other comprehensive income/(loss) as of March</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(143,744)</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(142,787)</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31, 2025</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(127,040)</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recognized during the period</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Reclassification to net income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Income tax effects </w:t>
            </w:r>
            <w:r>
              <w:rPr>
                <w:rFonts w:ascii="Times New Roman" w:cs="Times New Roman" w:eastAsia="Times New Roman" w:hAnsi="Times New Roman"/>
                <w:sz w:val="22"/>
                <w:szCs w:val="22"/>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6"/>
                <w:szCs w:val="16"/>
                <w:color w:val="auto"/>
              </w:rPr>
              <w:t>Accumulated other comprehensive income/(loss) as of March</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(135,188)</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(130,436)</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31, 2024</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firstLine="5"/>
        <w:spacing w:after="0" w:line="268" w:lineRule="auto"/>
        <w:tabs>
          <w:tab w:leader="none" w:pos="27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17 - Derivatives and Hedge Accounting and Note 20 - Employee Benefit Plans to the unaudited consolidated financial statements for reclassification to net income.</w:t>
      </w:r>
    </w:p>
    <w:p>
      <w:pPr>
        <w:spacing w:after="0" w:line="76" w:lineRule="exact"/>
        <w:rPr>
          <w:rFonts w:ascii="Times New Roman" w:cs="Times New Roman" w:eastAsia="Times New Roman" w:hAnsi="Times New Roman"/>
          <w:sz w:val="18"/>
          <w:szCs w:val="18"/>
          <w:color w:val="auto"/>
        </w:rPr>
      </w:pPr>
    </w:p>
    <w:p>
      <w:pPr>
        <w:ind w:firstLine="5"/>
        <w:spacing w:after="0" w:line="268" w:lineRule="auto"/>
        <w:tabs>
          <w:tab w:leader="none" w:pos="25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are income tax effects recognized on cash flow hedges, retirement benefits and currency translation adjustments. Refer to Note 22 - Income Taxes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assets and liabilities that were recognized at fair value:</w:t>
      </w:r>
    </w:p>
    <w:p>
      <w:pPr>
        <w:spacing w:after="0" w:line="232"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17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Quoted Prices in Active</w:t>
            </w:r>
          </w:p>
        </w:tc>
        <w:tc>
          <w:tcPr>
            <w:tcW w:w="160" w:type="dxa"/>
            <w:vAlign w:val="bottom"/>
          </w:tcPr>
          <w:p>
            <w:pPr>
              <w:spacing w:after="0"/>
              <w:rPr>
                <w:sz w:val="16"/>
                <w:szCs w:val="16"/>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140" w:type="dxa"/>
            <w:vAlign w:val="bottom"/>
          </w:tcPr>
          <w:p>
            <w:pPr>
              <w:spacing w:after="0"/>
              <w:rPr>
                <w:sz w:val="16"/>
                <w:szCs w:val="16"/>
                <w:color w:val="auto"/>
              </w:rPr>
            </w:pPr>
          </w:p>
        </w:tc>
        <w:tc>
          <w:tcPr>
            <w:tcW w:w="1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Significant Other</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60" w:type="dxa"/>
            <w:vAlign w:val="bottom"/>
            <w:gridSpan w:val="2"/>
            <w:vMerge w:val="restart"/>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Markets for Identical</w:t>
            </w:r>
          </w:p>
        </w:tc>
        <w:tc>
          <w:tcPr>
            <w:tcW w:w="16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Observable Inputs</w:t>
            </w:r>
          </w:p>
        </w:tc>
        <w:tc>
          <w:tcPr>
            <w:tcW w:w="140" w:type="dxa"/>
            <w:vAlign w:val="bottom"/>
          </w:tcPr>
          <w:p>
            <w:pPr>
              <w:spacing w:after="0"/>
              <w:rPr>
                <w:sz w:val="6"/>
                <w:szCs w:val="6"/>
                <w:color w:val="auto"/>
              </w:rPr>
            </w:pPr>
          </w:p>
        </w:tc>
        <w:tc>
          <w:tcPr>
            <w:tcW w:w="1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Unobservable Inputs</w:t>
            </w: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3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6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12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Cash equivalents - Money market funds </w:t>
            </w:r>
            <w:r>
              <w:rPr>
                <w:rFonts w:ascii="Times New Roman" w:cs="Times New Roman" w:eastAsia="Times New Roman" w:hAnsi="Times New Roman"/>
                <w:sz w:val="22"/>
                <w:szCs w:val="22"/>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48,438</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Mutual funds </w:t>
            </w:r>
            <w:r>
              <w:rPr>
                <w:rFonts w:ascii="Times New Roman" w:cs="Times New Roman" w:eastAsia="Times New Roman" w:hAnsi="Times New Roman"/>
                <w:sz w:val="22"/>
                <w:szCs w:val="22"/>
                <w:color w:val="auto"/>
                <w:vertAlign w:val="superscript"/>
              </w:rPr>
              <w:t>(2)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100,588</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0" w:type="dxa"/>
            <w:vAlign w:val="bottom"/>
          </w:tcPr>
          <w:p>
            <w:pPr>
              <w:spacing w:after="0"/>
              <w:rPr>
                <w:sz w:val="1"/>
                <w:szCs w:val="1"/>
                <w:color w:val="auto"/>
              </w:rPr>
            </w:pPr>
          </w:p>
        </w:tc>
      </w:tr>
      <w:tr>
        <w:trPr>
          <w:trHeight w:val="242"/>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155,375</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Contingent consideration </w:t>
            </w:r>
            <w:r>
              <w:rPr>
                <w:rFonts w:ascii="Times New Roman" w:cs="Times New Roman" w:eastAsia="Times New Roman" w:hAnsi="Times New Roman"/>
                <w:sz w:val="22"/>
                <w:szCs w:val="22"/>
                <w:color w:val="auto"/>
                <w:vertAlign w:val="superscript"/>
              </w:rPr>
              <w:t>(3)</w:t>
            </w:r>
          </w:p>
        </w:tc>
        <w:tc>
          <w:tcPr>
            <w:tcW w:w="12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42"/>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3980" w:type="dxa"/>
            <w:vAlign w:val="bottom"/>
          </w:tcPr>
          <w:p>
            <w:pPr>
              <w:spacing w:after="0"/>
              <w:rPr>
                <w:sz w:val="24"/>
                <w:szCs w:val="24"/>
                <w:color w:val="auto"/>
              </w:rPr>
            </w:pPr>
          </w:p>
        </w:tc>
        <w:tc>
          <w:tcPr>
            <w:tcW w:w="17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Quoted Prices in Active</w:t>
            </w:r>
          </w:p>
        </w:tc>
        <w:tc>
          <w:tcPr>
            <w:tcW w:w="160" w:type="dxa"/>
            <w:vAlign w:val="bottom"/>
          </w:tcPr>
          <w:p>
            <w:pPr>
              <w:spacing w:after="0"/>
              <w:rPr>
                <w:sz w:val="24"/>
                <w:szCs w:val="24"/>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140" w:type="dxa"/>
            <w:vAlign w:val="bottom"/>
          </w:tcPr>
          <w:p>
            <w:pPr>
              <w:spacing w:after="0"/>
              <w:rPr>
                <w:sz w:val="24"/>
                <w:szCs w:val="24"/>
                <w:color w:val="auto"/>
              </w:rPr>
            </w:pPr>
          </w:p>
        </w:tc>
        <w:tc>
          <w:tcPr>
            <w:tcW w:w="1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Significant Other</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60" w:type="dxa"/>
            <w:vAlign w:val="bottom"/>
            <w:gridSpan w:val="2"/>
            <w:vMerge w:val="restart"/>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Markets for Identical</w:t>
            </w:r>
          </w:p>
        </w:tc>
        <w:tc>
          <w:tcPr>
            <w:tcW w:w="16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Observable Inputs</w:t>
            </w:r>
          </w:p>
        </w:tc>
        <w:tc>
          <w:tcPr>
            <w:tcW w:w="140" w:type="dxa"/>
            <w:vAlign w:val="bottom"/>
          </w:tcPr>
          <w:p>
            <w:pPr>
              <w:spacing w:after="0"/>
              <w:rPr>
                <w:sz w:val="6"/>
                <w:szCs w:val="6"/>
                <w:color w:val="auto"/>
              </w:rPr>
            </w:pPr>
          </w:p>
        </w:tc>
        <w:tc>
          <w:tcPr>
            <w:tcW w:w="1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Unobservable Inputs</w:t>
            </w: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3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6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2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4"/>
        </w:trPr>
        <w:tc>
          <w:tcPr>
            <w:tcW w:w="398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Cash equivalents - Money market funds </w:t>
            </w:r>
            <w:r>
              <w:rPr>
                <w:rFonts w:ascii="Times New Roman" w:cs="Times New Roman" w:eastAsia="Times New Roman" w:hAnsi="Times New Roman"/>
                <w:sz w:val="22"/>
                <w:szCs w:val="22"/>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54,925</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Mutual funds </w:t>
            </w:r>
            <w:r>
              <w:rPr>
                <w:rFonts w:ascii="Times New Roman" w:cs="Times New Roman" w:eastAsia="Times New Roman" w:hAnsi="Times New Roman"/>
                <w:sz w:val="22"/>
                <w:szCs w:val="22"/>
                <w:color w:val="auto"/>
                <w:vertAlign w:val="superscript"/>
              </w:rPr>
              <w:t>(2)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108,251</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0" w:type="dxa"/>
            <w:vAlign w:val="bottom"/>
          </w:tcPr>
          <w:p>
            <w:pPr>
              <w:spacing w:after="0"/>
              <w:rPr>
                <w:sz w:val="1"/>
                <w:szCs w:val="1"/>
                <w:color w:val="auto"/>
              </w:rPr>
            </w:pPr>
          </w:p>
        </w:tc>
      </w:tr>
      <w:tr>
        <w:trPr>
          <w:trHeight w:val="242"/>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166,001</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Contingent consideration </w:t>
            </w:r>
            <w:r>
              <w:rPr>
                <w:rFonts w:ascii="Times New Roman" w:cs="Times New Roman" w:eastAsia="Times New Roman" w:hAnsi="Times New Roman"/>
                <w:sz w:val="22"/>
                <w:szCs w:val="22"/>
                <w:color w:val="auto"/>
                <w:vertAlign w:val="superscript"/>
              </w:rPr>
              <w:t>(3)</w:t>
            </w:r>
          </w:p>
        </w:tc>
        <w:tc>
          <w:tcPr>
            <w:tcW w:w="12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42"/>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14,517</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6" w:lineRule="exact"/>
        <w:rPr>
          <w:sz w:val="20"/>
          <w:szCs w:val="20"/>
          <w:color w:val="auto"/>
        </w:rPr>
      </w:pPr>
    </w:p>
    <w:p>
      <w:pPr>
        <w:ind w:left="640" w:hanging="241"/>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money market funds which are carried at the fair value option under ASC Topic 825 “Financial Instruments”.</w:t>
      </w:r>
    </w:p>
    <w:p>
      <w:pPr>
        <w:spacing w:after="0" w:line="279"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those short-term investments which are carried at the fair value option under ASC Topic 825 “Financial Instruments”.</w:t>
      </w:r>
    </w:p>
    <w:p>
      <w:pPr>
        <w:spacing w:after="0" w:line="253" w:lineRule="exact"/>
        <w:rPr>
          <w:rFonts w:ascii="Times New Roman" w:cs="Times New Roman" w:eastAsia="Times New Roman" w:hAnsi="Times New Roman"/>
          <w:sz w:val="18"/>
          <w:szCs w:val="18"/>
          <w:color w:val="auto"/>
        </w:rPr>
      </w:pPr>
    </w:p>
    <w:p>
      <w:pPr>
        <w:ind w:right="120" w:firstLine="399"/>
        <w:spacing w:after="0" w:line="268" w:lineRule="auto"/>
        <w:tabs>
          <w:tab w:leader="none" w:pos="64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is presented under “Accrued Expenses and Other Current Liabilities” and “Other Non-Current Liabilities,” as applicable, in the consolidated balance sheets.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Derivative Financial Instruments</w:t>
      </w:r>
      <w:r>
        <w:rPr>
          <w:rFonts w:ascii="Times New Roman" w:cs="Times New Roman" w:eastAsia="Times New Roman" w:hAnsi="Times New Roman"/>
          <w:sz w:val="18"/>
          <w:szCs w:val="18"/>
          <w:color w:val="auto"/>
        </w:rPr>
        <w:t>:</w:t>
      </w:r>
    </w:p>
    <w:p>
      <w:pPr>
        <w:spacing w:after="0" w:line="242" w:lineRule="exact"/>
        <w:rPr>
          <w:sz w:val="20"/>
          <w:szCs w:val="20"/>
          <w:color w:val="auto"/>
        </w:rPr>
      </w:pPr>
    </w:p>
    <w:p>
      <w:pPr>
        <w:ind w:firstLine="394"/>
        <w:spacing w:after="0" w:line="253" w:lineRule="auto"/>
        <w:rPr>
          <w:sz w:val="20"/>
          <w:szCs w:val="20"/>
          <w:color w:val="auto"/>
        </w:rPr>
      </w:pPr>
      <w:r>
        <w:rPr>
          <w:rFonts w:ascii="Times New Roman" w:cs="Times New Roman" w:eastAsia="Times New Roman" w:hAnsi="Times New Roman"/>
          <w:sz w:val="18"/>
          <w:szCs w:val="18"/>
          <w:color w:val="auto"/>
        </w:rPr>
        <w:t>The Company’s derivative financial instruments consist of foreign currency forward contracts and interest rate swaps. Fair values for derivative financial instruments are based on independent sources including highly rated financial institutions and are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as Level 2. Refer to Note 17 - Derivatives and Hedge Accounting to the unaudited consolidated financial statements for further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Contingent Consideration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94"/>
        <w:spacing w:after="0" w:line="233" w:lineRule="auto"/>
        <w:rPr>
          <w:sz w:val="20"/>
          <w:szCs w:val="20"/>
          <w:color w:val="auto"/>
        </w:rPr>
      </w:pPr>
      <w:r>
        <w:rPr>
          <w:rFonts w:ascii="Times New Roman" w:cs="Times New Roman" w:eastAsia="Times New Roman" w:hAnsi="Times New Roman"/>
          <w:sz w:val="18"/>
          <w:szCs w:val="18"/>
          <w:color w:val="auto"/>
        </w:rPr>
        <w:t>The fair value measurement of contingent consideration is determined using Level 3 inputs. The Company’s contingent consideration represents a component of the total purchase consideration for business acquisitions. The measurement is calculated using unobservable inputs based on the Company’s own assessment of achievement of certain performance goals. The Company estimated the fair value of the contingent consideration based on the Monte Carlo simulation model.</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changes in the fair value of contingent consideration:</w:t>
      </w:r>
    </w:p>
    <w:p>
      <w:pPr>
        <w:spacing w:after="0" w:line="45"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5620" w:type="dxa"/>
            <w:vAlign w:val="bottom"/>
          </w:tcPr>
          <w:p>
            <w:pPr>
              <w:spacing w:after="0"/>
              <w:rPr>
                <w:sz w:val="18"/>
                <w:szCs w:val="18"/>
                <w:color w:val="auto"/>
              </w:rPr>
            </w:pPr>
          </w:p>
        </w:tc>
        <w:tc>
          <w:tcPr>
            <w:tcW w:w="360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80" w:type="dxa"/>
            <w:vAlign w:val="bottom"/>
            <w:tcBorders>
              <w:bottom w:val="single" w:sz="8" w:color="auto"/>
            </w:tcBorders>
          </w:tcPr>
          <w:p>
            <w:pPr>
              <w:spacing w:after="0"/>
              <w:rPr>
                <w:sz w:val="18"/>
                <w:szCs w:val="18"/>
                <w:color w:val="auto"/>
              </w:rPr>
            </w:pPr>
          </w:p>
        </w:tc>
      </w:tr>
      <w:tr>
        <w:trPr>
          <w:trHeight w:val="205"/>
        </w:trPr>
        <w:tc>
          <w:tcPr>
            <w:tcW w:w="56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7"/>
                <w:szCs w:val="17"/>
                <w:color w:val="auto"/>
              </w:rPr>
            </w:pPr>
          </w:p>
        </w:tc>
      </w:tr>
      <w:tr>
        <w:trPr>
          <w:trHeight w:val="21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balance</w:t>
            </w:r>
          </w:p>
        </w:tc>
        <w:tc>
          <w:tcPr>
            <w:tcW w:w="1440" w:type="dxa"/>
            <w:vAlign w:val="bottom"/>
            <w:shd w:val="clear" w:color="auto" w:fill="CCEEFF"/>
          </w:tcPr>
          <w:p>
            <w:pPr>
              <w:jc w:val="right"/>
              <w:ind w:right="125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changes</w:t>
            </w:r>
          </w:p>
        </w:tc>
        <w:tc>
          <w:tcPr>
            <w:tcW w:w="14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 balance</w:t>
            </w:r>
          </w:p>
        </w:tc>
        <w:tc>
          <w:tcPr>
            <w:tcW w:w="1440" w:type="dxa"/>
            <w:vAlign w:val="bottom"/>
            <w:tcBorders>
              <w:top w:val="single" w:sz="8" w:color="auto"/>
              <w:bottom w:val="single" w:sz="8" w:color="auto"/>
            </w:tcBorders>
          </w:tcPr>
          <w:p>
            <w:pPr>
              <w:jc w:val="right"/>
              <w:ind w:right="125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ind w:right="11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three months ended March 31, 2025 and 2024, there were no transfers among Level 1, Level 2 and Level 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The Company’s other financial instruments not carried at fair value consist primarily of cash and cash equivalents (except investments in money market funds, as disclosed above), short-term investments (except investments in mutual funds, as disclosed above), restricted cash, accounts receivable, net, long-term investments, accrued capital expenditures, accrued expenses, client liabilities and interest payable on borrowings for which fair values approximate their carrying amounts. The carrying value of the Company’s outstanding revolving credit facility approximates its fair value because the Company’s interest rate yield is near current market rates for comparable debt instruments.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Derivatives and Hedge Accounting</w:t>
      </w:r>
    </w:p>
    <w:p>
      <w:pPr>
        <w:spacing w:after="0" w:line="163" w:lineRule="exact"/>
        <w:rPr>
          <w:sz w:val="20"/>
          <w:szCs w:val="20"/>
          <w:color w:val="auto"/>
        </w:rPr>
      </w:pPr>
    </w:p>
    <w:p>
      <w:pPr>
        <w:jc w:val="both"/>
        <w:ind w:firstLine="434"/>
        <w:spacing w:after="0" w:line="241" w:lineRule="auto"/>
        <w:rPr>
          <w:sz w:val="20"/>
          <w:szCs w:val="20"/>
          <w:color w:val="auto"/>
        </w:rPr>
      </w:pPr>
      <w:r>
        <w:rPr>
          <w:rFonts w:ascii="Times New Roman" w:cs="Times New Roman" w:eastAsia="Times New Roman" w:hAnsi="Times New Roman"/>
          <w:sz w:val="18"/>
          <w:szCs w:val="18"/>
          <w:color w:val="auto"/>
        </w:rPr>
        <w:t xml:space="preserve">The Company uses derivative instruments to mitigate cash flow volatility from risk of fluctuations in foreign currency exchange rates and interest rates. The Company enters into foreign currency forward contracts to hedge cash flow risks from forecasted revenues and other transactions denominated in certain foreign currencies. These contracts qualify as cash flow hedges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are with counterparties that are highly rated financial institutions.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aggregate notional amount of derivatives in cash flow hedging relationship:</w:t>
      </w:r>
    </w:p>
    <w:p>
      <w:pPr>
        <w:spacing w:after="0" w:line="45"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Borders>
              <w:bottom w:val="single" w:sz="8" w:color="auto"/>
            </w:tcBorders>
            <w:gridSpan w:val="3"/>
          </w:tcPr>
          <w:p>
            <w:pPr>
              <w:ind w:left="20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60" w:type="dxa"/>
            <w:vAlign w:val="bottom"/>
            <w:tcBorders>
              <w:bottom w:val="single" w:sz="8" w:color="auto"/>
            </w:tcBorders>
          </w:tcPr>
          <w:p>
            <w:pPr>
              <w:spacing w:after="0"/>
              <w:rPr>
                <w:sz w:val="18"/>
                <w:szCs w:val="18"/>
                <w:color w:val="auto"/>
              </w:rPr>
            </w:pPr>
          </w:p>
        </w:tc>
      </w:tr>
      <w:tr>
        <w:trPr>
          <w:trHeight w:val="205"/>
        </w:trPr>
        <w:tc>
          <w:tcPr>
            <w:tcW w:w="6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6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7"/>
        </w:trPr>
        <w:tc>
          <w:tcPr>
            <w:tcW w:w="6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forward contracts denominated in:</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r>
      <w:tr>
        <w:trPr>
          <w:trHeight w:val="223"/>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Sell U.S. dollar (USD)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903,000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984,300</w:t>
            </w:r>
          </w:p>
        </w:tc>
      </w:tr>
      <w:tr>
        <w:trPr>
          <w:trHeight w:val="223"/>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Buy U.S. dollar (USD)</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18"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Company estimates that approximately $983 of derivative gains, net, excluding tax effects, included in AOCI, representing changes in the value of cash flow hedges based on exchange rates prevailing as of March 31, 2025, could be reclassified into earnings within the next twelve months. As of March 31, 2025, the maximum outstanding term of the cash flow hedges was approximately 42 months.</w:t>
      </w:r>
    </w:p>
    <w:p>
      <w:pPr>
        <w:spacing w:after="0" w:line="113" w:lineRule="exact"/>
        <w:rPr>
          <w:sz w:val="20"/>
          <w:szCs w:val="20"/>
          <w:color w:val="auto"/>
        </w:rPr>
      </w:pPr>
    </w:p>
    <w:p>
      <w:pPr>
        <w:jc w:val="both"/>
        <w:ind w:firstLine="434"/>
        <w:spacing w:after="0" w:line="235" w:lineRule="auto"/>
        <w:rPr>
          <w:sz w:val="20"/>
          <w:szCs w:val="20"/>
          <w:color w:val="auto"/>
        </w:rPr>
      </w:pPr>
      <w:r>
        <w:rPr>
          <w:rFonts w:ascii="Times New Roman" w:cs="Times New Roman" w:eastAsia="Times New Roman" w:hAnsi="Times New Roman"/>
          <w:sz w:val="18"/>
          <w:szCs w:val="18"/>
          <w:color w:val="auto"/>
        </w:rPr>
        <w:t xml:space="preserve">The Company also enters into foreign currency forward contracts to hedge its intercompany balances and other monetary assets and liabilities denominated in currencies other than functional currencies, against the risk of fluctuations in foreign currency exchange rates associated with remeasurement of such assets and liabilities to functional currency. These foreign currency forward contracts do not qualify as fair value hedges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Changes in the fair value of these financial instruments are recognized in the unaudited consolidated statements of income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the foreign exchange gain/(loss) line item.</w:t>
      </w:r>
    </w:p>
    <w:p>
      <w:pPr>
        <w:spacing w:after="0" w:line="209" w:lineRule="exact"/>
        <w:rPr>
          <w:sz w:val="20"/>
          <w:szCs w:val="20"/>
          <w:color w:val="auto"/>
        </w:rPr>
      </w:pPr>
    </w:p>
    <w:p>
      <w:pPr>
        <w:jc w:val="both"/>
        <w:ind w:firstLine="434"/>
        <w:spacing w:after="0" w:line="253" w:lineRule="auto"/>
        <w:rPr>
          <w:sz w:val="20"/>
          <w:szCs w:val="20"/>
          <w:color w:val="auto"/>
        </w:rPr>
      </w:pPr>
      <w:r>
        <w:rPr>
          <w:rFonts w:ascii="Times New Roman" w:cs="Times New Roman" w:eastAsia="Times New Roman" w:hAnsi="Times New Roman"/>
          <w:sz w:val="18"/>
          <w:szCs w:val="18"/>
          <w:color w:val="auto"/>
        </w:rPr>
        <w:t>The following table sets forth the aggregate notional principal amounts of outstanding foreign currency forward contracts for derivatives not designated as hedging instruments:</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209"/>
        </w:trPr>
        <w:tc>
          <w:tcPr>
            <w:tcW w:w="4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tcBorders>
              <w:bottom w:val="single" w:sz="8" w:color="auto"/>
            </w:tcBorders>
            <w:gridSpan w:val="3"/>
          </w:tcPr>
          <w:p>
            <w:pPr>
              <w:ind w:left="20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60" w:type="dxa"/>
            <w:vAlign w:val="bottom"/>
            <w:tcBorders>
              <w:bottom w:val="single" w:sz="8" w:color="auto"/>
            </w:tcBorders>
          </w:tcPr>
          <w:p>
            <w:pPr>
              <w:spacing w:after="0"/>
              <w:rPr>
                <w:sz w:val="18"/>
                <w:szCs w:val="18"/>
                <w:color w:val="auto"/>
              </w:rPr>
            </w:pPr>
          </w:p>
        </w:tc>
      </w:tr>
      <w:tr>
        <w:trPr>
          <w:trHeight w:val="207"/>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Foreign currency forward contracts denominated in:</w:t>
            </w:r>
          </w:p>
        </w:tc>
        <w:tc>
          <w:tcPr>
            <w:tcW w:w="250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6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7"/>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USD</w:t>
            </w:r>
          </w:p>
        </w:tc>
        <w:tc>
          <w:tcPr>
            <w:tcW w:w="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215,904</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179,491</w:t>
            </w:r>
          </w:p>
        </w:tc>
      </w:tr>
      <w:tr>
        <w:trPr>
          <w:trHeight w:val="22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 GBP</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20,956</w:t>
            </w:r>
          </w:p>
        </w:tc>
      </w:tr>
      <w:tr>
        <w:trPr>
          <w:trHeight w:val="22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EUR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w:t>
            </w:r>
          </w:p>
        </w:tc>
      </w:tr>
      <w:tr>
        <w:trPr>
          <w:trHeight w:val="22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 AUD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w:t>
            </w:r>
          </w:p>
        </w:tc>
      </w:tr>
      <w:tr>
        <w:trPr>
          <w:trHeight w:val="22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ZAR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w:t>
            </w:r>
          </w:p>
        </w:tc>
      </w:tr>
      <w:tr>
        <w:trPr>
          <w:trHeight w:val="228"/>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Buy USD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r>
    </w:tbl>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fair value of the foreign currency forward contracts and their location on the consolidated balance sheets:</w:t>
      </w:r>
    </w:p>
    <w:p>
      <w:pPr>
        <w:sectPr>
          <w:pgSz w:w="11900" w:h="16838" w:orient="portrait"/>
          <w:cols w:equalWidth="0" w:num="1">
            <w:col w:w="11240"/>
          </w:cols>
          <w:pgMar w:left="320" w:top="119" w:right="339" w:bottom="1440" w:gutter="0" w:footer="0" w:header="0"/>
        </w:sectPr>
      </w:pPr>
    </w:p>
    <w:p>
      <w:pPr>
        <w:spacing w:after="0" w:line="203" w:lineRule="exact"/>
        <w:rPr>
          <w:sz w:val="20"/>
          <w:szCs w:val="20"/>
          <w:color w:val="auto"/>
        </w:rPr>
      </w:pPr>
    </w:p>
    <w:p>
      <w:pPr>
        <w:jc w:val="center"/>
        <w:ind w:left="3960"/>
        <w:spacing w:after="0"/>
        <w:rPr>
          <w:sz w:val="20"/>
          <w:szCs w:val="20"/>
          <w:color w:val="auto"/>
        </w:rPr>
      </w:pPr>
      <w:r>
        <w:rPr>
          <w:rFonts w:ascii="Times New Roman" w:cs="Times New Roman" w:eastAsia="Times New Roman" w:hAnsi="Times New Roman"/>
          <w:sz w:val="15"/>
          <w:szCs w:val="15"/>
          <w:b w:val="1"/>
          <w:bCs w:val="1"/>
          <w:color w:val="auto"/>
        </w:rPr>
        <w:t>Derivatives in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26035</wp:posOffset>
            </wp:positionV>
            <wp:extent cx="23450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45055" cy="8255"/>
                    </a:xfrm>
                    <a:prstGeom prst="rect">
                      <a:avLst/>
                    </a:prstGeom>
                    <a:noFill/>
                  </pic:spPr>
                </pic:pic>
              </a:graphicData>
            </a:graphic>
          </wp:anchor>
        </w:drawing>
      </w:r>
    </w:p>
    <w:p>
      <w:pPr>
        <w:spacing w:after="0" w:line="31" w:lineRule="exact"/>
        <w:rPr>
          <w:sz w:val="20"/>
          <w:szCs w:val="20"/>
          <w:color w:val="auto"/>
        </w:rPr>
      </w:pPr>
    </w:p>
    <w:p>
      <w:pPr>
        <w:jc w:val="center"/>
        <w:ind w:left="396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18415</wp:posOffset>
            </wp:positionV>
            <wp:extent cx="23450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45055" cy="8255"/>
                    </a:xfrm>
                    <a:prstGeom prst="rect">
                      <a:avLst/>
                    </a:prstGeom>
                    <a:noFill/>
                  </pic:spPr>
                </pic:pic>
              </a:graphicData>
            </a:graphic>
          </wp:anchor>
        </w:drawing>
      </w:r>
    </w:p>
    <w:p>
      <w:pPr>
        <w:spacing w:after="0" w:line="19" w:lineRule="exact"/>
        <w:rPr>
          <w:sz w:val="20"/>
          <w:szCs w:val="20"/>
          <w:color w:val="auto"/>
        </w:rPr>
      </w:pPr>
    </w:p>
    <w:p>
      <w:pPr>
        <w:ind w:left="4040"/>
        <w:spacing w:after="0"/>
        <w:tabs>
          <w:tab w:leader="none" w:pos="5800" w:val="left"/>
        </w:tabs>
        <w:rPr>
          <w:sz w:val="20"/>
          <w:szCs w:val="20"/>
          <w:color w:val="auto"/>
        </w:rPr>
      </w:pPr>
      <w:r>
        <w:rPr>
          <w:rFonts w:ascii="Times New Roman" w:cs="Times New Roman" w:eastAsia="Times New Roman" w:hAnsi="Times New Roman"/>
          <w:sz w:val="16"/>
          <w:szCs w:val="16"/>
          <w:b w:val="1"/>
          <w:bCs w:val="1"/>
          <w:color w:val="auto"/>
        </w:rPr>
        <w:t>March 31, 2025</w:t>
      </w:r>
      <w:r>
        <w:rPr>
          <w:sz w:val="20"/>
          <w:szCs w:val="20"/>
          <w:color w:val="auto"/>
        </w:rPr>
        <w:tab/>
      </w:r>
      <w:r>
        <w:rPr>
          <w:rFonts w:ascii="Times New Roman" w:cs="Times New Roman" w:eastAsia="Times New Roman" w:hAnsi="Times New Roman"/>
          <w:sz w:val="15"/>
          <w:szCs w:val="15"/>
          <w:b w:val="1"/>
          <w:bCs w:val="1"/>
          <w:color w:val="auto"/>
        </w:rPr>
        <w:t>December 31, 2024</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240"/>
        <w:spacing w:after="0" w:line="291" w:lineRule="auto"/>
        <w:rPr>
          <w:sz w:val="20"/>
          <w:szCs w:val="20"/>
          <w:color w:val="auto"/>
        </w:rPr>
      </w:pPr>
      <w:r>
        <w:rPr>
          <w:rFonts w:ascii="Times New Roman" w:cs="Times New Roman" w:eastAsia="Times New Roman" w:hAnsi="Times New Roman"/>
          <w:sz w:val="16"/>
          <w:szCs w:val="16"/>
          <w:b w:val="1"/>
          <w:bCs w:val="1"/>
          <w:color w:val="auto"/>
        </w:rPr>
        <w:t>Derivatives not designated as hedging instruments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-5715</wp:posOffset>
            </wp:positionV>
            <wp:extent cx="23622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62200" cy="8255"/>
                    </a:xfrm>
                    <a:prstGeom prst="rect">
                      <a:avLst/>
                    </a:prstGeom>
                    <a:noFill/>
                  </pic:spPr>
                </pic:pic>
              </a:graphicData>
            </a:graphic>
          </wp:anchor>
        </w:drawing>
        <w:drawing>
          <wp:anchor simplePos="0" relativeHeight="251657728" behindDoc="1" locked="0" layoutInCell="0" allowOverlap="1">
            <wp:simplePos x="0" y="0"/>
            <wp:positionH relativeFrom="column">
              <wp:posOffset>-102235</wp:posOffset>
            </wp:positionH>
            <wp:positionV relativeFrom="paragraph">
              <wp:posOffset>-147320</wp:posOffset>
            </wp:positionV>
            <wp:extent cx="23622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62200" cy="8255"/>
                    </a:xfrm>
                    <a:prstGeom prst="rect">
                      <a:avLst/>
                    </a:prstGeom>
                    <a:noFill/>
                  </pic:spPr>
                </pic:pic>
              </a:graphicData>
            </a:graphic>
          </wp:anchor>
        </w:drawing>
      </w:r>
    </w:p>
    <w:p>
      <w:pPr>
        <w:ind w:left="220"/>
        <w:spacing w:after="0"/>
        <w:tabs>
          <w:tab w:leader="none" w:pos="1980" w:val="left"/>
        </w:tabs>
        <w:rPr>
          <w:sz w:val="20"/>
          <w:szCs w:val="20"/>
          <w:color w:val="auto"/>
        </w:rPr>
      </w:pPr>
      <w:r>
        <w:rPr>
          <w:rFonts w:ascii="Times New Roman" w:cs="Times New Roman" w:eastAsia="Times New Roman" w:hAnsi="Times New Roman"/>
          <w:sz w:val="16"/>
          <w:szCs w:val="16"/>
          <w:b w:val="1"/>
          <w:bCs w:val="1"/>
          <w:color w:val="auto"/>
        </w:rPr>
        <w:t>March 31, 2025</w:t>
      </w:r>
      <w:r>
        <w:rPr>
          <w:sz w:val="20"/>
          <w:szCs w:val="20"/>
          <w:color w:val="auto"/>
        </w:rPr>
        <w:tab/>
      </w:r>
      <w:r>
        <w:rPr>
          <w:rFonts w:ascii="Times New Roman" w:cs="Times New Roman" w:eastAsia="Times New Roman" w:hAnsi="Times New Roman"/>
          <w:sz w:val="15"/>
          <w:szCs w:val="15"/>
          <w:b w:val="1"/>
          <w:bCs w:val="1"/>
          <w:color w:val="auto"/>
        </w:rPr>
        <w:t>December 31, 2024</w:t>
      </w:r>
    </w:p>
    <w:p>
      <w:pPr>
        <w:spacing w:after="0" w:line="25" w:lineRule="exact"/>
        <w:rPr>
          <w:sz w:val="20"/>
          <w:szCs w:val="20"/>
          <w:color w:val="auto"/>
        </w:rPr>
      </w:pPr>
    </w:p>
    <w:p>
      <w:pPr>
        <w:sectPr>
          <w:pgSz w:w="11900" w:h="16838" w:orient="portrait"/>
          <w:cols w:equalWidth="0" w:num="2">
            <w:col w:w="7080" w:space="540"/>
            <w:col w:w="362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520" w:type="dxa"/>
            <w:vAlign w:val="bottom"/>
          </w:tcPr>
          <w:p>
            <w:pPr>
              <w:spacing w:after="0"/>
              <w:rPr>
                <w:sz w:val="19"/>
                <w:szCs w:val="19"/>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7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8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60" w:type="dxa"/>
            <w:vAlign w:val="bottom"/>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7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86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79"/>
        </w:trPr>
        <w:tc>
          <w:tcPr>
            <w:tcW w:w="520" w:type="dxa"/>
            <w:vAlign w:val="bottom"/>
          </w:tcPr>
          <w:p>
            <w:pPr>
              <w:spacing w:after="0"/>
              <w:rPr>
                <w:sz w:val="15"/>
                <w:szCs w:val="15"/>
                <w:color w:val="auto"/>
              </w:rPr>
            </w:pPr>
          </w:p>
        </w:tc>
        <w:tc>
          <w:tcPr>
            <w:tcW w:w="3160" w:type="dxa"/>
            <w:vAlign w:val="bottom"/>
            <w:gridSpan w:val="2"/>
            <w:shd w:val="clear" w:color="auto" w:fill="CCEEFF"/>
          </w:tcPr>
          <w:p>
            <w:pPr>
              <w:ind w:left="120"/>
              <w:spacing w:after="0" w:line="179"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7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229"/>
        </w:trPr>
        <w:tc>
          <w:tcPr>
            <w:tcW w:w="520" w:type="dxa"/>
            <w:vAlign w:val="bottom"/>
          </w:tcPr>
          <w:p>
            <w:pPr>
              <w:spacing w:after="0"/>
              <w:rPr>
                <w:sz w:val="19"/>
                <w:szCs w:val="19"/>
                <w:color w:val="auto"/>
              </w:rPr>
            </w:pPr>
          </w:p>
        </w:tc>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7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86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19"/>
                <w:szCs w:val="19"/>
                <w:color w:val="auto"/>
              </w:rPr>
            </w:pPr>
          </w:p>
        </w:tc>
      </w:tr>
      <w:tr>
        <w:trPr>
          <w:trHeight w:val="228"/>
        </w:trPr>
        <w:tc>
          <w:tcPr>
            <w:tcW w:w="520" w:type="dxa"/>
            <w:vAlign w:val="bottom"/>
          </w:tcPr>
          <w:p>
            <w:pPr>
              <w:spacing w:after="0"/>
              <w:rPr>
                <w:sz w:val="19"/>
                <w:szCs w:val="19"/>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8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862"/>
        </w:trPr>
        <w:tc>
          <w:tcPr>
            <w:tcW w:w="5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23</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2"/>
        </w:trPr>
        <w:tc>
          <w:tcPr>
            <w:tcW w:w="52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following table sets forth the effect of foreign currency forward contracts and interest rate swaps on AOCI and the unaudited consolidated statements of income:</w:t>
      </w:r>
    </w:p>
    <w:p>
      <w:pPr>
        <w:spacing w:after="0" w:line="158" w:lineRule="exact"/>
        <w:rPr>
          <w:sz w:val="20"/>
          <w:szCs w:val="20"/>
          <w:color w:val="auto"/>
        </w:rPr>
      </w:pPr>
    </w:p>
    <w:tbl>
      <w:tblPr>
        <w:tblLayout w:type="fixed"/>
        <w:tblInd w:w="1020" w:type="dxa"/>
        <w:tblCellMar>
          <w:top w:w="0" w:type="dxa"/>
          <w:left w:w="0" w:type="dxa"/>
          <w:bottom w:w="0" w:type="dxa"/>
          <w:right w:w="0" w:type="dxa"/>
        </w:tblCellMar>
      </w:tblPr>
      <w:tr>
        <w:trPr>
          <w:trHeight w:val="211"/>
        </w:trPr>
        <w:tc>
          <w:tcPr>
            <w:tcW w:w="6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5"/>
        </w:trPr>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Derivative financial instruments: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4"/>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Unrealized gain/(loss) recognized in other comprehensive income (“OCI”)</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56"/>
        </w:trPr>
        <w:tc>
          <w:tcPr>
            <w:tcW w:w="6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240" w:type="dxa"/>
            <w:vAlign w:val="bottom"/>
            <w:tcBorders>
              <w:bottom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9"/>
        </w:trPr>
        <w:tc>
          <w:tcPr>
            <w:tcW w:w="6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Gain/(loss) recognized in unaudited consolidated statements of income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4"/>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31" w:lineRule="exact"/>
        <w:rPr>
          <w:sz w:val="20"/>
          <w:szCs w:val="20"/>
          <w:color w:val="auto"/>
        </w:rPr>
      </w:pPr>
    </w:p>
    <w:p>
      <w:pPr>
        <w:ind w:firstLine="394"/>
        <w:spacing w:after="0" w:line="268" w:lineRule="auto"/>
        <w:rPr>
          <w:sz w:val="20"/>
          <w:szCs w:val="20"/>
          <w:color w:val="auto"/>
        </w:rPr>
      </w:pPr>
      <w:r>
        <w:rPr>
          <w:rFonts w:ascii="Times New Roman" w:cs="Times New Roman" w:eastAsia="Times New Roman" w:hAnsi="Times New Roman"/>
          <w:sz w:val="18"/>
          <w:szCs w:val="18"/>
          <w:color w:val="auto"/>
        </w:rPr>
        <w:t>The following table sets forth the location and amount of gain/(loss) recognized in unaudited consolidated statements of income for derivatives in cash flow hedging relationships and derivatives not designated as hedging instruments: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59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32"/>
        </w:trPr>
        <w:tc>
          <w:tcPr>
            <w:tcW w:w="5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gridSpan w:val="3"/>
            <w:shd w:val="clear" w:color="auto" w:fill="CCEEFF"/>
          </w:tcPr>
          <w:p>
            <w:pPr>
              <w:jc w:val="center"/>
              <w:ind w:right="120"/>
              <w:spacing w:after="0" w:line="133" w:lineRule="exact"/>
              <w:rPr>
                <w:sz w:val="20"/>
                <w:szCs w:val="20"/>
                <w:color w:val="auto"/>
              </w:rPr>
            </w:pPr>
            <w:r>
              <w:rPr>
                <w:rFonts w:ascii="Times New Roman" w:cs="Times New Roman" w:eastAsia="Times New Roman" w:hAnsi="Times New Roman"/>
                <w:sz w:val="14"/>
                <w:szCs w:val="14"/>
                <w:b w:val="1"/>
                <w:bCs w:val="1"/>
                <w:color w:val="auto"/>
                <w:w w:val="98"/>
              </w:rPr>
              <w:t>As per unaudited</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ind w:right="19"/>
              <w:spacing w:after="0" w:line="133" w:lineRule="exact"/>
              <w:rPr>
                <w:sz w:val="20"/>
                <w:szCs w:val="20"/>
                <w:color w:val="auto"/>
              </w:rPr>
            </w:pPr>
            <w:r>
              <w:rPr>
                <w:rFonts w:ascii="Times New Roman" w:cs="Times New Roman" w:eastAsia="Times New Roman" w:hAnsi="Times New Roman"/>
                <w:sz w:val="14"/>
                <w:szCs w:val="14"/>
                <w:b w:val="1"/>
                <w:bCs w:val="1"/>
                <w:color w:val="auto"/>
              </w:rPr>
              <w:t>Gain/(loss) on</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w w:val="98"/>
              </w:rPr>
              <w:t>As per unaudited</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center"/>
              <w:ind w:right="18"/>
              <w:spacing w:after="0" w:line="133" w:lineRule="exact"/>
              <w:rPr>
                <w:sz w:val="20"/>
                <w:szCs w:val="20"/>
                <w:color w:val="auto"/>
              </w:rPr>
            </w:pPr>
            <w:r>
              <w:rPr>
                <w:rFonts w:ascii="Times New Roman" w:cs="Times New Roman" w:eastAsia="Times New Roman" w:hAnsi="Times New Roman"/>
                <w:sz w:val="14"/>
                <w:szCs w:val="14"/>
                <w:b w:val="1"/>
                <w:bCs w:val="1"/>
                <w:color w:val="auto"/>
                <w:w w:val="98"/>
              </w:rPr>
              <w:t>Gain/(loss) on</w:t>
            </w:r>
          </w:p>
        </w:tc>
      </w:tr>
      <w:tr>
        <w:trPr>
          <w:trHeight w:val="143"/>
        </w:trPr>
        <w:tc>
          <w:tcPr>
            <w:tcW w:w="5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ind w:right="19"/>
              <w:spacing w:after="0" w:line="143"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center"/>
              <w:ind w:right="38"/>
              <w:spacing w:after="0" w:line="143" w:lineRule="exact"/>
              <w:rPr>
                <w:sz w:val="20"/>
                <w:szCs w:val="20"/>
                <w:color w:val="auto"/>
              </w:rPr>
            </w:pPr>
            <w:r>
              <w:rPr>
                <w:rFonts w:ascii="Times New Roman" w:cs="Times New Roman" w:eastAsia="Times New Roman" w:hAnsi="Times New Roman"/>
                <w:sz w:val="14"/>
                <w:szCs w:val="14"/>
                <w:b w:val="1"/>
                <w:bCs w:val="1"/>
                <w:color w:val="auto"/>
              </w:rPr>
              <w:t>derivative</w:t>
            </w:r>
          </w:p>
        </w:tc>
      </w:tr>
      <w:tr>
        <w:trPr>
          <w:trHeight w:val="133"/>
        </w:trPr>
        <w:tc>
          <w:tcPr>
            <w:tcW w:w="5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w w:val="98"/>
              </w:rPr>
              <w:t>statements of</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ind w:right="19"/>
              <w:spacing w:after="0" w:line="133"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w w:val="98"/>
              </w:rPr>
              <w:t>statements of</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center"/>
              <w:ind w:right="38"/>
              <w:spacing w:after="0" w:line="133" w:lineRule="exact"/>
              <w:rPr>
                <w:sz w:val="20"/>
                <w:szCs w:val="20"/>
                <w:color w:val="auto"/>
              </w:rPr>
            </w:pPr>
            <w:r>
              <w:rPr>
                <w:rFonts w:ascii="Times New Roman" w:cs="Times New Roman" w:eastAsia="Times New Roman" w:hAnsi="Times New Roman"/>
                <w:sz w:val="14"/>
                <w:szCs w:val="14"/>
                <w:b w:val="1"/>
                <w:bCs w:val="1"/>
                <w:color w:val="auto"/>
                <w:w w:val="99"/>
              </w:rPr>
              <w:t>financial</w:t>
            </w:r>
          </w:p>
        </w:tc>
      </w:tr>
      <w:tr>
        <w:trPr>
          <w:trHeight w:val="209"/>
        </w:trPr>
        <w:tc>
          <w:tcPr>
            <w:tcW w:w="5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instruments</w:t>
            </w:r>
          </w:p>
        </w:tc>
      </w:tr>
      <w:tr>
        <w:trPr>
          <w:trHeight w:val="203"/>
        </w:trPr>
        <w:tc>
          <w:tcPr>
            <w:tcW w:w="5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in cash flow hedging relationships</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172"/>
        </w:trPr>
        <w:tc>
          <w:tcPr>
            <w:tcW w:w="610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Location in unaudited consolidated statements of income where gain/(loss) was</w:t>
            </w: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37"/>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reclassified from AOCI</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3"/>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17"/>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before tax</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3"/>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effects on above</w:t>
            </w: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42"/>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38"/>
        </w:trPr>
        <w:tc>
          <w:tcPr>
            <w:tcW w:w="5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3"/>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71"/>
        </w:trPr>
        <w:tc>
          <w:tcPr>
            <w:tcW w:w="610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Location in unaudited consolidated statements of income where gain/(loss) was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69"/>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recognized</w:t>
            </w:r>
          </w:p>
        </w:tc>
        <w:tc>
          <w:tcPr>
            <w:tcW w:w="16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r>
      <w:tr>
        <w:trPr>
          <w:trHeight w:val="228"/>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Borrowings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summarizes the Company’s debt position under its credit agreement with Citibank, N.A.:</w:t>
      </w:r>
    </w:p>
    <w:p>
      <w:pPr>
        <w:spacing w:after="0" w:line="203"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9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6"/>
                <w:szCs w:val="16"/>
                <w:b w:val="1"/>
                <w:bCs w:val="1"/>
                <w:color w:val="auto"/>
                <w:w w:val="97"/>
              </w:rPr>
              <w:t>Revolving credit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center"/>
              <w:ind w:right="240"/>
              <w:spacing w:after="0" w:line="152" w:lineRule="exact"/>
              <w:rPr>
                <w:sz w:val="20"/>
                <w:szCs w:val="20"/>
                <w:color w:val="auto"/>
              </w:rPr>
            </w:pPr>
            <w:r>
              <w:rPr>
                <w:rFonts w:ascii="Times New Roman" w:cs="Times New Roman" w:eastAsia="Times New Roman" w:hAnsi="Times New Roman"/>
                <w:sz w:val="16"/>
                <w:szCs w:val="16"/>
                <w:b w:val="1"/>
                <w:bCs w:val="1"/>
                <w:color w:val="auto"/>
                <w:w w:val="97"/>
              </w:rPr>
              <w:t>Term loan</w:t>
            </w: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shd w:val="clear" w:color="auto" w:fill="CCEEFF"/>
          </w:tcPr>
          <w:p>
            <w:pPr>
              <w:spacing w:after="0"/>
              <w:rPr>
                <w:sz w:val="13"/>
                <w:szCs w:val="13"/>
                <w:color w:val="auto"/>
              </w:rPr>
            </w:pPr>
          </w:p>
        </w:tc>
        <w:tc>
          <w:tcPr>
            <w:tcW w:w="1380" w:type="dxa"/>
            <w:vAlign w:val="bottom"/>
            <w:gridSpan w:val="3"/>
            <w:shd w:val="clear" w:color="auto" w:fill="CCEEFF"/>
          </w:tcPr>
          <w:p>
            <w:pPr>
              <w:jc w:val="center"/>
              <w:ind w:right="80"/>
              <w:spacing w:after="0" w:line="152" w:lineRule="exact"/>
              <w:rPr>
                <w:sz w:val="20"/>
                <w:szCs w:val="20"/>
                <w:color w:val="auto"/>
              </w:rPr>
            </w:pPr>
            <w:r>
              <w:rPr>
                <w:rFonts w:ascii="Times New Roman" w:cs="Times New Roman" w:eastAsia="Times New Roman" w:hAnsi="Times New Roman"/>
                <w:sz w:val="16"/>
                <w:szCs w:val="16"/>
                <w:b w:val="1"/>
                <w:bCs w:val="1"/>
                <w:color w:val="auto"/>
                <w:w w:val="97"/>
              </w:rPr>
              <w:t>Revolving credit</w:t>
            </w:r>
          </w:p>
        </w:tc>
        <w:tc>
          <w:tcPr>
            <w:tcW w:w="4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31"/>
        </w:trPr>
        <w:tc>
          <w:tcPr>
            <w:tcW w:w="2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facility</w:t>
            </w:r>
          </w:p>
        </w:tc>
        <w:tc>
          <w:tcPr>
            <w:tcW w:w="24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7"/>
              </w:rPr>
              <w:t>facility</w:t>
            </w:r>
          </w:p>
        </w:tc>
        <w:tc>
          <w:tcPr>
            <w:tcW w:w="136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Term loan facility</w:t>
            </w:r>
          </w:p>
        </w:tc>
        <w:tc>
          <w:tcPr>
            <w:tcW w:w="280" w:type="dxa"/>
            <w:vAlign w:val="bottom"/>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360" w:type="dxa"/>
            <w:vAlign w:val="bottom"/>
            <w:gridSpan w:val="3"/>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Current portion of long-term borrowings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51"/>
        </w:trPr>
        <w:tc>
          <w:tcPr>
            <w:tcW w:w="290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b w:val="1"/>
                <w:bCs w:val="1"/>
                <w:color w:val="auto"/>
              </w:rPr>
              <w:t>Total current portion of long-term</w:t>
            </w: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2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8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0" w:type="dxa"/>
            <w:vAlign w:val="bottom"/>
          </w:tcPr>
          <w:p>
            <w:pPr>
              <w:spacing w:after="0"/>
              <w:rPr>
                <w:sz w:val="1"/>
                <w:szCs w:val="1"/>
                <w:color w:val="auto"/>
              </w:rPr>
            </w:pPr>
          </w:p>
        </w:tc>
      </w:tr>
      <w:tr>
        <w:trPr>
          <w:trHeight w:val="24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283,750</w:t>
            </w:r>
          </w:p>
        </w:tc>
        <w:tc>
          <w:tcPr>
            <w:tcW w:w="0" w:type="dxa"/>
            <w:vAlign w:val="bottom"/>
          </w:tcPr>
          <w:p>
            <w:pPr>
              <w:spacing w:after="0"/>
              <w:rPr>
                <w:sz w:val="1"/>
                <w:szCs w:val="1"/>
                <w:color w:val="auto"/>
              </w:rPr>
            </w:pPr>
          </w:p>
        </w:tc>
      </w:tr>
      <w:tr>
        <w:trPr>
          <w:trHeight w:val="25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borrowings</w:t>
            </w: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92,377</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302,377</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93,598</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283,598</w:t>
            </w:r>
          </w:p>
        </w:tc>
        <w:tc>
          <w:tcPr>
            <w:tcW w:w="0" w:type="dxa"/>
            <w:vAlign w:val="bottom"/>
          </w:tcPr>
          <w:p>
            <w:pPr>
              <w:spacing w:after="0"/>
              <w:rPr>
                <w:sz w:val="1"/>
                <w:szCs w:val="1"/>
                <w:color w:val="auto"/>
              </w:rPr>
            </w:pPr>
          </w:p>
        </w:tc>
      </w:tr>
      <w:tr>
        <w:trPr>
          <w:trHeight w:val="242"/>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borrowings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307,263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288,484</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Unamortized debt issuance costs for the Company’s revolving credit facility of $798 and $895 as of March 31, 2025 and December 31, 2024, respectively, are presented under “Other current assets” and “Other assets,” as applicable in the consolidated balance sheets.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50"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The Company held a $300,000 revolving credit facility pursuant to its credit agreement (the “Credit Agreement”), dated as of November 21, 2017 with certain lenders and Citibank N.A. as Administrative Agent. This agreement was amended and restated in April 2022, followed by the First Amendment to Amended and Restated Credit Agreement in August 2024 (the “2024 Credit Agreement”). Among other things, the 2024 Credit Agreement increases revolving credit commitments to $500,000 and provides a new term loan facility of $100,000 with an annual repayment amount of 5%. The increased revolving credit facility and the new term loan facility both mature on April 18, 2027.</w:t>
      </w:r>
    </w:p>
    <w:p>
      <w:pPr>
        <w:spacing w:after="0" w:line="209"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Under the 2024 Credit Agreement, obligations bear interest at a rate equal to specified prime rate (alternate base rate) or the adjusted secured overnight financing rate (SOFR) specified therein, plus, in each case, an applicable margin, and are guaranteed by the Company’s wholly-owned material domestic subsidiaries and secured by all or substantially all of the Company’s and its material domestic subsidiaries’ assets. The revolving credit commitments are subject to a commitment fee. The 2024 Credit Agreement includes a letter of credit sub facility and is voluntarily pre-payable from time to time without premium or penalty. Borrowings under the revolving credit facility can be used for working capital and general corporate purposes, including permitted acquisitions.</w:t>
      </w:r>
    </w:p>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effective interest rates of the revolving credit facility and the term loan facility are as follows:</w:t>
      </w:r>
    </w:p>
    <w:p>
      <w:pPr>
        <w:spacing w:after="0" w:line="20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5" w:lineRule="exact"/>
        <w:rPr>
          <w:sz w:val="20"/>
          <w:szCs w:val="20"/>
          <w:color w:val="auto"/>
        </w:rPr>
      </w:pPr>
    </w:p>
    <w:tbl>
      <w:tblPr>
        <w:tblLayout w:type="fixed"/>
        <w:tblInd w:w="400" w:type="dxa"/>
        <w:tblCellMar>
          <w:top w:w="0" w:type="dxa"/>
          <w:left w:w="0" w:type="dxa"/>
          <w:bottom w:w="0" w:type="dxa"/>
          <w:right w:w="0" w:type="dxa"/>
        </w:tblCellMar>
      </w:tblPr>
      <w:tr>
        <w:trPr>
          <w:trHeight w:val="208"/>
        </w:trPr>
        <w:tc>
          <w:tcPr>
            <w:tcW w:w="544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940" w:type="dxa"/>
            <w:vAlign w:val="bottom"/>
            <w:tcBorders>
              <w:top w:val="single" w:sz="8" w:color="auto"/>
              <w:bottom w:val="single" w:sz="8" w:color="auto"/>
            </w:tcBorders>
          </w:tcPr>
          <w:p>
            <w:pPr>
              <w:jc w:val="right"/>
              <w:ind w:right="73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28"/>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March 31, 2025 and December 31, 2024, the Company was in compliance with the financial covenants under the 2024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maturity profile of the Company’s long-term borrowings, excluding debt issuance costs, outstanding as of March 31, 2025 was as follows:</w:t>
      </w:r>
    </w:p>
    <w:p>
      <w:pPr>
        <w:spacing w:after="0" w:line="282"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Revolving credit facility</w:t>
            </w:r>
          </w:p>
        </w:tc>
        <w:tc>
          <w:tcPr>
            <w:tcW w:w="280" w:type="dxa"/>
            <w:vAlign w:val="bottom"/>
          </w:tcPr>
          <w:p>
            <w:pPr>
              <w:spacing w:after="0"/>
              <w:rPr>
                <w:sz w:val="18"/>
                <w:szCs w:val="18"/>
                <w:color w:val="auto"/>
              </w:rPr>
            </w:pPr>
          </w:p>
        </w:tc>
        <w:tc>
          <w:tcPr>
            <w:tcW w:w="184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Term loan facility</w:t>
            </w:r>
          </w:p>
        </w:tc>
      </w:tr>
      <w:tr>
        <w:trPr>
          <w:trHeight w:val="21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(April 1 - December 31)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88,750</w:t>
            </w:r>
          </w:p>
        </w:tc>
      </w:tr>
      <w:tr>
        <w:trPr>
          <w:trHeight w:val="21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97,500</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63" w:lineRule="exact"/>
        <w:rPr>
          <w:sz w:val="20"/>
          <w:szCs w:val="20"/>
          <w:color w:val="auto"/>
        </w:rPr>
      </w:pPr>
    </w:p>
    <w:p>
      <w:pPr>
        <w:ind w:firstLine="394"/>
        <w:spacing w:after="0" w:line="331" w:lineRule="auto"/>
        <w:rPr>
          <w:sz w:val="20"/>
          <w:szCs w:val="20"/>
          <w:color w:val="auto"/>
        </w:rPr>
      </w:pPr>
      <w:r>
        <w:rPr>
          <w:rFonts w:ascii="Times New Roman" w:cs="Times New Roman" w:eastAsia="Times New Roman" w:hAnsi="Times New Roman"/>
          <w:sz w:val="16"/>
          <w:szCs w:val="16"/>
          <w:color w:val="auto"/>
        </w:rPr>
        <w:t>In the ordinary course of business, the Company provides standby letters of credit to third parties primarily for facility leases. As of March 31, 2025 and December 31, 2024, the Company had outstanding letters of credit of $741 and $761, respectively, that were not recognized in the consolidated balance sheets.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Capital Structure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one class of common stock outstanding.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52" w:lineRule="exact"/>
        <w:rPr>
          <w:sz w:val="20"/>
          <w:szCs w:val="20"/>
          <w:color w:val="auto"/>
        </w:rPr>
      </w:pPr>
    </w:p>
    <w:p>
      <w:pPr>
        <w:ind w:firstLine="434"/>
        <w:spacing w:after="0" w:line="253" w:lineRule="auto"/>
        <w:rPr>
          <w:sz w:val="20"/>
          <w:szCs w:val="20"/>
          <w:color w:val="auto"/>
        </w:rPr>
      </w:pPr>
      <w:r>
        <w:rPr>
          <w:rFonts w:ascii="Times New Roman" w:cs="Times New Roman" w:eastAsia="Times New Roman" w:hAnsi="Times New Roman"/>
          <w:sz w:val="18"/>
          <w:szCs w:val="18"/>
          <w:color w:val="auto"/>
        </w:rPr>
        <w:t>The Company purchased shares of its common stock from certain employees in connection with withholding tax payments related to the vesting of restricted stock units and performance-based restricted stock units, as below:</w:t>
      </w:r>
    </w:p>
    <w:p>
      <w:pPr>
        <w:spacing w:after="0" w:line="147"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 repurchased</w:t>
            </w:r>
          </w:p>
        </w:tc>
        <w:tc>
          <w:tcPr>
            <w:tcW w:w="1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200" w:type="dxa"/>
            <w:vAlign w:val="bottom"/>
          </w:tcPr>
          <w:p>
            <w:pPr>
              <w:spacing w:after="0"/>
              <w:rPr>
                <w:sz w:val="16"/>
                <w:szCs w:val="16"/>
                <w:color w:val="auto"/>
              </w:rPr>
            </w:pPr>
          </w:p>
        </w:tc>
        <w:tc>
          <w:tcPr>
            <w:tcW w:w="1580" w:type="dxa"/>
            <w:vAlign w:val="bottom"/>
          </w:tcPr>
          <w:p>
            <w:pPr>
              <w:jc w:val="center"/>
              <w:ind w:right="144"/>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0" w:type="dxa"/>
            <w:vAlign w:val="bottom"/>
          </w:tcPr>
          <w:p>
            <w:pPr>
              <w:spacing w:after="0"/>
              <w:rPr>
                <w:sz w:val="1"/>
                <w:szCs w:val="1"/>
                <w:color w:val="auto"/>
              </w:rPr>
            </w:pPr>
          </w:p>
        </w:tc>
      </w:tr>
      <w:tr>
        <w:trPr>
          <w:trHeight w:val="158"/>
        </w:trPr>
        <w:tc>
          <w:tcPr>
            <w:tcW w:w="526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17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purchase price per share</w:t>
            </w:r>
          </w:p>
        </w:tc>
        <w:tc>
          <w:tcPr>
            <w:tcW w:w="0" w:type="dxa"/>
            <w:vAlign w:val="bottom"/>
          </w:tcPr>
          <w:p>
            <w:pPr>
              <w:spacing w:after="0"/>
              <w:rPr>
                <w:sz w:val="1"/>
                <w:szCs w:val="1"/>
                <w:color w:val="auto"/>
              </w:rPr>
            </w:pPr>
          </w:p>
        </w:tc>
      </w:tr>
      <w:tr>
        <w:trPr>
          <w:trHeight w:val="133"/>
        </w:trPr>
        <w:tc>
          <w:tcPr>
            <w:tcW w:w="5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jc w:val="center"/>
              <w:ind w:right="144"/>
              <w:spacing w:after="0"/>
              <w:rPr>
                <w:sz w:val="20"/>
                <w:szCs w:val="20"/>
                <w:color w:val="auto"/>
              </w:rPr>
            </w:pP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4"/>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190,716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0" w:type="dxa"/>
            <w:vAlign w:val="bottom"/>
          </w:tcPr>
          <w:p>
            <w:pPr>
              <w:spacing w:after="0"/>
              <w:rPr>
                <w:sz w:val="1"/>
                <w:szCs w:val="1"/>
                <w:color w:val="auto"/>
              </w:rPr>
            </w:pPr>
          </w:p>
        </w:tc>
      </w:tr>
      <w:tr>
        <w:trPr>
          <w:trHeight w:val="228"/>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200,402</w:t>
            </w:r>
          </w:p>
        </w:tc>
        <w:tc>
          <w:tcPr>
            <w:tcW w:w="80" w:type="dxa"/>
            <w:vAlign w:val="bottom"/>
          </w:tcPr>
          <w:p>
            <w:pPr>
              <w:spacing w:after="0"/>
              <w:rPr>
                <w:sz w:val="19"/>
                <w:szCs w:val="19"/>
                <w:color w:val="auto"/>
              </w:rPr>
            </w:pPr>
          </w:p>
        </w:tc>
        <w:tc>
          <w:tcPr>
            <w:tcW w:w="5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firstLine="399"/>
        <w:spacing w:after="0" w:line="253" w:lineRule="auto"/>
        <w:tabs>
          <w:tab w:leader="none" w:pos="6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purchase price per share is based on the closing price of the Company’s common stock on the Nasdaq Global Select Market on the trading day prior to the applicable vesting date of the restricted stock units.</w:t>
      </w:r>
    </w:p>
    <w:p>
      <w:pPr>
        <w:spacing w:after="0" w:line="181" w:lineRule="exact"/>
        <w:rPr>
          <w:sz w:val="20"/>
          <w:szCs w:val="20"/>
          <w:color w:val="auto"/>
        </w:rPr>
      </w:pPr>
    </w:p>
    <w:p>
      <w:pPr>
        <w:jc w:val="both"/>
        <w:ind w:firstLine="434"/>
        <w:spacing w:after="0" w:line="253" w:lineRule="auto"/>
        <w:rPr>
          <w:sz w:val="20"/>
          <w:szCs w:val="20"/>
          <w:color w:val="auto"/>
        </w:rPr>
      </w:pPr>
      <w:r>
        <w:rPr>
          <w:rFonts w:ascii="Times New Roman" w:cs="Times New Roman" w:eastAsia="Times New Roman" w:hAnsi="Times New Roman"/>
          <w:sz w:val="18"/>
          <w:szCs w:val="18"/>
          <w:color w:val="auto"/>
        </w:rPr>
        <w:t>On October 5, 2021, the Company’s board of directors authorized a $300,000 (excluding excise tax) common stock repurchase program beginning January 1, 2022 (the “2022 Repurchase Program”), and terminated the 2019 Repurchase Program on December 31, 2021.</w:t>
      </w:r>
    </w:p>
    <w:p>
      <w:pPr>
        <w:spacing w:after="0" w:line="194"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On February 26, 2024, the Company’s board of directors authorized a $500,000 (excluding excise tax) common stock repurchase program beginning March 1, 2024 (the “2024 Repurchase Program”), and terminated the 2022 Repurchase Program on February 29, 2024.</w:t>
      </w:r>
    </w:p>
    <w:p>
      <w:pPr>
        <w:spacing w:after="0" w:line="195" w:lineRule="exact"/>
        <w:rPr>
          <w:sz w:val="20"/>
          <w:szCs w:val="20"/>
          <w:color w:val="auto"/>
        </w:rPr>
      </w:pPr>
    </w:p>
    <w:p>
      <w:pPr>
        <w:jc w:val="both"/>
        <w:ind w:firstLine="394"/>
        <w:spacing w:after="0" w:line="283" w:lineRule="auto"/>
        <w:rPr>
          <w:sz w:val="20"/>
          <w:szCs w:val="20"/>
          <w:color w:val="auto"/>
        </w:rPr>
      </w:pPr>
      <w:r>
        <w:rPr>
          <w:rFonts w:ascii="Times New Roman" w:cs="Times New Roman" w:eastAsia="Times New Roman" w:hAnsi="Times New Roman"/>
          <w:sz w:val="16"/>
          <w:szCs w:val="16"/>
          <w:color w:val="auto"/>
        </w:rPr>
        <w:t>On March 15, 2024, the Company entered into the 2024 ASR Agreement with Citibank to repurchase shares of its common stock for an aggregate purchase price of $125,000, as part of the Company’s 2024 Repurchase Program. Upon payment of the aggregate purchase price of $125,000, the Company received an initial delivery of 3,350,084 shares of its common stock at an initial price of $29.85 per share, representing 80% of the aggregate purchase price. The Company funded the repurchase with available cash on hand and borrowing from its revolving credit facility. The 2024 ASR Agreement was accounted for as a treasury stock transaction and forward stock purchase agreement indexed to the Company’s common stock. The forward stock purchase agreement was classified as an equity instrument under ASC Topic 815-40, Contracts in Entity's Own Equity and deemed to have a fair value of zero at the effective date. The prepayment of $25,000 was initially recorded in additional paid-in capital, which reflected the pending settlement of the 2024 ASR Agreement.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On July 19, 2024, upon final settlement of the 2024 ASR Agreement, the Company received 820,433 additional shares of its common stock based on a daily volume-weighted average price of $29.97 per share which were recorded as treasury stock at a fair market value of $33.96 per share, and $2,862 was recorded in additional paid-in capital.</w:t>
      </w:r>
    </w:p>
    <w:p>
      <w:pPr>
        <w:spacing w:after="0" w:line="192" w:lineRule="exact"/>
        <w:rPr>
          <w:sz w:val="20"/>
          <w:szCs w:val="20"/>
          <w:color w:val="auto"/>
        </w:rPr>
      </w:pPr>
    </w:p>
    <w:p>
      <w:pPr>
        <w:jc w:val="both"/>
        <w:ind w:firstLine="434"/>
        <w:spacing w:after="0"/>
        <w:rPr>
          <w:sz w:val="20"/>
          <w:szCs w:val="20"/>
          <w:color w:val="auto"/>
        </w:rPr>
      </w:pPr>
      <w:r>
        <w:rPr>
          <w:rFonts w:ascii="Times New Roman" w:cs="Times New Roman" w:eastAsia="Times New Roman" w:hAnsi="Times New Roman"/>
          <w:sz w:val="18"/>
          <w:szCs w:val="18"/>
          <w:color w:val="auto"/>
        </w:rPr>
        <w:t>Under the Company’s two repurchase programs, shares may be purchased by the Company from time to time from the open market and through private transactions, or otherwise, as determined by the Company’s management as market conditions warrant. Repurchases may be discontinued at any time by the management.</w:t>
      </w:r>
    </w:p>
    <w:p>
      <w:pPr>
        <w:spacing w:after="0" w:line="207"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The Company purchased shares of its common stock, for a total consideration including commissions but excluding excise tax, under its two repurchase programs, as below:</w:t>
      </w:r>
    </w:p>
    <w:p>
      <w:pPr>
        <w:spacing w:after="0" w:line="147"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 repurchased</w:t>
            </w:r>
          </w:p>
        </w:tc>
        <w:tc>
          <w:tcPr>
            <w:tcW w:w="1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200" w:type="dxa"/>
            <w:vAlign w:val="bottom"/>
          </w:tcPr>
          <w:p>
            <w:pPr>
              <w:spacing w:after="0"/>
              <w:rPr>
                <w:sz w:val="16"/>
                <w:szCs w:val="16"/>
                <w:color w:val="auto"/>
              </w:rPr>
            </w:pPr>
          </w:p>
        </w:tc>
        <w:tc>
          <w:tcPr>
            <w:tcW w:w="158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27"/>
        </w:trPr>
        <w:tc>
          <w:tcPr>
            <w:tcW w:w="526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1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purchase price per share</w:t>
            </w:r>
          </w:p>
        </w:tc>
        <w:tc>
          <w:tcPr>
            <w:tcW w:w="0" w:type="dxa"/>
            <w:vAlign w:val="bottom"/>
          </w:tcPr>
          <w:p>
            <w:pPr>
              <w:spacing w:after="0"/>
              <w:rPr>
                <w:sz w:val="1"/>
                <w:szCs w:val="1"/>
                <w:color w:val="auto"/>
              </w:rPr>
            </w:pPr>
          </w:p>
        </w:tc>
      </w:tr>
      <w:tr>
        <w:trPr>
          <w:trHeight w:val="83"/>
        </w:trPr>
        <w:tc>
          <w:tcPr>
            <w:tcW w:w="5260" w:type="dxa"/>
            <w:vAlign w:val="bottom"/>
            <w:tcBorders>
              <w:bottom w:val="single" w:sz="8" w:color="CCEEFF"/>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780" w:type="dxa"/>
            <w:vAlign w:val="bottom"/>
            <w:tcBorders>
              <w:bottom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175,063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0" w:type="dxa"/>
            <w:vAlign w:val="bottom"/>
          </w:tcPr>
          <w:p>
            <w:pPr>
              <w:spacing w:after="0"/>
              <w:rPr>
                <w:sz w:val="1"/>
                <w:szCs w:val="1"/>
                <w:color w:val="auto"/>
              </w:rPr>
            </w:pPr>
          </w:p>
        </w:tc>
      </w:tr>
      <w:tr>
        <w:trPr>
          <w:trHeight w:val="228"/>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3,976,818</w:t>
            </w:r>
          </w:p>
        </w:tc>
        <w:tc>
          <w:tcPr>
            <w:tcW w:w="80" w:type="dxa"/>
            <w:vAlign w:val="bottom"/>
          </w:tcPr>
          <w:p>
            <w:pPr>
              <w:spacing w:after="0"/>
              <w:rPr>
                <w:sz w:val="19"/>
                <w:szCs w:val="19"/>
                <w:color w:val="auto"/>
              </w:rPr>
            </w:pPr>
          </w:p>
        </w:tc>
        <w:tc>
          <w:tcPr>
            <w:tcW w:w="44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119,430</w:t>
            </w:r>
          </w:p>
        </w:tc>
        <w:tc>
          <w:tcPr>
            <w:tcW w:w="1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Repurchased shares have been recorded as treasury shares and will be held until the Company’s board of directors designates that these shares be retired or used for other purposes.</w:t>
      </w:r>
    </w:p>
    <w:p>
      <w:pPr>
        <w:spacing w:after="0" w:line="11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Pursuant to the Inflation Reduction Act, the Company is required to pay a 1% excise tax on the fair market value of each share of common stock repurchased, net of stock issuances. The Company recognized excise tax of $nil and $544 on repurchase of common stock as a part of cost of such repurchases for the three months ended March 31, 2025 and 2024,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Employee Benefit Plans</w:t>
      </w:r>
    </w:p>
    <w:p>
      <w:pPr>
        <w:spacing w:after="0" w:line="150" w:lineRule="exact"/>
        <w:rPr>
          <w:sz w:val="20"/>
          <w:szCs w:val="20"/>
          <w:color w:val="auto"/>
        </w:rPr>
      </w:pPr>
    </w:p>
    <w:p>
      <w:pPr>
        <w:jc w:val="both"/>
        <w:ind w:firstLine="434"/>
        <w:spacing w:after="0" w:line="233" w:lineRule="auto"/>
        <w:rPr>
          <w:sz w:val="20"/>
          <w:szCs w:val="20"/>
          <w:color w:val="auto"/>
        </w:rPr>
      </w:pPr>
      <w:r>
        <w:rPr>
          <w:rFonts w:ascii="Times New Roman" w:cs="Times New Roman" w:eastAsia="Times New Roman" w:hAnsi="Times New Roman"/>
          <w:sz w:val="18"/>
          <w:szCs w:val="18"/>
          <w:color w:val="auto"/>
        </w:rPr>
        <w:t>The Company’s Gratuity Plan in India (the “India Plan”) provides for a lump sum payment to vested employees on retirement or upon termination of employment in an amount based on the respective employee’s salary and years of employment with the Company. 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Liabilities with regard to the India Plan and the Philippines Plan are determined by actuarial valuation using the projected unit credit method. Current service costs for these plans are accrued in the year to which they relate. Actuarial gains or losses or prior service costs, if any, resulting from amendments to the plans are recognized and amortized over the remaining period of service of the employees.</w:t>
      </w:r>
    </w:p>
    <w:p>
      <w:pPr>
        <w:spacing w:after="0" w:line="289" w:lineRule="exact"/>
        <w:rPr>
          <w:sz w:val="20"/>
          <w:szCs w:val="20"/>
          <w:color w:val="auto"/>
        </w:rPr>
      </w:pPr>
    </w:p>
    <w:p>
      <w:pPr>
        <w:jc w:val="both"/>
        <w:ind w:firstLine="434"/>
        <w:spacing w:after="0" w:line="282" w:lineRule="auto"/>
        <w:rPr>
          <w:sz w:val="20"/>
          <w:szCs w:val="20"/>
          <w:color w:val="auto"/>
        </w:rPr>
      </w:pPr>
      <w:r>
        <w:rPr>
          <w:rFonts w:ascii="Times New Roman" w:cs="Times New Roman" w:eastAsia="Times New Roman" w:hAnsi="Times New Roman"/>
          <w:sz w:val="16"/>
          <w:szCs w:val="16"/>
          <w:color w:val="auto"/>
        </w:rPr>
        <w:t>The India Plan is partially funded whereas the Philippines Plan is unfunded. The Company makes annual contributions to the India Plan established with insurance companies. Fund managers manage these funds and calculate the annual contribution required to be made by the Company and manage the India Plan, including any required payouts. These funds are managed on a cash accumulation basis, inclusive of interest, which is declared periodically. The</w:t>
      </w:r>
    </w:p>
    <w:tbl>
      <w:tblPr>
        <w:tblLayout w:type="fixed"/>
        <w:tblInd w:w="0" w:type="dxa"/>
        <w:tblCellMar>
          <w:top w:w="0" w:type="dxa"/>
          <w:left w:w="0" w:type="dxa"/>
          <w:bottom w:w="0" w:type="dxa"/>
          <w:right w:w="0" w:type="dxa"/>
        </w:tblCellMar>
      </w:tblPr>
      <w:tr>
        <w:trPr>
          <w:trHeight w:val="228"/>
        </w:trPr>
        <w:tc>
          <w:tcPr>
            <w:tcW w:w="9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Company expects to earn  a return of approximately 7.0% per annum on the India Plan for the year ending on December 31, 2025.</w:t>
            </w:r>
          </w:p>
        </w:tc>
        <w:tc>
          <w:tcPr>
            <w:tcW w:w="600" w:type="dxa"/>
            <w:vAlign w:val="bottom"/>
          </w:tcPr>
          <w:p>
            <w:pPr>
              <w:spacing w:after="0"/>
              <w:rPr>
                <w:sz w:val="19"/>
                <w:szCs w:val="19"/>
                <w:color w:val="auto"/>
              </w:rPr>
            </w:pPr>
          </w:p>
        </w:tc>
      </w:tr>
      <w:tr>
        <w:trPr>
          <w:trHeight w:val="167"/>
        </w:trPr>
        <w:tc>
          <w:tcPr>
            <w:tcW w:w="44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23"/>
        </w:trPr>
        <w:tc>
          <w:tcPr>
            <w:tcW w:w="440" w:type="dxa"/>
            <w:vAlign w:val="bottom"/>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1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3"/>
        </w:trPr>
        <w:tc>
          <w:tcPr>
            <w:tcW w:w="44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 as of January 1, 2025</w:t>
            </w:r>
          </w:p>
        </w:tc>
        <w:tc>
          <w:tcPr>
            <w:tcW w:w="1320" w:type="dxa"/>
            <w:vAlign w:val="bottom"/>
          </w:tcPr>
          <w:p>
            <w:pPr>
              <w:jc w:val="right"/>
              <w:ind w:right="11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19,963</w:t>
            </w:r>
          </w:p>
        </w:tc>
      </w:tr>
      <w:tr>
        <w:trPr>
          <w:trHeight w:val="223"/>
        </w:trPr>
        <w:tc>
          <w:tcPr>
            <w:tcW w:w="440" w:type="dxa"/>
            <w:vAlign w:val="bottom"/>
          </w:tcPr>
          <w:p>
            <w:pPr>
              <w:spacing w:after="0"/>
              <w:rPr>
                <w:sz w:val="19"/>
                <w:szCs w:val="19"/>
                <w:color w:val="auto"/>
              </w:rPr>
            </w:pP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Actual return</w:t>
            </w:r>
          </w:p>
        </w:tc>
        <w:tc>
          <w:tcPr>
            <w:tcW w:w="1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3"/>
        </w:trPr>
        <w:tc>
          <w:tcPr>
            <w:tcW w:w="440" w:type="dxa"/>
            <w:vAlign w:val="bottom"/>
          </w:tcPr>
          <w:p>
            <w:pPr>
              <w:spacing w:after="0"/>
              <w:rPr>
                <w:sz w:val="19"/>
                <w:szCs w:val="19"/>
                <w:color w:val="auto"/>
              </w:rPr>
            </w:pP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Employer contribution</w:t>
            </w:r>
          </w:p>
        </w:tc>
        <w:tc>
          <w:tcPr>
            <w:tcW w:w="1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0" w:type="dxa"/>
            <w:vAlign w:val="bottom"/>
          </w:tcPr>
          <w:p>
            <w:pPr>
              <w:spacing w:after="0"/>
              <w:rPr>
                <w:sz w:val="19"/>
                <w:szCs w:val="19"/>
                <w:color w:val="auto"/>
              </w:rPr>
            </w:pP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Benefits paid</w:t>
            </w:r>
          </w:p>
        </w:tc>
        <w:tc>
          <w:tcPr>
            <w:tcW w:w="1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23"/>
        </w:trPr>
        <w:tc>
          <w:tcPr>
            <w:tcW w:w="440" w:type="dxa"/>
            <w:vAlign w:val="bottom"/>
          </w:tcPr>
          <w:p>
            <w:pPr>
              <w:spacing w:after="0"/>
              <w:rPr>
                <w:sz w:val="19"/>
                <w:szCs w:val="19"/>
                <w:color w:val="auto"/>
              </w:rPr>
            </w:pPr>
          </w:p>
        </w:tc>
        <w:tc>
          <w:tcPr>
            <w:tcW w:w="7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2"/>
        </w:trPr>
        <w:tc>
          <w:tcPr>
            <w:tcW w:w="440" w:type="dxa"/>
            <w:vAlign w:val="bottom"/>
          </w:tcPr>
          <w:p>
            <w:pPr>
              <w:spacing w:after="0"/>
              <w:rPr>
                <w:sz w:val="20"/>
                <w:szCs w:val="20"/>
                <w:color w:val="auto"/>
              </w:rPr>
            </w:pPr>
          </w:p>
        </w:tc>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as of March 31, 2025</w:t>
            </w:r>
          </w:p>
        </w:tc>
        <w:tc>
          <w:tcPr>
            <w:tcW w:w="1320" w:type="dxa"/>
            <w:vAlign w:val="bottom"/>
            <w:tcBorders>
              <w:bottom w:val="single" w:sz="8" w:color="auto"/>
            </w:tcBorders>
            <w:shd w:val="clear" w:color="auto" w:fill="CCEEFF"/>
          </w:tcPr>
          <w:p>
            <w:pPr>
              <w:jc w:val="right"/>
              <w:ind w:right="11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20,045</w:t>
            </w:r>
          </w:p>
        </w:tc>
      </w:tr>
      <w:tr>
        <w:trPr>
          <w:trHeight w:val="20"/>
        </w:trPr>
        <w:tc>
          <w:tcPr>
            <w:tcW w:w="440" w:type="dxa"/>
            <w:vAlign w:val="bottom"/>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Components of net periodic benefit costs recognized in unaudited consolidated statements of income and actuarial (gain)/loss reclassified from AOCI, were as follows:</w:t>
      </w:r>
    </w:p>
    <w:p>
      <w:pPr>
        <w:spacing w:after="0" w:line="171" w:lineRule="exact"/>
        <w:rPr>
          <w:sz w:val="20"/>
          <w:szCs w:val="20"/>
          <w:color w:val="auto"/>
        </w:rPr>
      </w:pPr>
    </w:p>
    <w:tbl>
      <w:tblPr>
        <w:tblLayout w:type="fixed"/>
        <w:tblInd w:w="1500" w:type="dxa"/>
        <w:tblCellMar>
          <w:top w:w="0" w:type="dxa"/>
          <w:left w:w="0" w:type="dxa"/>
          <w:bottom w:w="0" w:type="dxa"/>
          <w:right w:w="0" w:type="dxa"/>
        </w:tblCellMar>
      </w:tblPr>
      <w:tr>
        <w:trPr>
          <w:trHeight w:val="219"/>
        </w:trPr>
        <w:tc>
          <w:tcPr>
            <w:tcW w:w="5460" w:type="dxa"/>
            <w:vAlign w:val="bottom"/>
          </w:tcPr>
          <w:p>
            <w:pPr>
              <w:spacing w:after="0"/>
              <w:rPr>
                <w:sz w:val="19"/>
                <w:szCs w:val="19"/>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20" w:type="dxa"/>
            <w:vAlign w:val="bottom"/>
            <w:tcBorders>
              <w:bottom w:val="single" w:sz="8" w:color="auto"/>
            </w:tcBorders>
          </w:tcPr>
          <w:p>
            <w:pPr>
              <w:spacing w:after="0"/>
              <w:rPr>
                <w:sz w:val="19"/>
                <w:szCs w:val="19"/>
                <w:color w:val="auto"/>
              </w:rPr>
            </w:pPr>
          </w:p>
        </w:tc>
      </w:tr>
      <w:tr>
        <w:trPr>
          <w:trHeight w:val="209"/>
        </w:trPr>
        <w:tc>
          <w:tcPr>
            <w:tcW w:w="54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r>
      <w:tr>
        <w:trPr>
          <w:trHeight w:val="217"/>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0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2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3"/>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actuarial (gain)/loss, gross of tax</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42"/>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gratuity cost</w:t>
            </w: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91"/>
        </w:trPr>
        <w:tc>
          <w:tcPr>
            <w:tcW w:w="5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20" w:type="dxa"/>
            <w:vAlign w:val="bottom"/>
          </w:tcPr>
          <w:p>
            <w:pPr>
              <w:spacing w:after="0"/>
              <w:rPr>
                <w:sz w:val="7"/>
                <w:szCs w:val="7"/>
                <w:color w:val="auto"/>
              </w:rPr>
            </w:pPr>
          </w:p>
        </w:tc>
      </w:tr>
      <w:tr>
        <w:trPr>
          <w:trHeight w:val="22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actuarial (gain)/loss, gross of tax</w:t>
            </w:r>
          </w:p>
        </w:tc>
        <w:tc>
          <w:tcPr>
            <w:tcW w:w="100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3"/>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effects on above</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2"/>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actuarial (gain)/loss, net of tax</w:t>
            </w: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firstLine="434"/>
        <w:spacing w:after="0"/>
        <w:rPr>
          <w:sz w:val="20"/>
          <w:szCs w:val="20"/>
          <w:color w:val="auto"/>
        </w:rPr>
      </w:pPr>
      <w:r>
        <w:rPr>
          <w:rFonts w:ascii="Times New Roman" w:cs="Times New Roman" w:eastAsia="Times New Roman" w:hAnsi="Times New Roman"/>
          <w:sz w:val="18"/>
          <w:szCs w:val="18"/>
          <w:color w:val="auto"/>
        </w:rPr>
        <w:t>The Company maintains several 401(k) plans (the “401(k) Plans”) under Section 401(k) of the Internal Revenue Code of 1986, as amended (the “Code”), covering all eligible employees, as defined in the Code as a defined contribution plan. The Company may make discretionary contributions of up to a maximum of 3.0% of employee compensation within certain limits.</w:t>
      </w:r>
    </w:p>
    <w:p>
      <w:pPr>
        <w:spacing w:after="0" w:line="1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contributions to various defined contribution plans were as follows:</w:t>
      </w:r>
    </w:p>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6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3"/>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5"/>
        </w:trPr>
        <w:tc>
          <w:tcPr>
            <w:tcW w:w="6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to the 401(k) Plans</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4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r>
      <w:tr>
        <w:trPr>
          <w:trHeight w:val="171"/>
        </w:trPr>
        <w:tc>
          <w:tcPr>
            <w:tcW w:w="616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Contributions to the defined contribution plans in foreign subsidiaries of the</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3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7,785</w:t>
            </w:r>
          </w:p>
        </w:tc>
        <w:tc>
          <w:tcPr>
            <w:tcW w:w="4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Leases</w:t>
      </w:r>
    </w:p>
    <w:p>
      <w:pPr>
        <w:spacing w:after="0" w:line="163"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Company conducts its operations using facilities leased under operating lease agreements that expire at various dates. The Company finances its use of certain motor vehicles and other equipment under various lease arrangements provided by financial institutions. The lease agreements do not contain any covenants to impose any restrictions except for market-standard practice for similar lease arrangements.</w:t>
      </w:r>
    </w:p>
    <w:p>
      <w:pPr>
        <w:spacing w:after="0" w:line="111" w:lineRule="exact"/>
        <w:rPr>
          <w:sz w:val="20"/>
          <w:szCs w:val="20"/>
          <w:color w:val="auto"/>
        </w:rPr>
      </w:pPr>
    </w:p>
    <w:p>
      <w:pPr>
        <w:jc w:val="both"/>
        <w:ind w:firstLine="394"/>
        <w:spacing w:after="0" w:line="255" w:lineRule="auto"/>
        <w:rPr>
          <w:sz w:val="20"/>
          <w:szCs w:val="20"/>
          <w:color w:val="auto"/>
        </w:rPr>
      </w:pPr>
      <w:r>
        <w:rPr>
          <w:rFonts w:ascii="Times New Roman" w:cs="Times New Roman" w:eastAsia="Times New Roman" w:hAnsi="Times New Roman"/>
          <w:sz w:val="18"/>
          <w:szCs w:val="18"/>
          <w:color w:val="auto"/>
        </w:rPr>
        <w:t xml:space="preserve">The Company had performed an evaluation of its contracts with suppliers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 had determined that, except for leases for office facilities, motor vehicles and other equipment as described above, none of the Company’s contracts contain a lease.</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lease cost, which are included in the Company’s unaudited consolidated statements of income, are as follows:</w:t>
      </w:r>
    </w:p>
    <w:p>
      <w:pPr>
        <w:spacing w:after="0" w:line="203" w:lineRule="exact"/>
        <w:rPr>
          <w:sz w:val="20"/>
          <w:szCs w:val="20"/>
          <w:color w:val="auto"/>
        </w:rPr>
      </w:pPr>
    </w:p>
    <w:tbl>
      <w:tblPr>
        <w:tblLayout w:type="fixed"/>
        <w:tblInd w:w="620" w:type="dxa"/>
        <w:tblCellMar>
          <w:top w:w="0" w:type="dxa"/>
          <w:left w:w="0" w:type="dxa"/>
          <w:bottom w:w="0" w:type="dxa"/>
          <w:right w:w="0" w:type="dxa"/>
        </w:tblCellMar>
      </w:tblPr>
      <w:tr>
        <w:trPr>
          <w:trHeight w:val="211"/>
        </w:trPr>
        <w:tc>
          <w:tcPr>
            <w:tcW w:w="57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4"/>
          </w:tcPr>
          <w:p>
            <w:pPr>
              <w:jc w:val="right"/>
              <w:ind w:right="99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5"/>
        </w:trPr>
        <w:tc>
          <w:tcPr>
            <w:tcW w:w="57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4"/>
        </w:trPr>
        <w:tc>
          <w:tcPr>
            <w:tcW w:w="57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Finance lease:</w:t>
            </w:r>
          </w:p>
        </w:tc>
        <w:tc>
          <w:tcPr>
            <w:tcW w:w="5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23"/>
        </w:trPr>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on underlying ROU assets</w:t>
            </w:r>
          </w:p>
        </w:tc>
        <w:tc>
          <w:tcPr>
            <w:tcW w:w="5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7"/>
        </w:trPr>
        <w:tc>
          <w:tcPr>
            <w:tcW w:w="5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5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Operating lease </w:t>
            </w:r>
            <w:r>
              <w:rPr>
                <w:rFonts w:ascii="Times New Roman" w:cs="Times New Roman" w:eastAsia="Times New Roman" w:hAnsi="Times New Roman"/>
                <w:sz w:val="22"/>
                <w:szCs w:val="22"/>
                <w:b w:val="1"/>
                <w:bCs w:val="1"/>
                <w:color w:val="auto"/>
                <w:vertAlign w:val="superscript"/>
              </w:rPr>
              <w:t>(1)</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lease costs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Sublease income</w:t>
            </w: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5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6,437</w:t>
            </w:r>
          </w:p>
        </w:tc>
      </w:tr>
      <w:tr>
        <w:trPr>
          <w:trHeight w:val="20"/>
        </w:trPr>
        <w:tc>
          <w:tcPr>
            <w:tcW w:w="5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Includes short-term leases, which are immaterial.</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and other information related to leases are as follows: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211"/>
        </w:trPr>
        <w:tc>
          <w:tcPr>
            <w:tcW w:w="6760" w:type="dxa"/>
            <w:vAlign w:val="bottom"/>
          </w:tcPr>
          <w:p>
            <w:pPr>
              <w:spacing w:after="0"/>
              <w:rPr>
                <w:sz w:val="18"/>
                <w:szCs w:val="18"/>
                <w:color w:val="auto"/>
              </w:rPr>
            </w:pPr>
          </w:p>
        </w:tc>
        <w:tc>
          <w:tcPr>
            <w:tcW w:w="312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80" w:type="dxa"/>
            <w:vAlign w:val="bottom"/>
            <w:tcBorders>
              <w:bottom w:val="single" w:sz="8" w:color="auto"/>
            </w:tcBorders>
          </w:tcPr>
          <w:p>
            <w:pPr>
              <w:spacing w:after="0"/>
              <w:rPr>
                <w:sz w:val="18"/>
                <w:szCs w:val="18"/>
                <w:color w:val="auto"/>
              </w:rPr>
            </w:pPr>
          </w:p>
        </w:tc>
      </w:tr>
      <w:tr>
        <w:trPr>
          <w:trHeight w:val="205"/>
        </w:trPr>
        <w:tc>
          <w:tcPr>
            <w:tcW w:w="67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7"/>
                <w:szCs w:val="17"/>
                <w:color w:val="auto"/>
              </w:rPr>
            </w:pPr>
          </w:p>
        </w:tc>
      </w:tr>
      <w:tr>
        <w:trPr>
          <w:trHeight w:val="204"/>
        </w:trPr>
        <w:tc>
          <w:tcPr>
            <w:tcW w:w="67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Cash payments for amounts included in the measurement of lease liabilities :</w:t>
            </w:r>
          </w:p>
        </w:tc>
        <w:tc>
          <w:tcPr>
            <w:tcW w:w="1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3"/>
        </w:trPr>
        <w:tc>
          <w:tcPr>
            <w:tcW w:w="6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cash outflows for operating leases</w:t>
            </w:r>
          </w:p>
        </w:tc>
        <w:tc>
          <w:tcPr>
            <w:tcW w:w="112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80" w:type="dxa"/>
            <w:vAlign w:val="bottom"/>
          </w:tcPr>
          <w:p>
            <w:pPr>
              <w:spacing w:after="0"/>
              <w:rPr>
                <w:sz w:val="19"/>
                <w:szCs w:val="19"/>
                <w:color w:val="auto"/>
              </w:rPr>
            </w:pPr>
          </w:p>
        </w:tc>
        <w:tc>
          <w:tcPr>
            <w:tcW w:w="114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w:t>
            </w:r>
          </w:p>
        </w:tc>
      </w:tr>
      <w:tr>
        <w:trPr>
          <w:trHeight w:val="223"/>
        </w:trPr>
        <w:tc>
          <w:tcPr>
            <w:tcW w:w="6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cash outflows for finance leases</w:t>
            </w:r>
          </w:p>
        </w:tc>
        <w:tc>
          <w:tcPr>
            <w:tcW w:w="112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6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Financing cash outflows for finance leases</w:t>
            </w:r>
          </w:p>
        </w:tc>
        <w:tc>
          <w:tcPr>
            <w:tcW w:w="112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9"/>
                <w:szCs w:val="19"/>
                <w:color w:val="auto"/>
              </w:rPr>
            </w:pPr>
          </w:p>
        </w:tc>
        <w:tc>
          <w:tcPr>
            <w:tcW w:w="114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112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finance lease liabilities</w:t>
            </w:r>
          </w:p>
        </w:tc>
        <w:tc>
          <w:tcPr>
            <w:tcW w:w="112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19"/>
                <w:szCs w:val="19"/>
                <w:color w:val="auto"/>
              </w:rPr>
            </w:pPr>
          </w:p>
        </w:tc>
        <w:tc>
          <w:tcPr>
            <w:tcW w:w="114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3"/>
        </w:trPr>
        <w:tc>
          <w:tcPr>
            <w:tcW w:w="6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Finance lease</w:t>
            </w:r>
          </w:p>
        </w:tc>
        <w:tc>
          <w:tcPr>
            <w:tcW w:w="112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2.6 years</w:t>
            </w:r>
          </w:p>
        </w:tc>
        <w:tc>
          <w:tcPr>
            <w:tcW w:w="114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8"/>
              </w:rPr>
              <w:t>3.3 years</w:t>
            </w:r>
          </w:p>
        </w:tc>
      </w:tr>
      <w:tr>
        <w:trPr>
          <w:trHeight w:val="223"/>
        </w:trPr>
        <w:tc>
          <w:tcPr>
            <w:tcW w:w="6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w:t>
            </w:r>
          </w:p>
        </w:tc>
        <w:tc>
          <w:tcPr>
            <w:tcW w:w="1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4.8 years</w:t>
            </w: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8"/>
              </w:rPr>
              <w:t>5.3 years</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3"/>
        </w:trPr>
        <w:tc>
          <w:tcPr>
            <w:tcW w:w="6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Finance lease</w:t>
            </w:r>
          </w:p>
        </w:tc>
        <w:tc>
          <w:tcPr>
            <w:tcW w:w="1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14.9%</w:t>
            </w:r>
          </w:p>
        </w:tc>
      </w:tr>
      <w:tr>
        <w:trPr>
          <w:trHeight w:val="228"/>
        </w:trPr>
        <w:tc>
          <w:tcPr>
            <w:tcW w:w="6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w:t>
            </w:r>
          </w:p>
        </w:tc>
        <w:tc>
          <w:tcPr>
            <w:tcW w:w="112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w:t>
            </w:r>
          </w:p>
        </w:tc>
      </w:tr>
    </w:tbl>
    <w:p>
      <w:pPr>
        <w:spacing w:after="0" w:line="122" w:lineRule="exact"/>
        <w:rPr>
          <w:sz w:val="20"/>
          <w:szCs w:val="20"/>
          <w:color w:val="auto"/>
        </w:rPr>
      </w:pPr>
    </w:p>
    <w:p>
      <w:pPr>
        <w:jc w:val="both"/>
        <w:ind w:firstLine="434"/>
        <w:spacing w:after="0" w:line="237" w:lineRule="auto"/>
        <w:rPr>
          <w:sz w:val="20"/>
          <w:szCs w:val="20"/>
          <w:color w:val="auto"/>
        </w:rPr>
      </w:pPr>
      <w:r>
        <w:rPr>
          <w:rFonts w:ascii="Times New Roman" w:cs="Times New Roman" w:eastAsia="Times New Roman" w:hAnsi="Times New Roman"/>
          <w:sz w:val="18"/>
          <w:szCs w:val="18"/>
          <w:color w:val="auto"/>
        </w:rPr>
        <w:t>As part of the Company’s efforts to optimize its existing network of operations centers, the Company continued to evaluate its office facilities to determine where it can exit or consolidate its use of office space. The Company modified certain of its operating leases, resulting in a decrease in lease liabilities by $234 during the three months ended March 31, 2025 and an increase in lease liabilities by $3,228 during the three months ended March 31, 2024, with a corresponding adjustment to ROU assets.</w:t>
      </w:r>
    </w:p>
    <w:p>
      <w:pPr>
        <w:spacing w:after="0" w:line="14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As of March 31, 2025 and December 31, 2024, the Company did not have any significant leases that have not yet commenced but that create significant rights and obligations for the Company.</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Maturities of lease liabilities as of March 31, 2025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300" w:type="dxa"/>
            <w:vAlign w:val="bottom"/>
          </w:tcPr>
          <w:p>
            <w:pPr>
              <w:spacing w:after="0"/>
              <w:rPr>
                <w:sz w:val="18"/>
                <w:szCs w:val="18"/>
                <w:color w:val="auto"/>
              </w:rPr>
            </w:pPr>
          </w:p>
        </w:tc>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(April 1 - December 31)</w:t>
            </w:r>
          </w:p>
        </w:tc>
        <w:tc>
          <w:tcPr>
            <w:tcW w:w="28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28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0" w:type="dxa"/>
            <w:vAlign w:val="bottom"/>
          </w:tcPr>
          <w:p>
            <w:pPr>
              <w:spacing w:after="0"/>
              <w:rPr>
                <w:sz w:val="18"/>
                <w:szCs w:val="18"/>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8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00" w:type="dxa"/>
            <w:vAlign w:val="bottom"/>
          </w:tcPr>
          <w:p>
            <w:pPr>
              <w:spacing w:after="0"/>
              <w:rPr>
                <w:sz w:val="20"/>
                <w:szCs w:val="20"/>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8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CCEEFF"/>
            </w:tcBorders>
            <w:vMerge w:val="restart"/>
          </w:tcPr>
          <w:p>
            <w:pPr>
              <w:jc w:val="right"/>
              <w:ind w:right="1212"/>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9"/>
        </w:trPr>
        <w:tc>
          <w:tcPr>
            <w:tcW w:w="6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00" w:type="dxa"/>
            <w:vAlign w:val="bottom"/>
            <w:tcBorders>
              <w:bottom w:val="single" w:sz="8" w:color="9A9A9A"/>
            </w:tcBorders>
          </w:tcPr>
          <w:p>
            <w:pPr>
              <w:spacing w:after="0"/>
              <w:rPr>
                <w:sz w:val="9"/>
                <w:szCs w:val="9"/>
                <w:color w:val="auto"/>
              </w:rPr>
            </w:pPr>
          </w:p>
        </w:tc>
        <w:tc>
          <w:tcPr>
            <w:tcW w:w="3600" w:type="dxa"/>
            <w:vAlign w:val="bottom"/>
            <w:tcBorders>
              <w:bottom w:val="single" w:sz="8" w:color="9A9A9A"/>
            </w:tcBorders>
          </w:tcPr>
          <w:p>
            <w:pPr>
              <w:spacing w:after="0"/>
              <w:rPr>
                <w:sz w:val="9"/>
                <w:szCs w:val="9"/>
                <w:color w:val="auto"/>
              </w:rPr>
            </w:pPr>
          </w:p>
        </w:tc>
        <w:tc>
          <w:tcPr>
            <w:tcW w:w="28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Income Taxes</w:t>
      </w:r>
    </w:p>
    <w:p>
      <w:pPr>
        <w:spacing w:after="0" w:line="163"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Company determines the tax provision for interim periods using an estimate of its annual effective tax rate. Each quarter, the Company updates its estimate of annual effective tax rate, and if its estimated tax rate changes, the Company makes a cumulative adjustment.</w:t>
      </w:r>
    </w:p>
    <w:p>
      <w:pPr>
        <w:spacing w:after="0" w:line="116"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The effective tax rate decreased from 22.0% during the three months ended March 31, 2024 to 16.9% during the three months ended March 31, 2025. The Company recorded income tax expense of $13,496 and $13,753 for the three months ended March 31, 2025 and 2024, respectively. The decrease in income tax expense for the three months ended March 31, 2025 was primarily a result of higher excess tax benefits related to stock-based compensation, partially offset by higher profit and increase in non-deductible compensation expenses, compared to the three months ended March 31, 2024.</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Deferred income taxes recognized in OCI were as follows:</w:t>
      </w:r>
    </w:p>
    <w:p>
      <w:pPr>
        <w:spacing w:after="0" w:line="203"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5900" w:type="dxa"/>
            <w:vAlign w:val="bottom"/>
          </w:tcPr>
          <w:p>
            <w:pPr>
              <w:spacing w:after="0"/>
              <w:rPr>
                <w:sz w:val="18"/>
                <w:szCs w:val="18"/>
                <w:color w:val="auto"/>
              </w:rPr>
            </w:pPr>
          </w:p>
        </w:tc>
        <w:tc>
          <w:tcPr>
            <w:tcW w:w="3080" w:type="dxa"/>
            <w:vAlign w:val="bottom"/>
            <w:tcBorders>
              <w:bottom w:val="single" w:sz="8" w:color="auto"/>
            </w:tcBorders>
            <w:gridSpan w:val="4"/>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Borders>
              <w:bottom w:val="single" w:sz="8" w:color="auto"/>
            </w:tcBorders>
          </w:tcPr>
          <w:p>
            <w:pPr>
              <w:spacing w:after="0"/>
              <w:rPr>
                <w:sz w:val="18"/>
                <w:szCs w:val="18"/>
                <w:color w:val="auto"/>
              </w:rPr>
            </w:pPr>
          </w:p>
        </w:tc>
      </w:tr>
      <w:tr>
        <w:trPr>
          <w:trHeight w:val="205"/>
        </w:trPr>
        <w:tc>
          <w:tcPr>
            <w:tcW w:w="59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r>
      <w:tr>
        <w:trPr>
          <w:trHeight w:val="204"/>
        </w:trPr>
        <w:tc>
          <w:tcPr>
            <w:tcW w:w="59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Deferred taxes benefit / (expense) recognized on:</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gain/(loss) on cash flow hedges</w:t>
            </w:r>
          </w:p>
        </w:tc>
        <w:tc>
          <w:tcPr>
            <w:tcW w:w="1140" w:type="dxa"/>
            <w:vAlign w:val="bottom"/>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Pr>
          <w:p>
            <w:pPr>
              <w:spacing w:after="0"/>
              <w:rPr>
                <w:sz w:val="19"/>
                <w:szCs w:val="19"/>
                <w:color w:val="auto"/>
              </w:rPr>
            </w:pPr>
          </w:p>
        </w:tc>
        <w:tc>
          <w:tcPr>
            <w:tcW w:w="1200" w:type="dxa"/>
            <w:vAlign w:val="bottom"/>
          </w:tcPr>
          <w:p>
            <w:pPr>
              <w:jc w:val="right"/>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cash flow hedges</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retirement benefits</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17"/>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0"/>
        </w:trPr>
        <w:tc>
          <w:tcPr>
            <w:tcW w:w="59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Stock-Based Compensation</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Stock-based compensation expense by nature of function, as below, are included in the unaudited consolidated statements of income:</w:t>
      </w:r>
    </w:p>
    <w:p>
      <w:pPr>
        <w:spacing w:after="0" w:line="45"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5460" w:type="dxa"/>
            <w:vAlign w:val="bottom"/>
          </w:tcPr>
          <w:p>
            <w:pPr>
              <w:spacing w:after="0"/>
              <w:rPr>
                <w:sz w:val="18"/>
                <w:szCs w:val="18"/>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Borders>
              <w:bottom w:val="single" w:sz="8" w:color="auto"/>
            </w:tcBorders>
          </w:tcPr>
          <w:p>
            <w:pPr>
              <w:spacing w:after="0"/>
              <w:rPr>
                <w:sz w:val="18"/>
                <w:szCs w:val="18"/>
                <w:color w:val="auto"/>
              </w:rPr>
            </w:pPr>
          </w:p>
        </w:tc>
      </w:tr>
      <w:tr>
        <w:trPr>
          <w:trHeight w:val="205"/>
        </w:trPr>
        <w:tc>
          <w:tcPr>
            <w:tcW w:w="54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7"/>
                <w:szCs w:val="17"/>
                <w:color w:val="auto"/>
              </w:rPr>
            </w:pPr>
          </w:p>
        </w:tc>
      </w:tr>
      <w:tr>
        <w:trPr>
          <w:trHeight w:val="217"/>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w:t>
            </w: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w:t>
            </w:r>
          </w:p>
        </w:tc>
      </w:tr>
      <w:tr>
        <w:trPr>
          <w:trHeight w:val="217"/>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19,187</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17,852</w:t>
            </w:r>
          </w:p>
        </w:tc>
      </w:tr>
      <w:tr>
        <w:trPr>
          <w:trHeight w:val="39"/>
        </w:trPr>
        <w:tc>
          <w:tcPr>
            <w:tcW w:w="546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30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Income tax benefit related to stock-based compensation </w:t>
            </w:r>
            <w:r>
              <w:rPr>
                <w:rFonts w:ascii="Times New Roman" w:cs="Times New Roman" w:eastAsia="Times New Roman" w:hAnsi="Times New Roman"/>
                <w:sz w:val="22"/>
                <w:szCs w:val="22"/>
                <w:color w:val="auto"/>
                <w:vertAlign w:val="superscript"/>
              </w:rPr>
              <w:t>(1)</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100" w:type="dxa"/>
            <w:vAlign w:val="bottom"/>
          </w:tcPr>
          <w:p>
            <w:pPr>
              <w:spacing w:after="0"/>
              <w:rPr>
                <w:sz w:val="24"/>
                <w:szCs w:val="24"/>
                <w:color w:val="auto"/>
              </w:rPr>
            </w:pPr>
          </w:p>
        </w:tc>
        <w:tc>
          <w:tcPr>
            <w:tcW w:w="106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w:t>
            </w:r>
          </w:p>
        </w:tc>
      </w:tr>
    </w:tbl>
    <w:p>
      <w:pPr>
        <w:spacing w:after="0" w:line="221" w:lineRule="exact"/>
        <w:rPr>
          <w:sz w:val="20"/>
          <w:szCs w:val="20"/>
          <w:color w:val="auto"/>
        </w:rPr>
      </w:pPr>
    </w:p>
    <w:p>
      <w:pPr>
        <w:ind w:firstLine="439"/>
        <w:spacing w:after="0" w:line="238" w:lineRule="auto"/>
        <w:tabs>
          <w:tab w:leader="none" w:pos="6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$14,526 and $7,523 during the three months ended March 31, 2025 and 2024, respectively, related to discrete benefits recognized in income tax expense in accordance with ASU No. 2016-09, Compensation - Stock Compensation.</w:t>
      </w:r>
    </w:p>
    <w:p>
      <w:pPr>
        <w:spacing w:after="0" w:line="207" w:lineRule="exact"/>
        <w:rPr>
          <w:sz w:val="20"/>
          <w:szCs w:val="20"/>
          <w:color w:val="auto"/>
        </w:rPr>
      </w:pPr>
    </w:p>
    <w:p>
      <w:pPr>
        <w:ind w:firstLine="434"/>
        <w:spacing w:after="0" w:line="253" w:lineRule="auto"/>
        <w:rPr>
          <w:sz w:val="20"/>
          <w:szCs w:val="20"/>
          <w:color w:val="auto"/>
        </w:rPr>
      </w:pPr>
      <w:r>
        <w:rPr>
          <w:rFonts w:ascii="Times New Roman" w:cs="Times New Roman" w:eastAsia="Times New Roman" w:hAnsi="Times New Roman"/>
          <w:sz w:val="18"/>
          <w:szCs w:val="18"/>
          <w:color w:val="auto"/>
        </w:rPr>
        <w:t>As of March 31, 2025 and December 31, 2024, the Company had 549,764 and 1,813,592 shares, respectively, available for grant under the 2018 Omnibus Incentive Plan.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Stock option activity under the Company’s stock-based compensation plans is shown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60" w:type="dxa"/>
            <w:vAlign w:val="bottom"/>
          </w:tcPr>
          <w:p>
            <w:pPr>
              <w:spacing w:after="0"/>
              <w:rPr>
                <w:sz w:val="13"/>
                <w:szCs w:val="13"/>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Aggregate Intrinsic</w:t>
            </w:r>
          </w:p>
        </w:tc>
        <w:tc>
          <w:tcPr>
            <w:tcW w:w="214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Weighted Average Remaining</w:t>
            </w: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80" w:type="dxa"/>
            <w:vAlign w:val="bottom"/>
          </w:tcPr>
          <w:p>
            <w:pPr>
              <w:spacing w:after="0"/>
              <w:rPr>
                <w:sz w:val="16"/>
                <w:szCs w:val="16"/>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14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Contractual Life (Years)</w:t>
            </w:r>
          </w:p>
        </w:tc>
        <w:tc>
          <w:tcPr>
            <w:tcW w:w="0" w:type="dxa"/>
            <w:vAlign w:val="bottom"/>
          </w:tcPr>
          <w:p>
            <w:pPr>
              <w:spacing w:after="0"/>
              <w:rPr>
                <w:sz w:val="1"/>
                <w:szCs w:val="1"/>
                <w:color w:val="auto"/>
              </w:rPr>
            </w:pPr>
          </w:p>
        </w:tc>
      </w:tr>
      <w:tr>
        <w:trPr>
          <w:trHeight w:val="24"/>
        </w:trPr>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1,768,305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25,187</w:t>
            </w:r>
          </w:p>
        </w:tc>
        <w:tc>
          <w:tcPr>
            <w:tcW w:w="100" w:type="dxa"/>
            <w:vAlign w:val="bottom"/>
            <w:shd w:val="clear" w:color="auto" w:fill="CCEEFF"/>
          </w:tcPr>
          <w:p>
            <w:pPr>
              <w:spacing w:after="0"/>
              <w:rPr>
                <w:sz w:val="21"/>
                <w:szCs w:val="21"/>
                <w:color w:val="auto"/>
              </w:rPr>
            </w:pPr>
          </w:p>
        </w:tc>
        <w:tc>
          <w:tcPr>
            <w:tcW w:w="214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w w:val="97"/>
              </w:rPr>
              <w:t>8.5</w:t>
            </w:r>
          </w:p>
        </w:tc>
        <w:tc>
          <w:tcPr>
            <w:tcW w:w="0" w:type="dxa"/>
            <w:vAlign w:val="bottom"/>
          </w:tcPr>
          <w:p>
            <w:pPr>
              <w:spacing w:after="0"/>
              <w:rPr>
                <w:sz w:val="1"/>
                <w:szCs w:val="1"/>
                <w:color w:val="auto"/>
              </w:rPr>
            </w:pPr>
          </w:p>
        </w:tc>
      </w:tr>
      <w:tr>
        <w:trPr>
          <w:trHeight w:val="249"/>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1,768,305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140" w:type="dxa"/>
            <w:vAlign w:val="bottom"/>
            <w:tcBorders>
              <w:top w:val="single" w:sz="8" w:color="auto"/>
              <w:bottom w:val="single" w:sz="8" w:color="auto"/>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w w:val="97"/>
              </w:rPr>
              <w:t>8.2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at March 31, 2025</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4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425,265</w:t>
            </w:r>
          </w:p>
        </w:tc>
        <w:tc>
          <w:tcPr>
            <w:tcW w:w="12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30.14</w:t>
            </w:r>
          </w:p>
        </w:tc>
        <w:tc>
          <w:tcPr>
            <w:tcW w:w="120" w:type="dxa"/>
            <w:vAlign w:val="bottom"/>
          </w:tcPr>
          <w:p>
            <w:pPr>
              <w:spacing w:after="0"/>
              <w:rPr>
                <w:sz w:val="17"/>
                <w:szCs w:val="17"/>
                <w:color w:val="auto"/>
              </w:rPr>
            </w:pPr>
          </w:p>
        </w:tc>
        <w:tc>
          <w:tcPr>
            <w:tcW w:w="280" w:type="dxa"/>
            <w:vAlign w:val="bottom"/>
          </w:tcPr>
          <w:p>
            <w:pPr>
              <w:jc w:val="right"/>
              <w:ind w:right="97"/>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7,261</w:t>
            </w:r>
          </w:p>
        </w:tc>
        <w:tc>
          <w:tcPr>
            <w:tcW w:w="100" w:type="dxa"/>
            <w:vAlign w:val="bottom"/>
          </w:tcPr>
          <w:p>
            <w:pPr>
              <w:spacing w:after="0"/>
              <w:rPr>
                <w:sz w:val="17"/>
                <w:szCs w:val="17"/>
                <w:color w:val="auto"/>
              </w:rPr>
            </w:pPr>
          </w:p>
        </w:tc>
        <w:tc>
          <w:tcPr>
            <w:tcW w:w="2140" w:type="dxa"/>
            <w:vAlign w:val="bottom"/>
          </w:tcPr>
          <w:p>
            <w:pPr>
              <w:ind w:left="1900"/>
              <w:spacing w:after="0" w:line="201" w:lineRule="exact"/>
              <w:rPr>
                <w:sz w:val="20"/>
                <w:szCs w:val="20"/>
                <w:color w:val="auto"/>
              </w:rPr>
            </w:pPr>
            <w:r>
              <w:rPr>
                <w:rFonts w:ascii="Times New Roman" w:cs="Times New Roman" w:eastAsia="Times New Roman" w:hAnsi="Times New Roman"/>
                <w:sz w:val="18"/>
                <w:szCs w:val="18"/>
                <w:color w:val="auto"/>
                <w:w w:val="97"/>
              </w:rPr>
              <w:t>8.2</w:t>
            </w: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0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Weighted average grant date fair value of per unit of stock</w:t>
            </w:r>
          </w:p>
        </w:tc>
        <w:tc>
          <w:tcPr>
            <w:tcW w:w="320" w:type="dxa"/>
            <w:vAlign w:val="bottom"/>
            <w:shd w:val="clear" w:color="auto" w:fill="CCEEFF"/>
          </w:tcPr>
          <w:p>
            <w:pPr>
              <w:jc w:val="right"/>
              <w:ind w:right="141"/>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line="19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 granted during the period</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2025, unrecognized compensation cost of $11,998 is expected to be expensed over a weighted average period of 2.3 years.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Matching Program</w:t>
      </w:r>
    </w:p>
    <w:p>
      <w:pPr>
        <w:spacing w:after="0" w:line="163"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Under the Company’s 2018 Omnibus Incentive Plan (the “2018 Plan”), the Company established a share matching program (“SMP”) for executive officers and other specified employees. Under the SMP, the Company agreed to issue a number of restricted stock units equal to the number of newly acquired shares of the Company's common stock.</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Restricted stock unit activity under the SMP is shown below:</w:t>
      </w:r>
    </w:p>
    <w:p>
      <w:pPr>
        <w:spacing w:after="0" w:line="203"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5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Restricted Stock Units (SMP)</w:t>
            </w:r>
          </w:p>
        </w:tc>
        <w:tc>
          <w:tcPr>
            <w:tcW w:w="0" w:type="dxa"/>
            <w:vAlign w:val="bottom"/>
          </w:tcPr>
          <w:p>
            <w:pPr>
              <w:spacing w:after="0"/>
              <w:rPr>
                <w:sz w:val="1"/>
                <w:szCs w:val="1"/>
                <w:color w:val="auto"/>
              </w:rPr>
            </w:pPr>
          </w:p>
        </w:tc>
      </w:tr>
      <w:tr>
        <w:trPr>
          <w:trHeight w:val="153"/>
        </w:trPr>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40" w:type="dxa"/>
            <w:vAlign w:val="bottom"/>
          </w:tcPr>
          <w:p>
            <w:pPr>
              <w:spacing w:after="0"/>
              <w:rPr>
                <w:sz w:val="13"/>
                <w:szCs w:val="13"/>
                <w:color w:val="auto"/>
              </w:rPr>
            </w:pPr>
          </w:p>
        </w:tc>
        <w:tc>
          <w:tcPr>
            <w:tcW w:w="1780" w:type="dxa"/>
            <w:vAlign w:val="bottom"/>
          </w:tcPr>
          <w:p>
            <w:pPr>
              <w:jc w:val="right"/>
              <w:ind w:right="315"/>
              <w:spacing w:after="0" w:line="153"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27"/>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780" w:type="dxa"/>
            <w:vAlign w:val="bottom"/>
            <w:vMerge w:val="restart"/>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83"/>
        </w:trPr>
        <w:tc>
          <w:tcPr>
            <w:tcW w:w="524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23"/>
        </w:trPr>
        <w:tc>
          <w:tcPr>
            <w:tcW w:w="5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23"/>
        </w:trPr>
        <w:tc>
          <w:tcPr>
            <w:tcW w:w="5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firstLine="399"/>
        <w:spacing w:after="0" w:line="253" w:lineRule="auto"/>
        <w:tabs>
          <w:tab w:leader="none" w:pos="513"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As of March 31, 2025 and December 31, 2024 restricted stock units vested for which the underlying common stock is yet to be issued are 217,230 and 72,385,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Restricted stock unit activity under the Company’s stock-based compensation plans is shown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80" w:type="dxa"/>
            <w:vAlign w:val="bottom"/>
            <w:gridSpan w:val="5"/>
          </w:tcPr>
          <w:p>
            <w:pPr>
              <w:jc w:val="center"/>
              <w:ind w:right="1000"/>
              <w:spacing w:after="0"/>
              <w:rPr>
                <w:sz w:val="20"/>
                <w:szCs w:val="20"/>
                <w:color w:val="auto"/>
              </w:rPr>
            </w:pPr>
            <w:r>
              <w:rPr>
                <w:rFonts w:ascii="Times New Roman" w:cs="Times New Roman" w:eastAsia="Times New Roman" w:hAnsi="Times New Roman"/>
                <w:sz w:val="16"/>
                <w:szCs w:val="16"/>
                <w:b w:val="1"/>
                <w:bCs w:val="1"/>
                <w:color w:val="auto"/>
                <w:w w:val="99"/>
              </w:rPr>
              <w:t>Restricted Stock Units</w:t>
            </w:r>
          </w:p>
        </w:tc>
        <w:tc>
          <w:tcPr>
            <w:tcW w:w="0" w:type="dxa"/>
            <w:vAlign w:val="bottom"/>
          </w:tcPr>
          <w:p>
            <w:pPr>
              <w:spacing w:after="0"/>
              <w:rPr>
                <w:sz w:val="1"/>
                <w:szCs w:val="1"/>
                <w:color w:val="auto"/>
              </w:rPr>
            </w:pPr>
          </w:p>
        </w:tc>
      </w:tr>
      <w:tr>
        <w:trPr>
          <w:trHeight w:val="153"/>
        </w:trPr>
        <w:tc>
          <w:tcPr>
            <w:tcW w:w="100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2"/>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6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jc w:val="center"/>
              <w:ind w:right="175"/>
              <w:spacing w:after="0" w:line="153" w:lineRule="exact"/>
              <w:rPr>
                <w:sz w:val="20"/>
                <w:szCs w:val="20"/>
                <w:color w:val="auto"/>
              </w:rPr>
            </w:pPr>
            <w:r>
              <w:rPr>
                <w:rFonts w:ascii="Times New Roman" w:cs="Times New Roman" w:eastAsia="Times New Roman" w:hAnsi="Times New Roman"/>
                <w:sz w:val="16"/>
                <w:szCs w:val="16"/>
                <w:b w:val="1"/>
                <w:bCs w:val="1"/>
                <w:color w:val="auto"/>
                <w:w w:val="96"/>
              </w:rPr>
              <w:t>Weighted Average</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00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2760" w:type="dxa"/>
            <w:vAlign w:val="bottom"/>
            <w:gridSpan w:val="2"/>
            <w:vMerge w:val="restart"/>
          </w:tcPr>
          <w:p>
            <w:pPr>
              <w:jc w:val="center"/>
              <w:ind w:right="1260"/>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0" w:type="dxa"/>
            <w:vAlign w:val="bottom"/>
          </w:tcPr>
          <w:p>
            <w:pPr>
              <w:spacing w:after="0"/>
              <w:rPr>
                <w:sz w:val="1"/>
                <w:szCs w:val="1"/>
                <w:color w:val="auto"/>
              </w:rPr>
            </w:pPr>
          </w:p>
        </w:tc>
      </w:tr>
      <w:tr>
        <w:trPr>
          <w:trHeight w:val="83"/>
        </w:trPr>
        <w:tc>
          <w:tcPr>
            <w:tcW w:w="10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3,240,200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3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3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701,126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3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Vested*</w:t>
            </w:r>
          </w:p>
        </w:tc>
        <w:tc>
          <w:tcPr>
            <w:tcW w:w="3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(1,184,944)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3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3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000" w:type="dxa"/>
            <w:vAlign w:val="bottom"/>
          </w:tcPr>
          <w:p>
            <w:pPr>
              <w:spacing w:after="0"/>
              <w:rPr>
                <w:sz w:val="20"/>
                <w:szCs w:val="20"/>
                <w:color w:val="auto"/>
              </w:rPr>
            </w:pPr>
          </w:p>
        </w:tc>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2,743,823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jc w:val="right"/>
              <w:ind w:right="432"/>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9"/>
        </w:trPr>
        <w:tc>
          <w:tcPr>
            <w:tcW w:w="1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00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firstLine="399"/>
        <w:spacing w:after="0" w:line="253" w:lineRule="auto"/>
        <w:tabs>
          <w:tab w:leader="none" w:pos="51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As of March 31, 2025 and December 31, 2024 restricted stock units vested for which the underlying common stock is yet to be issued are 291,520 and 289,547, respectively.</w:t>
      </w:r>
    </w:p>
    <w:p>
      <w:pPr>
        <w:spacing w:after="0" w:line="129" w:lineRule="exact"/>
        <w:rPr>
          <w:sz w:val="20"/>
          <w:szCs w:val="20"/>
          <w:color w:val="auto"/>
        </w:rPr>
      </w:pPr>
    </w:p>
    <w:p>
      <w:pPr>
        <w:ind w:right="1020" w:firstLine="434"/>
        <w:spacing w:after="0" w:line="419" w:lineRule="auto"/>
        <w:rPr>
          <w:sz w:val="20"/>
          <w:szCs w:val="20"/>
          <w:color w:val="auto"/>
        </w:rPr>
      </w:pPr>
      <w:r>
        <w:rPr>
          <w:rFonts w:ascii="Times New Roman" w:cs="Times New Roman" w:eastAsia="Times New Roman" w:hAnsi="Times New Roman"/>
          <w:sz w:val="18"/>
          <w:szCs w:val="18"/>
          <w:color w:val="auto"/>
        </w:rPr>
        <w:t xml:space="preserve">As of March 31, 2025, unrecognized compensation cost of $89,438 is expected to be expensed over a weighted average period of 3.0 years. </w:t>
      </w:r>
      <w:r>
        <w:rPr>
          <w:rFonts w:ascii="Times New Roman" w:cs="Times New Roman" w:eastAsia="Times New Roman" w:hAnsi="Times New Roman"/>
          <w:sz w:val="18"/>
          <w:szCs w:val="18"/>
          <w:b w:val="1"/>
          <w:bCs w:val="1"/>
          <w:color w:val="auto"/>
        </w:rPr>
        <w:t>Performance-Based Stock Awards</w:t>
      </w:r>
    </w:p>
    <w:p>
      <w:pPr>
        <w:jc w:val="both"/>
        <w:ind w:firstLine="394"/>
        <w:spacing w:after="0" w:line="235" w:lineRule="auto"/>
        <w:rPr>
          <w:sz w:val="20"/>
          <w:szCs w:val="20"/>
          <w:color w:val="auto"/>
        </w:rPr>
      </w:pPr>
      <w:r>
        <w:rPr>
          <w:rFonts w:ascii="Times New Roman" w:cs="Times New Roman" w:eastAsia="Times New Roman" w:hAnsi="Times New Roman"/>
          <w:sz w:val="18"/>
          <w:szCs w:val="18"/>
          <w:color w:val="auto"/>
        </w:rPr>
        <w:t>Under the 2018 Plan, the Company grants performance-based restricted stock units (“PRSUs”) to executive officers and other specified employees. During the three months ended March 31, 2025, the Company granted 40% of each award recipient’s equity grants in the form of PRSUs that cliff vest at the end of a three-year period based on an aggregated revenue target for a three-year period (“PU”). The remaining 60% of each award recipient’s equity grants are PRSUs that are based on market conditions, contingent on the Company's meeting a total shareholder return relative to a group of peer companies specified under the 2018 Plan, and are measured over a three-year performance period (“MU”).</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PRSU activity under the Company’s stock plans is shown below:</w:t>
      </w: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211"/>
        </w:trPr>
        <w:tc>
          <w:tcPr>
            <w:tcW w:w="3840" w:type="dxa"/>
            <w:vAlign w:val="bottom"/>
          </w:tcPr>
          <w:p>
            <w:pPr>
              <w:spacing w:after="0"/>
              <w:rPr>
                <w:sz w:val="18"/>
                <w:szCs w:val="18"/>
                <w:color w:val="auto"/>
              </w:rPr>
            </w:pPr>
          </w:p>
        </w:tc>
        <w:tc>
          <w:tcPr>
            <w:tcW w:w="290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Revenue Based PRSUs</w:t>
            </w:r>
          </w:p>
        </w:tc>
        <w:tc>
          <w:tcPr>
            <w:tcW w:w="288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Market Condition Based PRSUs</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13"/>
                <w:szCs w:val="13"/>
                <w:color w:val="auto"/>
              </w:rPr>
            </w:pPr>
          </w:p>
        </w:tc>
        <w:tc>
          <w:tcPr>
            <w:tcW w:w="1260" w:type="dxa"/>
            <w:vAlign w:val="bottom"/>
            <w:tcBorders>
              <w:top w:val="single" w:sz="8" w:color="auto"/>
            </w:tcBorders>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75"/>
              <w:spacing w:after="0" w:line="153" w:lineRule="exact"/>
              <w:rPr>
                <w:sz w:val="20"/>
                <w:szCs w:val="20"/>
                <w:color w:val="auto"/>
              </w:rPr>
            </w:pPr>
            <w:r>
              <w:rPr>
                <w:rFonts w:ascii="Times New Roman" w:cs="Times New Roman" w:eastAsia="Times New Roman" w:hAnsi="Times New Roman"/>
                <w:sz w:val="16"/>
                <w:szCs w:val="16"/>
                <w:b w:val="1"/>
                <w:bCs w:val="1"/>
                <w:color w:val="auto"/>
                <w:w w:val="96"/>
              </w:rPr>
              <w:t>Weighted Average</w:t>
            </w:r>
          </w:p>
        </w:tc>
        <w:tc>
          <w:tcPr>
            <w:tcW w:w="100" w:type="dxa"/>
            <w:vAlign w:val="bottom"/>
          </w:tcPr>
          <w:p>
            <w:pPr>
              <w:spacing w:after="0"/>
              <w:rPr>
                <w:sz w:val="13"/>
                <w:szCs w:val="13"/>
                <w:color w:val="auto"/>
              </w:rPr>
            </w:pPr>
          </w:p>
        </w:tc>
        <w:tc>
          <w:tcPr>
            <w:tcW w:w="1340" w:type="dxa"/>
            <w:vAlign w:val="bottom"/>
            <w:tcBorders>
              <w:top w:val="single" w:sz="8" w:color="auto"/>
            </w:tcBorders>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75"/>
              <w:spacing w:after="0" w:line="153" w:lineRule="exact"/>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0" w:type="dxa"/>
            <w:vAlign w:val="bottom"/>
          </w:tcPr>
          <w:p>
            <w:pPr>
              <w:spacing w:after="0"/>
              <w:rPr>
                <w:sz w:val="1"/>
                <w:szCs w:val="1"/>
                <w:color w:val="auto"/>
              </w:rPr>
            </w:pPr>
          </w:p>
        </w:tc>
      </w:tr>
      <w:tr>
        <w:trPr>
          <w:trHeight w:val="209"/>
        </w:trPr>
        <w:tc>
          <w:tcPr>
            <w:tcW w:w="38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1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7"/>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537,944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0" w:type="dxa"/>
            <w:vAlign w:val="bottom"/>
          </w:tcPr>
          <w:p>
            <w:pPr>
              <w:spacing w:after="0"/>
              <w:rPr>
                <w:sz w:val="1"/>
                <w:szCs w:val="1"/>
                <w:color w:val="auto"/>
              </w:rPr>
            </w:pPr>
          </w:p>
        </w:tc>
      </w:tr>
      <w:tr>
        <w:trPr>
          <w:trHeight w:val="242"/>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1020" w:firstLine="434"/>
        <w:spacing w:after="0" w:line="426" w:lineRule="auto"/>
        <w:rPr>
          <w:sz w:val="20"/>
          <w:szCs w:val="20"/>
          <w:color w:val="auto"/>
        </w:rPr>
      </w:pPr>
      <w:r>
        <w:rPr>
          <w:rFonts w:ascii="Times New Roman" w:cs="Times New Roman" w:eastAsia="Times New Roman" w:hAnsi="Times New Roman"/>
          <w:sz w:val="18"/>
          <w:szCs w:val="18"/>
          <w:color w:val="auto"/>
        </w:rPr>
        <w:t xml:space="preserve">As of March 31, 2025, unrecognized compensation cost of $41,380 is expected to be expensed over a weighted average period of 2.1 years. </w:t>
      </w:r>
      <w:r>
        <w:rPr>
          <w:rFonts w:ascii="Times New Roman" w:cs="Times New Roman" w:eastAsia="Times New Roman" w:hAnsi="Times New Roman"/>
          <w:sz w:val="18"/>
          <w:szCs w:val="18"/>
          <w:b w:val="1"/>
          <w:bCs w:val="1"/>
          <w:color w:val="auto"/>
        </w:rPr>
        <w:t>Employee Stock Purchase Plan</w:t>
      </w:r>
    </w:p>
    <w:p>
      <w:pPr>
        <w:spacing w:after="0" w:line="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On June 21, 2022, at the annual meeting of stockholders of the Company, the Company’s stockholders approved the ExlService Holdings, Inc. 2022 Employee Stock Purchase Plan (the “2022 ESPP”).</w:t>
      </w:r>
    </w:p>
    <w:p>
      <w:pPr>
        <w:spacing w:after="0" w:line="116"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The 2022 ESPP allows eligible employees to purchase the Company’s shares of common stock through payroll deductions at a pre-specified discount to the lower of closing price of the Company’s common shares on the date of offering or the last business day of each purchase interval. The dollar amount of shares of common stock that can be purchased under the 2022 ESPP must not exceed 15% of the participating employee’s compensation during the offering period, subject to a cap of $25 per employee per calendar year. The Company has reserved 4,000,000 shares of common stock for issuance under the 2022 ESPP.</w:t>
      </w: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sixth offering period under the 2022 ESPP commenced on January 1, 2025 with a term of six months.</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Activity under the Company’s 2022 ESPP is shown below:</w:t>
      </w:r>
    </w:p>
    <w:p>
      <w:pPr>
        <w:spacing w:after="0" w:line="265" w:lineRule="exact"/>
        <w:rPr>
          <w:sz w:val="20"/>
          <w:szCs w:val="20"/>
          <w:color w:val="auto"/>
        </w:rPr>
      </w:pPr>
    </w:p>
    <w:tbl>
      <w:tblPr>
        <w:tblLayout w:type="fixed"/>
        <w:tblInd w:w="560" w:type="dxa"/>
        <w:tblCellMar>
          <w:top w:w="0" w:type="dxa"/>
          <w:left w:w="0" w:type="dxa"/>
          <w:bottom w:w="0" w:type="dxa"/>
          <w:right w:w="0" w:type="dxa"/>
        </w:tblCellMar>
      </w:tblPr>
      <w:tr>
        <w:trPr>
          <w:trHeight w:val="204"/>
        </w:trPr>
        <w:tc>
          <w:tcPr>
            <w:tcW w:w="6840" w:type="dxa"/>
            <w:vAlign w:val="bottom"/>
            <w:tcBorders>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80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Total Proceeds Received</w:t>
            </w: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as of December 31,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3,672,744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3"/>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Issuance of common stock made during the fifth offering period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64,939</w:t>
            </w:r>
          </w:p>
        </w:tc>
        <w:tc>
          <w:tcPr>
            <w:tcW w:w="26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1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as of March 31,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3,607,805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08"/>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 received for the sixth offering period up to March 31, 2025</w:t>
            </w:r>
          </w:p>
        </w:tc>
        <w:tc>
          <w:tcPr>
            <w:tcW w:w="15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Related Party Disclosures</w:t>
      </w:r>
    </w:p>
    <w:p>
      <w:pPr>
        <w:spacing w:after="0" w:line="150" w:lineRule="exact"/>
        <w:rPr>
          <w:sz w:val="20"/>
          <w:szCs w:val="20"/>
          <w:color w:val="auto"/>
        </w:rPr>
      </w:pPr>
    </w:p>
    <w:p>
      <w:pPr>
        <w:jc w:val="both"/>
        <w:ind w:firstLine="434"/>
        <w:spacing w:after="0" w:line="241" w:lineRule="auto"/>
        <w:rPr>
          <w:sz w:val="20"/>
          <w:szCs w:val="20"/>
          <w:color w:val="auto"/>
        </w:rPr>
      </w:pPr>
      <w:r>
        <w:rPr>
          <w:rFonts w:ascii="Times New Roman" w:cs="Times New Roman" w:eastAsia="Times New Roman" w:hAnsi="Times New Roman"/>
          <w:sz w:val="18"/>
          <w:szCs w:val="18"/>
          <w:color w:val="auto"/>
        </w:rPr>
        <w:t>In April 2022, the Company entered into a service contract for providing data and AI-led services to The Vanguard Group Inc., which reported that it beneficially owns approximately 10% of the Company’s common stock as of December 31, 2024. During the three months ended March 31, 2025 and 2024, the Company recognized revenues, net of $nil and $166, respectively, related to this service contract. The Company had outstanding accounts receivable, net of $nil and $124, related to this service contract as of March 31, 2025 and December 31, 2024, respectively.</w:t>
      </w:r>
    </w:p>
    <w:p>
      <w:pPr>
        <w:spacing w:after="0" w:line="207" w:lineRule="exact"/>
        <w:rPr>
          <w:sz w:val="20"/>
          <w:szCs w:val="20"/>
          <w:color w:val="auto"/>
        </w:rPr>
      </w:pPr>
    </w:p>
    <w:p>
      <w:pPr>
        <w:jc w:val="both"/>
        <w:ind w:firstLine="434"/>
        <w:spacing w:after="0" w:line="226" w:lineRule="auto"/>
        <w:rPr>
          <w:sz w:val="20"/>
          <w:szCs w:val="20"/>
          <w:color w:val="auto"/>
        </w:rPr>
      </w:pPr>
      <w:r>
        <w:rPr>
          <w:rFonts w:ascii="Times New Roman" w:cs="Times New Roman" w:eastAsia="Times New Roman" w:hAnsi="Times New Roman"/>
          <w:sz w:val="18"/>
          <w:szCs w:val="18"/>
          <w:color w:val="auto"/>
        </w:rPr>
        <w:t>In February 2024, the Company entered into a service contract for providing data and AI-led services to Corridor Platforms, Inc., which is an equity affiliate of the Company. During the three months ended March 31, 2025 and 2024, the Company recognized revenues, net of $42 and $151, respectively, related to this service contract. The Company had outstanding accounts receivable, net of $14 and $56, related to this service contract as of March 31, 2025 and December 31, 2024, respectively.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Commitments and Contingencies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Commitments</w:t>
      </w:r>
    </w:p>
    <w:p>
      <w:pPr>
        <w:spacing w:after="0" w:line="165" w:lineRule="exact"/>
        <w:rPr>
          <w:sz w:val="20"/>
          <w:szCs w:val="20"/>
          <w:color w:val="auto"/>
        </w:rPr>
      </w:pPr>
    </w:p>
    <w:p>
      <w:pPr>
        <w:jc w:val="both"/>
        <w:ind w:firstLine="434"/>
        <w:spacing w:after="0" w:line="331" w:lineRule="auto"/>
        <w:rPr>
          <w:sz w:val="20"/>
          <w:szCs w:val="20"/>
          <w:color w:val="auto"/>
        </w:rPr>
      </w:pPr>
      <w:r>
        <w:rPr>
          <w:rFonts w:ascii="Times New Roman" w:cs="Times New Roman" w:eastAsia="Times New Roman" w:hAnsi="Times New Roman"/>
          <w:sz w:val="16"/>
          <w:szCs w:val="16"/>
          <w:color w:val="auto"/>
        </w:rPr>
        <w:t>As of March 31, 2025, the Company had committed to spend approximately $10,300 under agreements to purchase property and equipment. This amount is net of capital advances paid which are recognized in unaudited consolidated balance sheets as “Capital work in progress” under “Property and equipment.”</w:t>
      </w:r>
    </w:p>
    <w:p>
      <w:pPr>
        <w:spacing w:after="0" w:line="71"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On June 15, 2023, the Company, along with other limited partners, entered into a limited partnership agreement with the general partner, PNP Financial Services Fund GP I, LLC and initial limited partner and outgoing partner, to form a partnership with the name Plug and Play Financial Services Fund I, L.P. (the “Partnership”) for the primary purpose of making investments in growth-stage technology companies. The Company committed to make an aggregate investment of $4,000 in the Partnership. As of March 31, 2025, the Company has invested $1,800 in the Partnership and is committed to make further investments up to an amount of $2,200.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52" w:lineRule="exact"/>
        <w:rPr>
          <w:sz w:val="20"/>
          <w:szCs w:val="20"/>
          <w:color w:val="auto"/>
        </w:rPr>
      </w:pPr>
    </w:p>
    <w:p>
      <w:pPr>
        <w:jc w:val="both"/>
        <w:ind w:firstLine="434"/>
        <w:spacing w:after="0" w:line="232" w:lineRule="auto"/>
        <w:rPr>
          <w:sz w:val="20"/>
          <w:szCs w:val="20"/>
          <w:color w:val="auto"/>
        </w:rPr>
      </w:pPr>
      <w:r>
        <w:rPr>
          <w:rFonts w:ascii="Times New Roman" w:cs="Times New Roman" w:eastAsia="Times New Roman" w:hAnsi="Times New Roman"/>
          <w:sz w:val="18"/>
          <w:szCs w:val="18"/>
          <w:color w:val="auto"/>
        </w:rPr>
        <w:t>Certain units of the Company’s Indian subsidiaries were established as 100% Export-Oriented units or under the Software Technology Parks of India or Special Economic Zone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 believes, however, that these units have in the past satisfied, and will continue to satisfy, the required conditions.</w:t>
      </w:r>
    </w:p>
    <w:p>
      <w:pPr>
        <w:spacing w:after="0" w:line="209" w:lineRule="exact"/>
        <w:rPr>
          <w:sz w:val="20"/>
          <w:szCs w:val="20"/>
          <w:color w:val="auto"/>
        </w:rPr>
      </w:pPr>
    </w:p>
    <w:p>
      <w:pPr>
        <w:jc w:val="both"/>
        <w:ind w:firstLine="434"/>
        <w:spacing w:after="0" w:line="285" w:lineRule="auto"/>
        <w:rPr>
          <w:sz w:val="20"/>
          <w:szCs w:val="20"/>
          <w:color w:val="auto"/>
        </w:rPr>
      </w:pPr>
      <w:r>
        <w:rPr>
          <w:rFonts w:ascii="Times New Roman" w:cs="Times New Roman" w:eastAsia="Times New Roman" w:hAnsi="Times New Roman"/>
          <w:sz w:val="16"/>
          <w:szCs w:val="16"/>
          <w:color w:val="auto"/>
        </w:rPr>
        <w:t>The Company’s operations centers in the Philippines are registered as qualified Philippines Economic Zone Authority units, which provides the Company fiscal incentives on the import of capital goods and local purchase of services and materials. The Company is required to meet certain requirements to retain the incentives. The Company has complied, and intends to continue compliance with the requirements to avail itself of the incentives.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65"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transfer pricing regulations in the countries where the Company operates require that controlled intercompany transactions be at arm’s-length. Accordingly, the Company determines and documents pricing for controlled intercompany transactions based on an economic analysis as prescribed in the respective regulations. The tax authorities have jurisdiction to review the Company’s transfer pricing. If the Company’s transfer pricing is challenged by the authorities, they could assess additional tax, interest and penalties, thereby impacting the Company’s profitability and cash flows.</w:t>
      </w:r>
    </w:p>
    <w:p>
      <w:pPr>
        <w:spacing w:after="0" w:line="130"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The Company is currently involved in transfer pricing and related income tax disputes with Indian tax authorities. The aggregate amount demanded by Indian tax authorities (net of advance payments) as of March 31, 2025 and December 31, 2024 is $50,535 and $49,588, respectively. The Company has made payments and/or provided bank guarantees against these demands in the amounts of $8,045 and $7,506, as of March 31, 2025 and December 31, 2024, respectively. The Company believes that its positions will more likely than not be sustained upon final examination by the tax authorities, and accordingly has not accrued any liabilities with respect to these matters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434"/>
        <w:spacing w:after="0"/>
        <w:rPr>
          <w:sz w:val="20"/>
          <w:szCs w:val="20"/>
          <w:color w:val="auto"/>
        </w:rPr>
      </w:pPr>
      <w:r>
        <w:rPr>
          <w:rFonts w:ascii="Times New Roman" w:cs="Times New Roman" w:eastAsia="Times New Roman" w:hAnsi="Times New Roman"/>
          <w:sz w:val="18"/>
          <w:szCs w:val="18"/>
          <w:color w:val="auto"/>
        </w:rPr>
        <w:t>Pursuant to reviewing the Company’s annual VAT filings, the Indian tax authorities raised aggregate VAT demands for tax years 2015 and 2017, in the amounts of $5,348 and $5,339, as of March 31, 2025 and December 31, 2024, respectively. The Company has provided bank guarantees against these demands in the amounts of $5,348 and $5,339, as of March 31, 2025 and December 31, 2024, respectively.</w:t>
      </w:r>
    </w:p>
    <w:p>
      <w:pPr>
        <w:spacing w:after="0" w:line="207" w:lineRule="exact"/>
        <w:rPr>
          <w:sz w:val="20"/>
          <w:szCs w:val="20"/>
          <w:color w:val="auto"/>
        </w:rPr>
      </w:pPr>
    </w:p>
    <w:p>
      <w:pPr>
        <w:jc w:val="both"/>
        <w:ind w:firstLine="434"/>
        <w:spacing w:after="0"/>
        <w:rPr>
          <w:sz w:val="20"/>
          <w:szCs w:val="20"/>
          <w:color w:val="auto"/>
        </w:rPr>
      </w:pPr>
      <w:r>
        <w:rPr>
          <w:rFonts w:ascii="Times New Roman" w:cs="Times New Roman" w:eastAsia="Times New Roman" w:hAnsi="Times New Roman"/>
          <w:sz w:val="18"/>
          <w:szCs w:val="18"/>
          <w:color w:val="auto"/>
        </w:rPr>
        <w:t>The Indian GST authorities rejected the Company’s refund claims in the amounts of $5,746 and $5,885 as of March 31, 2025 and December 31, 2024, respectively. The Company has filed appeals against these matters and believes that it is more likely than not that upon final examination its position will be sustained based on its technical merits. Accordingly, no provision was recognized as of March 31, 2025 and December 31, 2024, respectively.</w:t>
      </w:r>
    </w:p>
    <w:p>
      <w:pPr>
        <w:spacing w:after="0" w:line="207" w:lineRule="exact"/>
        <w:rPr>
          <w:sz w:val="20"/>
          <w:szCs w:val="20"/>
          <w:color w:val="auto"/>
        </w:rPr>
      </w:pPr>
    </w:p>
    <w:p>
      <w:pPr>
        <w:jc w:val="both"/>
        <w:ind w:firstLine="434"/>
        <w:spacing w:after="0" w:line="229" w:lineRule="auto"/>
        <w:rPr>
          <w:sz w:val="20"/>
          <w:szCs w:val="20"/>
          <w:color w:val="auto"/>
        </w:rPr>
      </w:pPr>
      <w:r>
        <w:rPr>
          <w:rFonts w:ascii="Times New Roman" w:cs="Times New Roman" w:eastAsia="Times New Roman" w:hAnsi="Times New Roman"/>
          <w:sz w:val="18"/>
          <w:szCs w:val="18"/>
          <w:color w:val="auto"/>
        </w:rPr>
        <w:t>Some of the Company’s subsidiaries in India have undergone assessments with the statutory authority with respect to defined contribution plan. Except for some components of the assessments for which the Company has recognized a provision in the financial statements, the Company believes that the amount demanded by such authority is not a meaningful indicator of the potential liabilities of the Company, and that these matters are without merit. The Company is defending against the assessment orders and in one case, has instituted an appeal against the order before the relevant tribunal while also making a payment under protest of the amount demanded. As of the reporting date, the Company’s management does not believe that the ultimate assessments in any of these matters will have a material adverse effect on the Company’s consolidated financial condition, results of operations or cash flows. The Company will continue to monitor and evaluate its position based on future events and developments on these matters.</w:t>
      </w:r>
    </w:p>
    <w:p>
      <w:pPr>
        <w:spacing w:after="0" w:line="142"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From time to time, the Company, its subsidiaries, and/or their present officers or directors,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claimed are without merit, and the Company intends to vigorously defend them. The Company will continuously monitor developments on these matters to assess potential impacts to the financial statements.</w:t>
      </w:r>
    </w:p>
    <w:p>
      <w:pPr>
        <w:spacing w:after="0" w:line="135"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The outcomes of legal actions are unpredictable and subject to significant uncertainties, and thus it is inherently difficult to determine the likelihood of the Company incurring a material loss or quantification of any such loss. With respect to certain pending litigation matters as of the reporting date, the Company has made provisions based on information currently available, including its evaluation of the facts underlying each matter and legal counsel’s advice on the estimated losses or range of reasonably possible losses.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 The Company will continuously monitor these matters to assess potential impacts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61"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2024. Some of the statements in the following discussion are forward looking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3" w:lineRule="exact"/>
        <w:rPr>
          <w:sz w:val="20"/>
          <w:szCs w:val="20"/>
          <w:color w:val="auto"/>
        </w:rPr>
      </w:pPr>
    </w:p>
    <w:p>
      <w:pPr>
        <w:jc w:val="both"/>
        <w:ind w:firstLine="394"/>
        <w:spacing w:after="0" w:line="281" w:lineRule="auto"/>
        <w:rPr>
          <w:sz w:val="20"/>
          <w:szCs w:val="20"/>
          <w:color w:val="auto"/>
        </w:rPr>
      </w:pPr>
      <w:r>
        <w:rPr>
          <w:rFonts w:ascii="Times New Roman" w:cs="Times New Roman" w:eastAsia="Times New Roman" w:hAnsi="Times New Roman"/>
          <w:sz w:val="16"/>
          <w:szCs w:val="16"/>
          <w:color w:val="auto"/>
        </w:rPr>
        <w:t>This Quarterly Report on Form 10-Q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112" w:lineRule="exact"/>
        <w:rPr>
          <w:sz w:val="20"/>
          <w:szCs w:val="20"/>
          <w:color w:val="auto"/>
        </w:rPr>
      </w:pPr>
    </w:p>
    <w:p>
      <w:pPr>
        <w:ind w:left="640" w:hanging="319"/>
        <w:spacing w:after="0" w:line="268"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client demand for our services and solutions, including anticipating and incorporating the latest technologies, for instance, artificial intelligence (“AI”), including generative AI into our offerings;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AI technology presents competitive, operational, reputational and legal risks, and our use of AI technology may not be successful ;</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client demand by the selling cycle and terms of our client contracts;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transition to and implement new organization structure;</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earnings;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enough sufficiently trained employees to support our operations or any changes in the senior management team;</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and/or manage costs;</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our pricing terms or effectively manage our asset utilization levels to meet the changing demands of our clients and potential clients;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security incidents, data breaches, or other unauthorized disclosure of sensitive or confidential client and employee data;</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reliance on third parties to deliver services and infrastructure for client critical services, and on third party data use rights for certain of our offerings;</w:t>
      </w:r>
    </w:p>
    <w:p>
      <w:pPr>
        <w:spacing w:after="0" w:line="184"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wage increases;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clients and our ability to withstand the loss of a significant client;</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rapid infrastructure and personnel growth across countries;</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consummate or integrate strategic acquisitions including the impact from the impairment of goodwill and other intangible assets, if any;</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liability arising out of customer and third party contracts;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 our industry;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telecommunications or technology disruptions or breaches, natural or other disasters, medical epidemics or pandemics, or acts of violence or war;</w:t>
      </w:r>
    </w:p>
    <w:p>
      <w:pPr>
        <w:spacing w:after="0" w:line="161" w:lineRule="exact"/>
        <w:rPr>
          <w:rFonts w:ascii="Times New Roman" w:cs="Times New Roman" w:eastAsia="Times New Roman" w:hAnsi="Times New Roman"/>
          <w:sz w:val="18"/>
          <w:szCs w:val="18"/>
          <w:color w:val="auto"/>
        </w:rPr>
      </w:pPr>
    </w:p>
    <w:p>
      <w:pPr>
        <w:ind w:left="640" w:hanging="319"/>
        <w:spacing w:after="0" w:line="267" w:lineRule="auto"/>
        <w:tabs>
          <w:tab w:leader="none" w:pos="636"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challenges by applicable tax authorities to transfer pricing determinations or the introduction of new or unfavorable tax legislation, tariffs, including legal restrictions on repatriation of funds held abroad;</w:t>
      </w:r>
    </w:p>
    <w:p>
      <w:pPr>
        <w:spacing w:after="0" w:line="116" w:lineRule="exact"/>
        <w:rPr>
          <w:rFonts w:ascii="Arial" w:cs="Arial" w:eastAsia="Arial" w:hAnsi="Arial"/>
          <w:sz w:val="18"/>
          <w:szCs w:val="18"/>
          <w:color w:val="auto"/>
        </w:rPr>
      </w:pPr>
    </w:p>
    <w:p>
      <w:pPr>
        <w:ind w:left="640" w:hanging="319"/>
        <w:spacing w:after="0" w:line="268" w:lineRule="auto"/>
        <w:tabs>
          <w:tab w:leader="none" w:pos="6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currency exchange rate fluctuations in the various currencies in which we do business including rising inflation, high interest rates and economic recessionary trends on currency exchange rates;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immigration and work permits;</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judicial developments, including our ability to adhere to regulations or accreditation or licensing standards that govern our business;</w:t>
      </w:r>
    </w:p>
    <w:p>
      <w:pPr>
        <w:spacing w:after="0" w:line="11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debt or obtain additional financing on competitive terms, or exposure to interest rate fluctuations that are not fully hedged through interest rate swaps;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reaction in the U.S. or elsewhere to offshore outsourcing;</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political and economic conditions globally including newly imposed U.S tariffs and any additional responsive non-U.S tariffs, particularly in the geographies where we operate;</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accurate estimates and assumptions in connection with the preparation of our consolidated financial statements;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fluctuations in the market values of our investment and derivatives portfolios; and</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sustainability-related initiatives.</w:t>
      </w:r>
    </w:p>
    <w:p>
      <w:pPr>
        <w:spacing w:after="0" w:line="16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These and other factors are more fully discussed in our Annual Report on Form 10-K for the fiscal year ended December 31, 2024. These and other risks could cause actual results to differ materially from those implied by forward-looking statements in this Quarterly Report on Form 10-Q.</w:t>
      </w:r>
    </w:p>
    <w:p>
      <w:pPr>
        <w:spacing w:after="0" w:line="116"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forward-looking statements made by us in this Quarterly Report on Form 10-Q, or elsewhere, speak only as of the date on which they were made. New risks and uncertainties may occur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63"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We are a global data and artificial intelligence (“AI”) company that offers services and solutions to reinvent client business models, drive better outcomes and unlock growth with speed. We harness the power of data, AI, and deep industry knowledge to transform businesses, including the world’s leading corporations in industries including insurance, healthcare, life sciences, banking and financial services, media and retail, communications and media, and energy and infrastructure, among others.</w:t>
      </w:r>
    </w:p>
    <w:p>
      <w:pPr>
        <w:spacing w:after="0" w:line="130"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Our global delivery network, which includes highly trained industry and process specialists across the United States, the United Kingdom, Latin America, South Africa, Europe and Asia (primarily India and the Philippines), is a key asset. We have operations centers in India, the United States, the Philippines, South Africa, Colombia, Bulgaria, Romania, the United Kingdom, the Czech Republic, Mexico and the Republic of Ireland.</w:t>
      </w:r>
    </w:p>
    <w:p>
      <w:pPr>
        <w:spacing w:after="0" w:line="126"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In the first quarter of 2025, we implemented operational and structural changes to align with how our management reviews financial information and makes operating decisions. The new operating model is comprised of Industry Market Units (“IMUs”) to focus on delivering higher value to clients leveraging our full suite of capabilities; and Strategic Growth Units to focus on rapidly advancing our operational, analytics, data engineering, and AI capabilities specific to our chosen industries. Our IMUs will focus on managing customer relationships and delivering the “One EXL” value proposition to clients, maintain a unified go-to-market approach and be integrally responsible for growth, profitability and client satisfaction.</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Accordingly, our new reportable segments, aligned to our IMUs, are as follows:</w:t>
      </w:r>
    </w:p>
    <w:p>
      <w:pPr>
        <w:spacing w:after="0" w:line="161" w:lineRule="exact"/>
        <w:rPr>
          <w:sz w:val="20"/>
          <w:szCs w:val="20"/>
          <w:color w:val="auto"/>
        </w:rPr>
      </w:pPr>
    </w:p>
    <w:p>
      <w:pPr>
        <w:ind w:left="1260" w:hanging="545"/>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21" w:lineRule="exact"/>
        <w:rPr>
          <w:rFonts w:ascii="Times New Roman" w:cs="Times New Roman" w:eastAsia="Times New Roman" w:hAnsi="Times New Roman"/>
          <w:sz w:val="18"/>
          <w:szCs w:val="18"/>
          <w:color w:val="auto"/>
        </w:rPr>
      </w:pPr>
    </w:p>
    <w:p>
      <w:pPr>
        <w:ind w:left="1260" w:hanging="545"/>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and Life Sciences,</w:t>
      </w:r>
    </w:p>
    <w:p>
      <w:pPr>
        <w:spacing w:after="0" w:line="3" w:lineRule="exact"/>
        <w:rPr>
          <w:rFonts w:ascii="Times New Roman" w:cs="Times New Roman" w:eastAsia="Times New Roman" w:hAnsi="Times New Roman"/>
          <w:sz w:val="18"/>
          <w:szCs w:val="18"/>
          <w:color w:val="auto"/>
        </w:rPr>
      </w:pPr>
    </w:p>
    <w:p>
      <w:pPr>
        <w:ind w:left="1260" w:hanging="545"/>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Capital Markets and Diversified Industries,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left="1260" w:hanging="545"/>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Growth Markets</w:t>
      </w:r>
    </w:p>
    <w:p>
      <w:pPr>
        <w:spacing w:after="0" w:line="240"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The primary changes in our new reportable segments reflect 1) the integration of our former Analytics reportable segment as a core capability within each of our IMUs, ensuring alignment with the specialized needs of our clients across IMUs, 2) the reorganization of our former Emerging Business reportable segment into a Banking, Capital Markets and Diversified Industries reportable segment, excluding Life Sciences, which is now a part of the new Healthcare and Life Sciences reportable segment, and 3) the formation of International Growth Markets as a separate business unit to represent all our service and solutions offerings to clients in the United Kingdom, Europe, Middle East, Asia-Pacific and South Africa geographies across all industry verticals. The International Growth Markets business unit will help strategically expand our footprint in markets outside of North America and drive focus on offerings and expansion in those markets in new and existing clients.</w:t>
      </w:r>
    </w:p>
    <w:p>
      <w:pPr>
        <w:spacing w:after="0" w:line="218"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In addition, our revenues by service type are now presented as data and AI-led and digital operations services. Revenues attributable to geographical regions are now presented as North America (including the United States, Canada and Mexico), U.K. &amp; Europe, and Rest of World.</w:t>
      </w:r>
    </w:p>
    <w:p>
      <w:pPr>
        <w:spacing w:after="0" w:line="195"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We have recast our segment disclosures for all prior periods presented to conform to the way we internally manage and monitor segment level performance of our business.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63"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2025, we generated revenues of $501.0 million compared to revenues of $436.5 million for the three months ended March 31, 2024, an increase of $64.5 million, or 14.8%.</w:t>
      </w:r>
    </w:p>
    <w:p>
      <w:pPr>
        <w:spacing w:after="0" w:line="11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We serve clients mainly in North America and U.K. &amp; Europe, with these two regions generating 82.9% and 15.1%, respectively, of our total revenues for the three months ended March 31, 2025 and 83.0% and 15.0%, respectively, of our total revenues for the three months ended March 31, 2024.</w:t>
      </w:r>
    </w:p>
    <w:p>
      <w:pPr>
        <w:spacing w:after="0" w:line="11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2025 and 2024, our total revenues from our top ten clients accounted for 33.7% and 33.3% of our total revenues, respectively. Although we continue to develop relationships with new clients to diversify our client base, we believe that the loss of any of our top ten clients could have a material adverse effect on our financial performance.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42"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provide data and AI-led and digital operations services to our clients. We market and sell our solutions and services to existing and prospective clients through our sales and client management teams, which are aligned by our IMUs. Our sales and client management teams operate primarily from the United States, India, the United Kingdom, Ireland and Australia.</w:t>
      </w:r>
    </w:p>
    <w:p>
      <w:pPr>
        <w:spacing w:after="0" w:line="190" w:lineRule="exact"/>
        <w:rPr>
          <w:sz w:val="20"/>
          <w:szCs w:val="20"/>
          <w:color w:val="auto"/>
        </w:rPr>
      </w:pPr>
    </w:p>
    <w:p>
      <w:pPr>
        <w:jc w:val="both"/>
        <w:ind w:firstLine="394"/>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Data and AI-led: </w:t>
      </w:r>
      <w:r>
        <w:rPr>
          <w:rFonts w:ascii="Times New Roman" w:cs="Times New Roman" w:eastAsia="Times New Roman" w:hAnsi="Times New Roman"/>
          <w:sz w:val="18"/>
          <w:szCs w:val="18"/>
          <w:color w:val="auto"/>
        </w:rPr>
        <w:t>Our data and AI-led revenue comes from AI-powered solutions and services in which we embed data and AI into client workflows.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Leveraging our depth of domain knowledge, analytics, data management and digital engineering expertise, our industry-specific offerings are designed to help clients accelerate growth, improve customer experience, enhance efficiency, and deliver lasting competitive advantages. As clients evolve from digital operations to data and AI-powered operations and outcomes, these capabilities represent the next stage of enterprise transformation.</w:t>
      </w:r>
    </w:p>
    <w:p>
      <w:pPr>
        <w:spacing w:after="0" w:line="204" w:lineRule="exact"/>
        <w:rPr>
          <w:sz w:val="20"/>
          <w:szCs w:val="20"/>
          <w:color w:val="auto"/>
        </w:rPr>
      </w:pPr>
    </w:p>
    <w:p>
      <w:pPr>
        <w:jc w:val="both"/>
        <w:ind w:firstLine="394"/>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Digital operations: </w:t>
      </w:r>
      <w:r>
        <w:rPr>
          <w:rFonts w:ascii="Times New Roman" w:cs="Times New Roman" w:eastAsia="Times New Roman" w:hAnsi="Times New Roman"/>
          <w:sz w:val="18"/>
          <w:szCs w:val="18"/>
          <w:color w:val="auto"/>
        </w:rPr>
        <w:t>Our digital operations revenue comes from our industry-specific solutions and services that help clients run essential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functions with greater speed, accuracy, and efficiency. We apply deep industry expertise and tailored technology—whether our proprietary technology or client technology—to solve complex challenges and drive measurable outcomes. These digital operations deployments form the foundation for future client transformation opportunities to infuse AI into client workflows and unlock even greater value.</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industry market units, which provide data and AI-led and digital operations services, are described below:</w:t>
      </w:r>
    </w:p>
    <w:p>
      <w:pPr>
        <w:spacing w:after="0" w:line="238"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Insurance: </w:t>
      </w:r>
      <w:r>
        <w:rPr>
          <w:rFonts w:ascii="Times New Roman" w:cs="Times New Roman" w:eastAsia="Times New Roman" w:hAnsi="Times New Roman"/>
          <w:sz w:val="18"/>
          <w:szCs w:val="18"/>
          <w:color w:val="auto"/>
        </w:rPr>
        <w:t>We combine our cloud-first digital insurance software solutions and industry expertise with generative AI, machine learning, advanced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analytics, and platforms, to enable insurance businesses to transform operations and embed artificial intelligence into workflows. Our data and AI-powered operations and services span across the insurance value chain. We provide services to insurers in the areas of property and casualty, life, disability, annuity, and retirement services. Additionally, we serve insurance brokers, reinsurers, and insurtech companies.</w:t>
      </w:r>
    </w:p>
    <w:p>
      <w:pPr>
        <w:spacing w:after="0" w:line="210"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Our offerings include digital marketing, new business acquisition, actuarial, underwriting support, claims processing, premium and benefit administration, policy servicing, premium audit, surveys, billing and collection, commercial and residential surveys, finance and accounting and customer service.. This includes our Insurance Large Language Model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(“LLM”), a specialized generative AI platform for claims, underwriting and subrogation, developed leveraging our deep experience and proprietary data in the insurance space.</w:t>
      </w:r>
    </w:p>
    <w:p>
      <w:pPr>
        <w:spacing w:after="0" w:line="193"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Healthcare and Life Sciences: </w:t>
      </w:r>
      <w:r>
        <w:rPr>
          <w:rFonts w:ascii="Times New Roman" w:cs="Times New Roman" w:eastAsia="Times New Roman" w:hAnsi="Times New Roman"/>
          <w:sz w:val="18"/>
          <w:szCs w:val="18"/>
          <w:color w:val="auto"/>
        </w:rPr>
        <w:t>We work with clients across the healthcare ecosystem to meet their current and dynamic business challenges. We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integrated solutions and services at the intersection of domain, data, and AI to enable AI transformation for healthcare payers and providers, pharmacy benefit managers (“PBMs”), and life sciences organizations. Through the provision of a range of data and AI-powered operations and solutions, we focus on streamlining healthcare administration processes to enhance operational efficiency, aimed at reducing costs for both providers and consumers and improving consumer experience. We leverage innovative technologies to provide offerings intended to simplify complex workflows, minimize bureaucratic hurdles, and improve overall effectiveness.</w:t>
      </w:r>
    </w:p>
    <w:p>
      <w:pPr>
        <w:spacing w:after="0" w:line="212"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For healthcare payers, we offer pre and post-pay auditing services, payment analytics, payment integrity, a care management platform and services and patient navigation. For healthcare providers, we offer revenue cycle management, digital transformation, data and analytics and call center modernization. For PBMs, we provide digital transformation, data and analytics and call center modernization. Within the life sciences space, we provide finance and accounting operations and data analytics. Across our segments, we leverage AI, analytics, and cloud-based solutions to enhance value-based care, optimize claims, and ensure regulatory compliance.</w:t>
      </w:r>
    </w:p>
    <w:p>
      <w:pPr>
        <w:spacing w:after="0" w:line="212"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Banking, Capital Markets, and Diversified Industries: </w:t>
      </w:r>
      <w:r>
        <w:rPr>
          <w:rFonts w:ascii="Times New Roman" w:cs="Times New Roman" w:eastAsia="Times New Roman" w:hAnsi="Times New Roman"/>
          <w:sz w:val="18"/>
          <w:szCs w:val="18"/>
          <w:color w:val="auto"/>
        </w:rPr>
        <w:t>Our Banking and Capital Markets and Diversified Industries group delivers comprehensive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across retail and commercial banking, credit card services, payment services, fintech, banking infrastructure services, capital markets, mortgage services, utilities, retail and consumer packaged goods, media, communications and entertainment, travel and leisure, transportation and logistics, and other business services industries.</w:t>
      </w:r>
    </w:p>
    <w:p>
      <w:pPr>
        <w:spacing w:after="0" w:line="210"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By integrating domain expertise with AI-driven data management, we empower financial institutions to innovate, enhance operational agility, and navigate evolving market demands. Our tailored services span retail banking operations such as digital lending solutions that enhance underwriting and compliance, sales and demand generation, omni-channel marketing, digital onboarding, know your customer (“KYC”)/anti-money laundering (“AML”) compliance, and collections; credit card services including customer acquisition, fraud management, and payment processing; and payment services structured for secure, multi-currency transaction processing. Additionally, we support fintechs with AI-driven hyper-personalization and analytics, while our capital markets solutions cover investment banking, asset management, custodian banking, and fund administration. Mortgage services include loan origination, account servicing, default management, and title settlement services. Our industry-leading AI and automation-driven service offerings drive efficiency and innovation across financial services.</w:t>
      </w:r>
    </w:p>
    <w:p>
      <w:pPr>
        <w:spacing w:after="0" w:line="215"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Our enterprise services and solutions include domain-specific operations, finance and accounting, customer experience management, back-office operations, and revenue enhancement, such as pricing and billing, enabling our clients to deliver superior economic performance. For example, in the retail and consumer packaged goods sectors, we provide supply chain management services and AI-led advanced analytical services including merchandising, pricing, and demand forecasting and for our clients in the utilities sector, we offer AI-enabled operations and solutions related to end-to-end customer life cycle management, including onboarding and terminations, engineering field services, customer service, billing, and debt management and collections.</w:t>
      </w:r>
    </w:p>
    <w:p>
      <w:pPr>
        <w:spacing w:after="0" w:line="212"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International Growth Markets: </w:t>
      </w:r>
      <w:r>
        <w:rPr>
          <w:rFonts w:ascii="Times New Roman" w:cs="Times New Roman" w:eastAsia="Times New Roman" w:hAnsi="Times New Roman"/>
          <w:sz w:val="18"/>
          <w:szCs w:val="18"/>
          <w:color w:val="auto"/>
        </w:rPr>
        <w:t>Our International Growth Markets (“IGM”) unit is focused on extending our global reach in growth markets outside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North America. This provides us with opportunities to leverage our investments, experience, and expertise from the North America market to expand our global client base, drive further growth, and bring us closer to our customers across the world. IGM consists of dedicated teams servicing clients in the banking and capital markets, insurance, life sciences, energy and infrastructure, retail, consumer goods, and travel industries in growth markets. This unit is instrumental in localizing our global capabilities in these industry segments to align with the local regulatory, cultural, linguistic and economic needs. Across all regions in which we operate, we combine deep domain experience with our data and AI expertise to help clients innovate, enhance operational agility, adapt to changing market demands, and drive better business outcomes.</w:t>
      </w:r>
    </w:p>
    <w:p>
      <w:pPr>
        <w:spacing w:after="0" w:line="211"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Pricing: </w:t>
      </w:r>
      <w:r>
        <w:rPr>
          <w:rFonts w:ascii="Times New Roman" w:cs="Times New Roman" w:eastAsia="Times New Roman" w:hAnsi="Times New Roman"/>
          <w:sz w:val="18"/>
          <w:szCs w:val="18"/>
          <w:color w:val="auto"/>
        </w:rPr>
        <w:t>We charge for our services using various pricing models like time-and-material pricing, full-time-equivalent pricing, transaction-based pricing,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outcome-based pricing, subscription-based pricing and other alternative or emerging pricing models, such as consumption-based for AI. Outcome-based pricing arrangements is an example of a non-linear pricing model where our revenues from platforms and solutions and the services we provide are compensated based on our clients’ usage or savings rather than the efforts we deploy to provide these services. We continue to observe a shift in the industry pricing models toward transaction-based pricing, outcome-based pricing and other alternative pricing models. We believe this trend will continue and we use such alternative pricing models with some of our current clients and are seeking to move certain other</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clients from a full-time-equivalent pricing model to a transaction-based or other alternative pricing model. These alternative pricing models place the focus on operating efficiency in order to maintain or improve our gross margins.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3"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The Organization for Economic Cooperation and Development, issued a Pillar II model for implementing a 15% global minimum tax effective January 1, 2024. The application of the rules relating to Pillar II continue to evolve, and there are countries that are still in the process of issuing attendant rules and regulations, including available transitional safe harbor rules. The two countries where we operate but do not meet the available safe harbor rules are the Republic of Ireland and the Philippines. The Pillar II impacts for the Republic of Ireland and the Philippines are not significant and have been properly reflected in our financial statements. We will continue to monitor Pillar II developments and assess any future impacts.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3"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In the first quarter of 2025, we implemented operational and structural changes which resulted in the realignment of our reporting segments. Refer to Note 3- Segment Information and Note 10- Goodwill and Other Intangible Assets to our unaudited consolidated financial statements for further details.</w:t>
      </w:r>
    </w:p>
    <w:p>
      <w:pPr>
        <w:spacing w:after="0" w:line="116"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 xml:space="preserve">Goodwill has been re-allocated to reporting units based on the relative fair value approach. We tested goodwill for impairment prior to the segment realignment and immediately thereafter, for events and conditions identified in accordance with the guidance in ASC Topic 350, </w:t>
      </w:r>
      <w:r>
        <w:rPr>
          <w:rFonts w:ascii="Times New Roman" w:cs="Times New Roman" w:eastAsia="Times New Roman" w:hAnsi="Times New Roman"/>
          <w:sz w:val="18"/>
          <w:szCs w:val="18"/>
          <w:i w:val="1"/>
          <w:iCs w:val="1"/>
          <w:color w:val="auto"/>
        </w:rPr>
        <w:t>Intangibles- 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The fair value of our reporting units was calculated using a discounted cash flow model using estimated future cash flows. The results of our evaluation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demonstrated that the fair value of each reporting unit exceeded its book value as of the date of the segment realignment.</w:t>
      </w:r>
    </w:p>
    <w:p>
      <w:pPr>
        <w:spacing w:after="0" w:line="130"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three months ended March 31, 2025, as compared to the critical accounting policies and estimates referred in Part II, Item 7, “Management’s Discussion and Analysis of Financial Condition and Results of Operations” under “Critical Accounting Policies and Estimates” and Note 2 - Summary of Significant Accounting Policies to our consolidated financial statements included in our Annual Report on Form 10-K for the fiscal year ended December 31, 2024.</w:t>
      </w:r>
    </w:p>
    <w:p>
      <w:pPr>
        <w:sectPr>
          <w:pgSz w:w="11900" w:h="16838" w:orient="portrait"/>
          <w:cols w:equalWidth="0" w:num="1">
            <w:col w:w="11240"/>
          </w:cols>
          <w:pgMar w:left="320" w:top="119" w:right="339" w:bottom="1440" w:gutter="0" w:footer="0" w:header="0"/>
        </w:sectPr>
      </w:pP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w:t>
      </w:r>
    </w:p>
    <w:p>
      <w:pPr>
        <w:spacing w:after="0" w:line="200" w:lineRule="exact"/>
        <w:rPr>
          <w:sz w:val="20"/>
          <w:szCs w:val="20"/>
          <w:color w:val="auto"/>
        </w:rPr>
      </w:pPr>
    </w:p>
    <w:p>
      <w:pPr>
        <w:spacing w:after="0" w:line="2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3"/>
        </w:trPr>
        <w:tc>
          <w:tcPr>
            <w:tcW w:w="3800" w:type="dxa"/>
            <w:vAlign w:val="bottom"/>
          </w:tcPr>
          <w:p>
            <w:pPr>
              <w:spacing w:after="0"/>
              <w:rPr>
                <w:sz w:val="12"/>
                <w:szCs w:val="12"/>
                <w:color w:val="auto"/>
              </w:rPr>
            </w:pPr>
          </w:p>
        </w:tc>
        <w:tc>
          <w:tcPr>
            <w:tcW w:w="94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ended March</w:t>
            </w:r>
          </w:p>
        </w:tc>
        <w:tc>
          <w:tcPr>
            <w:tcW w:w="0" w:type="dxa"/>
            <w:vAlign w:val="bottom"/>
          </w:tcPr>
          <w:p>
            <w:pPr>
              <w:spacing w:after="0"/>
              <w:rPr>
                <w:sz w:val="1"/>
                <w:szCs w:val="1"/>
                <w:color w:val="auto"/>
              </w:rPr>
            </w:pPr>
          </w:p>
        </w:tc>
      </w:tr>
      <w:tr>
        <w:trPr>
          <w:trHeight w:val="185"/>
        </w:trPr>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31, 2025</w:t>
            </w:r>
          </w:p>
        </w:tc>
        <w:tc>
          <w:tcPr>
            <w:tcW w:w="0" w:type="dxa"/>
            <w:vAlign w:val="bottom"/>
          </w:tcPr>
          <w:p>
            <w:pPr>
              <w:spacing w:after="0"/>
              <w:rPr>
                <w:sz w:val="1"/>
                <w:szCs w:val="1"/>
                <w:color w:val="auto"/>
              </w:rPr>
            </w:pPr>
          </w:p>
        </w:tc>
      </w:tr>
      <w:tr>
        <w:trPr>
          <w:trHeight w:val="330"/>
        </w:trPr>
        <w:tc>
          <w:tcPr>
            <w:tcW w:w="3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(A)</w:t>
            </w:r>
          </w:p>
        </w:tc>
        <w:tc>
          <w:tcPr>
            <w:tcW w:w="0" w:type="dxa"/>
            <w:vAlign w:val="bottom"/>
          </w:tcPr>
          <w:p>
            <w:pPr>
              <w:spacing w:after="0"/>
              <w:rPr>
                <w:sz w:val="1"/>
                <w:szCs w:val="1"/>
                <w:color w:val="auto"/>
              </w:rPr>
            </w:pPr>
          </w:p>
        </w:tc>
      </w:tr>
      <w:tr>
        <w:trPr>
          <w:trHeight w:val="50"/>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Revenues, net</w:t>
            </w: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800" w:type="dxa"/>
            <w:vAlign w:val="bottom"/>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501.0</w:t>
            </w:r>
          </w:p>
        </w:tc>
        <w:tc>
          <w:tcPr>
            <w:tcW w:w="0" w:type="dxa"/>
            <w:vAlign w:val="bottom"/>
          </w:tcPr>
          <w:p>
            <w:pPr>
              <w:spacing w:after="0"/>
              <w:rPr>
                <w:sz w:val="1"/>
                <w:szCs w:val="1"/>
                <w:color w:val="auto"/>
              </w:rPr>
            </w:pPr>
          </w:p>
        </w:tc>
      </w:tr>
      <w:tr>
        <w:trPr>
          <w:trHeight w:val="205"/>
        </w:trPr>
        <w:tc>
          <w:tcPr>
            <w:tcW w:w="3800" w:type="dxa"/>
            <w:vAlign w:val="bottom"/>
          </w:tcPr>
          <w:p>
            <w:pPr>
              <w:spacing w:after="0" w:line="197" w:lineRule="exact"/>
              <w:rPr>
                <w:sz w:val="20"/>
                <w:szCs w:val="20"/>
                <w:color w:val="auto"/>
              </w:rPr>
            </w:pPr>
            <w:r>
              <w:rPr>
                <w:rFonts w:ascii="Times New Roman" w:cs="Times New Roman" w:eastAsia="Times New Roman" w:hAnsi="Times New Roman"/>
                <w:sz w:val="14"/>
                <w:szCs w:val="14"/>
                <w:color w:val="auto"/>
              </w:rPr>
              <w:t>Cost of revenues</w:t>
            </w:r>
            <w:r>
              <w:rPr>
                <w:rFonts w:ascii="Times New Roman" w:cs="Times New Roman" w:eastAsia="Times New Roman" w:hAnsi="Times New Roman"/>
                <w:sz w:val="18"/>
                <w:szCs w:val="18"/>
                <w:color w:val="auto"/>
                <w:vertAlign w:val="superscript"/>
              </w:rPr>
              <w:t>(1)</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307.7</w:t>
            </w:r>
          </w:p>
        </w:tc>
        <w:tc>
          <w:tcPr>
            <w:tcW w:w="0" w:type="dxa"/>
            <w:vAlign w:val="bottom"/>
          </w:tcPr>
          <w:p>
            <w:pPr>
              <w:spacing w:after="0"/>
              <w:rPr>
                <w:sz w:val="1"/>
                <w:szCs w:val="1"/>
                <w:color w:val="auto"/>
              </w:rPr>
            </w:pPr>
          </w:p>
        </w:tc>
      </w:tr>
      <w:tr>
        <w:trPr>
          <w:trHeight w:val="204"/>
        </w:trPr>
        <w:tc>
          <w:tcPr>
            <w:tcW w:w="3800" w:type="dxa"/>
            <w:vAlign w:val="bottom"/>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Gross profit</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-3810</wp:posOffset>
            </wp:positionV>
            <wp:extent cx="6007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4"/>
          <w:szCs w:val="14"/>
          <w:color w:val="auto"/>
        </w:rPr>
        <w:t>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0" w:type="dxa"/>
            <w:vAlign w:val="bottom"/>
          </w:tcPr>
          <w:p>
            <w:pPr>
              <w:spacing w:after="0"/>
              <w:rPr>
                <w:sz w:val="1"/>
                <w:szCs w:val="1"/>
                <w:color w:val="auto"/>
              </w:rPr>
            </w:pPr>
          </w:p>
        </w:tc>
      </w:tr>
      <w:tr>
        <w:trPr>
          <w:trHeight w:val="275"/>
        </w:trPr>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ended March</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9"/>
              </w:rPr>
              <w:t>Dollar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60" w:type="dxa"/>
            <w:vAlign w:val="bottom"/>
          </w:tcPr>
          <w:p>
            <w:pPr>
              <w:spacing w:after="0"/>
              <w:rPr>
                <w:sz w:val="11"/>
                <w:szCs w:val="11"/>
                <w:color w:val="auto"/>
              </w:rPr>
            </w:pPr>
          </w:p>
        </w:tc>
        <w:tc>
          <w:tcPr>
            <w:tcW w:w="800" w:type="dxa"/>
            <w:vAlign w:val="bottom"/>
          </w:tcPr>
          <w:p>
            <w:pPr>
              <w:jc w:val="center"/>
              <w:ind w:right="90"/>
              <w:spacing w:after="0" w:line="131" w:lineRule="exact"/>
              <w:rPr>
                <w:sz w:val="20"/>
                <w:szCs w:val="20"/>
                <w:color w:val="auto"/>
              </w:rPr>
            </w:pPr>
            <w:r>
              <w:rPr>
                <w:rFonts w:ascii="Times New Roman" w:cs="Times New Roman" w:eastAsia="Times New Roman" w:hAnsi="Times New Roman"/>
                <w:sz w:val="14"/>
                <w:szCs w:val="14"/>
                <w:b w:val="1"/>
                <w:bCs w:val="1"/>
                <w:color w:val="auto"/>
                <w:w w:val="97"/>
              </w:rPr>
              <w:t>31, 2024</w:t>
            </w:r>
          </w:p>
        </w:tc>
        <w:tc>
          <w:tcPr>
            <w:tcW w:w="1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12"/>
        </w:trPr>
        <w:tc>
          <w:tcPr>
            <w:tcW w:w="12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center"/>
              <w:ind w:right="32"/>
              <w:spacing w:after="0" w:line="112" w:lineRule="exact"/>
              <w:rPr>
                <w:sz w:val="20"/>
                <w:szCs w:val="20"/>
                <w:color w:val="auto"/>
              </w:rPr>
            </w:pPr>
            <w:r>
              <w:rPr>
                <w:rFonts w:ascii="Times New Roman" w:cs="Times New Roman" w:eastAsia="Times New Roman" w:hAnsi="Times New Roman"/>
                <w:sz w:val="12"/>
                <w:szCs w:val="12"/>
                <w:b w:val="1"/>
                <w:bCs w:val="1"/>
                <w:color w:val="auto"/>
              </w:rPr>
              <w:t>Change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60" w:type="dxa"/>
            <w:vAlign w:val="bottom"/>
          </w:tcPr>
          <w:p>
            <w:pPr>
              <w:spacing w:after="0"/>
              <w:rPr>
                <w:sz w:val="16"/>
                <w:szCs w:val="16"/>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(B)</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(C=A-B)</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87"/>
        </w:trPr>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80" w:type="dxa"/>
            <w:vAlign w:val="bottom"/>
            <w:gridSpan w:val="3"/>
          </w:tcPr>
          <w:p>
            <w:pPr>
              <w:spacing w:after="0"/>
              <w:rPr>
                <w:sz w:val="4"/>
                <w:szCs w:val="4"/>
                <w:color w:val="auto"/>
              </w:rPr>
            </w:pPr>
          </w:p>
        </w:tc>
        <w:tc>
          <w:tcPr>
            <w:tcW w:w="720" w:type="dxa"/>
            <w:vAlign w:val="bottom"/>
          </w:tcPr>
          <w:p>
            <w:pPr>
              <w:spacing w:after="0"/>
              <w:rPr>
                <w:sz w:val="4"/>
                <w:szCs w:val="4"/>
                <w:color w:val="auto"/>
              </w:rPr>
            </w:pPr>
          </w:p>
        </w:tc>
        <w:tc>
          <w:tcPr>
            <w:tcW w:w="120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436.5</w:t>
            </w:r>
          </w:p>
        </w:tc>
        <w:tc>
          <w:tcPr>
            <w:tcW w:w="10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0" w:type="dxa"/>
            <w:vAlign w:val="bottom"/>
          </w:tcPr>
          <w:p>
            <w:pPr>
              <w:spacing w:after="0"/>
              <w:rPr>
                <w:sz w:val="1"/>
                <w:szCs w:val="1"/>
                <w:color w:val="auto"/>
              </w:rPr>
            </w:pPr>
          </w:p>
        </w:tc>
      </w:tr>
      <w:tr>
        <w:trPr>
          <w:trHeight w:val="188"/>
        </w:trPr>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0" w:type="dxa"/>
            <w:vAlign w:val="bottom"/>
          </w:tcPr>
          <w:p>
            <w:pPr>
              <w:spacing w:after="0"/>
              <w:rPr>
                <w:sz w:val="1"/>
                <w:szCs w:val="1"/>
                <w:color w:val="auto"/>
              </w:rPr>
            </w:pPr>
          </w:p>
        </w:tc>
      </w:tr>
      <w:tr>
        <w:trPr>
          <w:trHeight w:val="24"/>
        </w:trPr>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38.6 %</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163.1</w:t>
            </w:r>
          </w:p>
        </w:tc>
        <w:tc>
          <w:tcPr>
            <w:tcW w:w="100" w:type="dxa"/>
            <w:vAlign w:val="bottom"/>
          </w:tcPr>
          <w:p>
            <w:pPr>
              <w:spacing w:after="0"/>
              <w:rPr>
                <w:sz w:val="16"/>
                <w:szCs w:val="16"/>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37.4 %</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30.2</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-400050</wp:posOffset>
            </wp:positionV>
            <wp:extent cx="6685280" cy="133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85280" cy="13335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-140970</wp:posOffset>
            </wp:positionV>
            <wp:extent cx="6685280" cy="133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85280" cy="13335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5200" w:space="80"/>
            <w:col w:w="5960"/>
          </w:cols>
          <w:pgMar w:left="320" w:top="119" w:right="339" w:bottom="1440" w:gutter="0" w:footer="0" w:header="0"/>
          <w:type w:val="continuous"/>
        </w:sectPr>
      </w:pPr>
    </w:p>
    <w:tbl>
      <w:tblPr>
        <w:tblLayout w:type="fixed"/>
        <w:tblInd w:w="440" w:type="dxa"/>
        <w:tblCellMar>
          <w:top w:w="0" w:type="dxa"/>
          <w:left w:w="0" w:type="dxa"/>
          <w:bottom w:w="0" w:type="dxa"/>
          <w:right w:w="0" w:type="dxa"/>
        </w:tblCellMar>
      </w:tblPr>
      <w:tr>
        <w:trPr>
          <w:trHeight w:val="197"/>
        </w:trPr>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Selling and marketing expenses</w:t>
            </w: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78.4</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15.6 %</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61.5</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14.1 %</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27.5 %</w:t>
            </w:r>
          </w:p>
        </w:tc>
        <w:tc>
          <w:tcPr>
            <w:tcW w:w="0" w:type="dxa"/>
            <w:vAlign w:val="bottom"/>
          </w:tcPr>
          <w:p>
            <w:pPr>
              <w:spacing w:after="0"/>
              <w:rPr>
                <w:sz w:val="1"/>
                <w:szCs w:val="1"/>
                <w:color w:val="auto"/>
              </w:rPr>
            </w:pPr>
          </w:p>
        </w:tc>
      </w:tr>
      <w:tr>
        <w:trPr>
          <w:trHeight w:val="190"/>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gain, net</w:t>
            </w: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0"/>
        </w:trPr>
        <w:tc>
          <w:tcPr>
            <w:tcW w:w="382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Income before income tax expense and earnings from equity</w:t>
            </w:r>
          </w:p>
        </w:tc>
        <w:tc>
          <w:tcPr>
            <w:tcW w:w="3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80.2</w:t>
            </w:r>
          </w:p>
        </w:tc>
        <w:tc>
          <w:tcPr>
            <w:tcW w:w="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16.0 %</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62.6</w:t>
            </w:r>
          </w:p>
        </w:tc>
        <w:tc>
          <w:tcPr>
            <w:tcW w:w="10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14.3 %</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w:t>
            </w:r>
          </w:p>
        </w:tc>
        <w:tc>
          <w:tcPr>
            <w:tcW w:w="10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28.2 %</w:t>
            </w:r>
          </w:p>
        </w:tc>
        <w:tc>
          <w:tcPr>
            <w:tcW w:w="0" w:type="dxa"/>
            <w:vAlign w:val="bottom"/>
          </w:tcPr>
          <w:p>
            <w:pPr>
              <w:spacing w:after="0"/>
              <w:rPr>
                <w:sz w:val="1"/>
                <w:szCs w:val="1"/>
                <w:color w:val="auto"/>
              </w:rPr>
            </w:pPr>
          </w:p>
        </w:tc>
      </w:tr>
      <w:tr>
        <w:trPr>
          <w:trHeight w:val="195"/>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affiliates</w:t>
            </w:r>
          </w:p>
        </w:tc>
        <w:tc>
          <w:tcPr>
            <w:tcW w:w="3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9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earnings from equity affiliates</w:t>
            </w: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66.7</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13.3 %</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48.8</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11.2 %</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36.6 %</w:t>
            </w:r>
          </w:p>
        </w:tc>
        <w:tc>
          <w:tcPr>
            <w:tcW w:w="0" w:type="dxa"/>
            <w:vAlign w:val="bottom"/>
          </w:tcPr>
          <w:p>
            <w:pPr>
              <w:spacing w:after="0"/>
              <w:rPr>
                <w:sz w:val="1"/>
                <w:szCs w:val="1"/>
                <w:color w:val="auto"/>
              </w:rPr>
            </w:pPr>
          </w:p>
        </w:tc>
      </w:tr>
      <w:tr>
        <w:trPr>
          <w:trHeight w:val="190"/>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equity-method investment</w:t>
            </w: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620" w:type="dxa"/>
            <w:vAlign w:val="bottom"/>
            <w:gridSpan w:val="4"/>
          </w:tcPr>
          <w:p>
            <w:pPr>
              <w:jc w:val="right"/>
              <w:ind w:right="37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4"/>
          </w:tcPr>
          <w:p>
            <w:pPr>
              <w:jc w:val="right"/>
              <w:ind w:right="37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2"/>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36.5 %</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(1) Exclusive of depreciation and amortization expense.</w:t>
      </w:r>
    </w:p>
    <w:p>
      <w:pPr>
        <w:spacing w:after="0" w:line="161" w:lineRule="exact"/>
        <w:rPr>
          <w:sz w:val="20"/>
          <w:szCs w:val="20"/>
          <w:color w:val="auto"/>
        </w:rPr>
      </w:pPr>
    </w:p>
    <w:p>
      <w:pPr>
        <w:ind w:left="480" w:right="20"/>
        <w:spacing w:after="0" w:line="270" w:lineRule="auto"/>
        <w:rPr>
          <w:sz w:val="20"/>
          <w:szCs w:val="20"/>
          <w:color w:val="auto"/>
        </w:rPr>
      </w:pPr>
      <w:r>
        <w:rPr>
          <w:rFonts w:ascii="Times New Roman" w:cs="Times New Roman" w:eastAsia="Times New Roman" w:hAnsi="Times New Roman"/>
          <w:sz w:val="18"/>
          <w:szCs w:val="18"/>
          <w:i w:val="1"/>
          <w:iCs w:val="1"/>
          <w:color w:val="auto"/>
        </w:rPr>
        <w:t>Due to rounding, the numbers presented in the tables included in this Part I, Item 2, “Management’s Discussion and Analysis of Financial Condition and Results of Operations” may not add up precisely to the totals provided.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 Compared to Three Months Ended March 31, 2024</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revenues by reportable segments: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2760" w:type="dxa"/>
            <w:vAlign w:val="bottom"/>
            <w:gridSpan w:val="6"/>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 of Total Revenues for the three</w:t>
            </w:r>
          </w:p>
        </w:tc>
        <w:tc>
          <w:tcPr>
            <w:tcW w:w="0" w:type="dxa"/>
            <w:vAlign w:val="bottom"/>
          </w:tcPr>
          <w:p>
            <w:pPr>
              <w:spacing w:after="0"/>
              <w:rPr>
                <w:sz w:val="1"/>
                <w:szCs w:val="1"/>
                <w:color w:val="auto"/>
              </w:rPr>
            </w:pPr>
          </w:p>
        </w:tc>
      </w:tr>
      <w:tr>
        <w:trPr>
          <w:trHeight w:val="190"/>
        </w:trPr>
        <w:tc>
          <w:tcPr>
            <w:tcW w:w="2380" w:type="dxa"/>
            <w:vAlign w:val="bottom"/>
          </w:tcPr>
          <w:p>
            <w:pPr>
              <w:spacing w:after="0"/>
              <w:rPr>
                <w:sz w:val="16"/>
                <w:szCs w:val="16"/>
                <w:color w:val="auto"/>
              </w:rPr>
            </w:pPr>
          </w:p>
        </w:tc>
        <w:tc>
          <w:tcPr>
            <w:tcW w:w="2760" w:type="dxa"/>
            <w:vAlign w:val="bottom"/>
            <w:gridSpan w:val="6"/>
            <w:vMerge w:val="continue"/>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860" w:type="dxa"/>
            <w:vAlign w:val="bottom"/>
            <w:gridSpan w:val="3"/>
          </w:tcPr>
          <w:p>
            <w:pPr>
              <w:jc w:val="center"/>
              <w:ind w:left="819"/>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380" w:type="dxa"/>
            <w:vAlign w:val="bottom"/>
          </w:tcPr>
          <w:p>
            <w:pPr>
              <w:spacing w:after="0"/>
              <w:rPr>
                <w:sz w:val="9"/>
                <w:szCs w:val="9"/>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9"/>
                <w:szCs w:val="9"/>
                <w:color w:val="auto"/>
              </w:rPr>
            </w:pPr>
          </w:p>
        </w:tc>
        <w:tc>
          <w:tcPr>
            <w:tcW w:w="11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300" w:type="dxa"/>
            <w:vAlign w:val="bottom"/>
            <w:gridSpan w:val="2"/>
            <w:vMerge w:val="continue"/>
          </w:tcPr>
          <w:p>
            <w:pPr>
              <w:spacing w:after="0"/>
              <w:rPr>
                <w:sz w:val="9"/>
                <w:szCs w:val="9"/>
                <w:color w:val="auto"/>
              </w:rPr>
            </w:pPr>
          </w:p>
        </w:tc>
        <w:tc>
          <w:tcPr>
            <w:tcW w:w="1320" w:type="dxa"/>
            <w:vAlign w:val="bottom"/>
            <w:tcBorders>
              <w:top w:val="single" w:sz="8" w:color="auto"/>
            </w:tcBorders>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0"/>
        </w:trPr>
        <w:tc>
          <w:tcPr>
            <w:tcW w:w="23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w:t>
            </w:r>
          </w:p>
        </w:tc>
        <w:tc>
          <w:tcPr>
            <w:tcW w:w="82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172.0</w:t>
            </w:r>
          </w:p>
        </w:tc>
        <w:tc>
          <w:tcPr>
            <w:tcW w:w="3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0" w:type="dxa"/>
            <w:vAlign w:val="bottom"/>
          </w:tcPr>
          <w:p>
            <w:pPr>
              <w:spacing w:after="0"/>
              <w:rPr>
                <w:sz w:val="1"/>
                <w:szCs w:val="1"/>
                <w:color w:val="auto"/>
              </w:rPr>
            </w:pPr>
          </w:p>
        </w:tc>
      </w:tr>
      <w:tr>
        <w:trPr>
          <w:trHeight w:val="223"/>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Healthcare and Life Sciences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125.6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Banking, Capital Markets and</w:t>
            </w:r>
          </w:p>
        </w:tc>
        <w:tc>
          <w:tcPr>
            <w:tcW w:w="82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117.7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Diversified Industries</w:t>
            </w:r>
          </w:p>
        </w:tc>
        <w:tc>
          <w:tcPr>
            <w:tcW w:w="82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International Growth Markets</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42"/>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 net</w:t>
            </w:r>
          </w:p>
        </w:tc>
        <w:tc>
          <w:tcPr>
            <w:tcW w:w="820" w:type="dxa"/>
            <w:vAlign w:val="bottom"/>
            <w:tcBorders>
              <w:bottom w:val="single" w:sz="8" w:color="auto"/>
            </w:tcBorders>
            <w:shd w:val="clear" w:color="auto" w:fill="CCEEFF"/>
          </w:tcPr>
          <w:p>
            <w:pPr>
              <w:jc w:val="right"/>
              <w:ind w:right="62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501.0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Revenues for the three months ended March 31, 2025 were up by $64.5 million, or 14.8%, compared to the three months ended March 31, 2024, driven primarily by revenue growth from our new and existing clients in all of our reportable segments.</w:t>
      </w:r>
    </w:p>
    <w:p>
      <w:pPr>
        <w:spacing w:after="0" w:line="11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Revenue growth in Insurance of $13.7 million was primarily driven by expansion of business from our new and existing clients, partially offset by lower volumes in our direct marketing business during the three months ended March 31, 2025, compared to the three months ended March 31, 2024.</w:t>
      </w:r>
    </w:p>
    <w:p>
      <w:pPr>
        <w:spacing w:after="0" w:line="11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Revenue growth in Healthcare and Life Sciences of $24.9 million was primarily driven by the expansion of business from our new and existing clients and incremental revenue from our August 2024 acquisition of Incandescent Technologies, Inc. (“ITI Data”) during the three months ended March 31, 2025, compared to the three months ended March 31, 2024.</w:t>
      </w:r>
    </w:p>
    <w:p>
      <w:pPr>
        <w:spacing w:after="0" w:line="126"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Revenue growth in Banking, Capital Markets and Diversified Industries of $14.5 million was primarily driven by expansion of business from our new and existing clients of $14.7 million and incremental revenue from our August 2024 acquisition of ITI Data. This was partially offset by decrease in revenues of $0.2 million that was mainly attributable to depreciation of the Indian Rupee against the U.S. dollar during the three months ended March 31, 2025, compared to the three months ended March 31, 2024.</w:t>
      </w:r>
    </w:p>
    <w:p>
      <w:pPr>
        <w:spacing w:after="0" w:line="130"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Revenue growth in International Growth Markets of $11.4 million was primarily driven by expansion of business from our new and existing clients of $12.6 million and incremental revenue from our August 2024 acquisition of ITI Data. This was partially offset by decrease in revenues of $1.2 million that was mainly attributable to depreciation of the Indian Rupee and Australian dollar against the U.S. dollar, during the three months ended March 31, 2025, compared to the three months ended March 31, 2024.</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and Gross Margin: </w:t>
      </w:r>
      <w:r>
        <w:rPr>
          <w:rFonts w:ascii="Times New Roman" w:cs="Times New Roman" w:eastAsia="Times New Roman" w:hAnsi="Times New Roman"/>
          <w:sz w:val="18"/>
          <w:szCs w:val="18"/>
          <w:color w:val="auto"/>
        </w:rPr>
        <w:t>The following table sets forth cost of revenues and gross margin of our reportable segments.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Dollar</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74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260" w:type="dxa"/>
            <w:vAlign w:val="bottom"/>
            <w:tcBorders>
              <w:top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08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44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3"/>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Healthcare and Life Sciences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58"/>
        </w:trPr>
        <w:tc>
          <w:tcPr>
            <w:tcW w:w="26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Banking, Capital Markets and Diversified</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10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Industries</w:t>
            </w: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International Growth Markets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42"/>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Cost of revenues for the three months ended March 31, 2025 increased by $34.3 million, or 12.5% compared to the three months ended March 31, 2024. The increase in cost of revenues was primarily due to increases in employee-related costs and technology costs, partially offset by foreign exchange gain, net of hedging. Our gross margin for the three months ended March 31, 2025 was 38.6% compared to 37.4% for the three months ended March 31, 2024, an increase of 120 basis points (“bps”)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primarily driven by higher revenues and operational efficiencies, partially offset by increases in employee-related costs during the three months ended March 31, 2025, compared to the three months ended March 31, 2024.</w:t>
      </w:r>
    </w:p>
    <w:p>
      <w:pPr>
        <w:spacing w:after="0" w:line="103" w:lineRule="exact"/>
        <w:rPr>
          <w:sz w:val="20"/>
          <w:szCs w:val="20"/>
          <w:color w:val="auto"/>
        </w:rPr>
      </w:pPr>
    </w:p>
    <w:p>
      <w:pPr>
        <w:jc w:val="both"/>
        <w:ind w:firstLine="394"/>
        <w:spacing w:after="0" w:line="235" w:lineRule="auto"/>
        <w:rPr>
          <w:sz w:val="20"/>
          <w:szCs w:val="20"/>
          <w:color w:val="auto"/>
        </w:rPr>
      </w:pPr>
      <w:r>
        <w:rPr>
          <w:rFonts w:ascii="Times New Roman" w:cs="Times New Roman" w:eastAsia="Times New Roman" w:hAnsi="Times New Roman"/>
          <w:sz w:val="18"/>
          <w:szCs w:val="18"/>
          <w:color w:val="auto"/>
        </w:rPr>
        <w:t>The increase in cost of revenues in Insurance of $4.5 million for the three months ended March 31, 2025 was primarily due to increases in employee-related costs of $10.8 million on account of higher headcount and wage inflation, higher technology costs of $0.9 million on account of increased subscription to cloud-based software licenses, partially offset by lower mail and data expenses in our direct marketing business of $4.4 million, other operating costs of $1.4 million and foreign exchange gain, net of hedging of $1.4 million. Gross margin in Insurance increased by 280 bps, primarily due to higher revenues and operational efficiencies during the three months ended March 31, 2025, compared to the three months ended March 31, 2024.</w:t>
      </w:r>
    </w:p>
    <w:p>
      <w:pPr>
        <w:spacing w:after="0" w:line="209" w:lineRule="exact"/>
        <w:rPr>
          <w:sz w:val="20"/>
          <w:szCs w:val="20"/>
          <w:color w:val="auto"/>
        </w:rPr>
      </w:pPr>
    </w:p>
    <w:p>
      <w:pPr>
        <w:jc w:val="both"/>
        <w:ind w:firstLine="394"/>
        <w:spacing w:after="0" w:line="267" w:lineRule="auto"/>
        <w:rPr>
          <w:sz w:val="20"/>
          <w:szCs w:val="20"/>
          <w:color w:val="auto"/>
        </w:rPr>
      </w:pPr>
      <w:r>
        <w:rPr>
          <w:rFonts w:ascii="Times New Roman" w:cs="Times New Roman" w:eastAsia="Times New Roman" w:hAnsi="Times New Roman"/>
          <w:sz w:val="16"/>
          <w:szCs w:val="16"/>
          <w:color w:val="auto"/>
        </w:rPr>
        <w:t>The increase in cost of revenues in Healthcare and Life Sciences of $15.5 million for the three months ended March 31, 2025 was primarily due to increases in employee-related costs of $14.3 million on account of higher headcount and wage inflation, including incremental cost related to acquisition of ITI Data, higher technology costs of $1.1 million on account of increased subscription to cloud-based software licenses, and higher other operating costs of $1.0 million, partially offset by foreign exchange gain, net of hedging of $0.9 million. Gross margin in Healthcare and Life Sciences decreased by 140 bps primarily due to lower volumes in certain existing clients during the three months ended March 31, 2025, compared to the three months ended March 31, 2024.</w:t>
      </w:r>
    </w:p>
    <w:p>
      <w:pPr>
        <w:spacing w:after="0" w:line="186" w:lineRule="exact"/>
        <w:rPr>
          <w:sz w:val="20"/>
          <w:szCs w:val="20"/>
          <w:color w:val="auto"/>
        </w:rPr>
      </w:pPr>
    </w:p>
    <w:p>
      <w:pPr>
        <w:jc w:val="both"/>
        <w:ind w:firstLine="394"/>
        <w:spacing w:after="0" w:line="234" w:lineRule="auto"/>
        <w:rPr>
          <w:sz w:val="20"/>
          <w:szCs w:val="20"/>
          <w:color w:val="auto"/>
        </w:rPr>
      </w:pPr>
      <w:r>
        <w:rPr>
          <w:rFonts w:ascii="Times New Roman" w:cs="Times New Roman" w:eastAsia="Times New Roman" w:hAnsi="Times New Roman"/>
          <w:sz w:val="18"/>
          <w:szCs w:val="18"/>
          <w:color w:val="auto"/>
        </w:rPr>
        <w:t>The increase in cost of revenues in Banking, Capital Markets and Diversified Industries of $7.7 million for the three months ended March 31, 2025 was primarily due to increases in employee-related costs of $7.2 million on account of higher headcount and wage inflation, including incremental cost related to acquisition of ITI Data, higher technology costs of $0.5 million on account of increased subscription to cloud-based software licenses, and higher other operating costs $1.1 million, partially offset by foreign exchange gain, net of hedging of $1.1 million. Gross margin in Banking, Capital Markets and Diversified Industries increased by 120 bps, primarily due to higher revenues and operational efficiencies during the three months ended March 31, 2025, compared to the three months ended March 31, 2024.</w:t>
      </w:r>
    </w:p>
    <w:p>
      <w:pPr>
        <w:spacing w:after="0" w:line="209"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The increase in cost of revenues in International Growth Markets of $6.6 million for the three months ended March 31, 2025 was primarily due to increases in employee-related costs of $6.4 million on account of higher headcount and wage inflation, including incremental cost related to acquisition of ITI Data and higher technology costs of $1.1 million on account of increased subscription to cloud-based software licenses, partially offset by foreign exchange gain, net of hedging of $0.9 million. Gross margin in International Growth Markets increased by 70 bps during the three months ended March 31, 2025, primarily due to higher revenues and operational efficiencies during the three months ended March 31, 2025, compared to the three months ended March 31, 2024.</w:t>
      </w:r>
    </w:p>
    <w:p>
      <w:pPr>
        <w:spacing w:after="0" w:line="200" w:lineRule="exact"/>
        <w:rPr>
          <w:sz w:val="20"/>
          <w:szCs w:val="20"/>
          <w:color w:val="auto"/>
        </w:rPr>
      </w:pP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22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42"/>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101.3</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ind w:firstLine="394"/>
        <w:spacing w:after="0" w:line="276" w:lineRule="auto"/>
        <w:rPr>
          <w:sz w:val="20"/>
          <w:szCs w:val="20"/>
          <w:color w:val="auto"/>
        </w:rPr>
      </w:pPr>
      <w:r>
        <w:rPr>
          <w:rFonts w:ascii="Times New Roman" w:cs="Times New Roman" w:eastAsia="Times New Roman" w:hAnsi="Times New Roman"/>
          <w:sz w:val="16"/>
          <w:szCs w:val="16"/>
          <w:color w:val="auto"/>
        </w:rPr>
        <w:t>The increase in SG&amp;A expenses of $12.1 million was primarily due to increases in employee-related costs of $9.8 million on account of higher headcount and wage inflation, including incremental cost related to acquisition of ITI Data, higher investments in digital and generative AI capabilities of $0.6 million, higher sales and marketing costs of $0.4 million and higher other operating costs of $1.7 million. This increase in SG&amp;A was partially offset by foreign exchange gain, net of hedging of $0.4 million, during the three months ended March 31, 2025, compared to the three months ended March 31, 2024.</w:t>
      </w:r>
    </w:p>
    <w:p>
      <w:pPr>
        <w:spacing w:after="0" w:line="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98"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22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6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0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82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amortization expense</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42"/>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20" w:type="dxa"/>
            <w:vAlign w:val="bottom"/>
            <w:tcBorders>
              <w:bottom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firstLine="394"/>
        <w:spacing w:after="0" w:line="253" w:lineRule="auto"/>
        <w:rPr>
          <w:sz w:val="20"/>
          <w:szCs w:val="20"/>
          <w:color w:val="auto"/>
        </w:rPr>
      </w:pPr>
      <w:r>
        <w:rPr>
          <w:rFonts w:ascii="Times New Roman" w:cs="Times New Roman" w:eastAsia="Times New Roman" w:hAnsi="Times New Roman"/>
          <w:sz w:val="18"/>
          <w:szCs w:val="18"/>
          <w:color w:val="auto"/>
        </w:rPr>
        <w:t>The increase in depreciation expense was $1.1 million during the three months ended March 31, 2025, compared to the three months ended March 31, 2024, primarily due to investments in infrastructure, technology assets and digital capabilities.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394"/>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Operations. </w:t>
      </w:r>
      <w:r>
        <w:rPr>
          <w:rFonts w:ascii="Times New Roman" w:cs="Times New Roman" w:eastAsia="Times New Roman" w:hAnsi="Times New Roman"/>
          <w:sz w:val="18"/>
          <w:szCs w:val="18"/>
          <w:color w:val="auto"/>
        </w:rPr>
        <w:t>Income from operations increased by $16.9 million, or 27.5%, from $61.5 million for the three months ended March 31,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$78.4 million for the three months ended March 31, 2025, primarily due to higher revenues and higher gross margins, partially offset by higher SG&amp;A expenses during the three months ended March 31, 2025.</w:t>
      </w:r>
    </w:p>
    <w:p>
      <w:pPr>
        <w:spacing w:after="0" w:line="134"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Gain, net. </w:t>
      </w:r>
      <w:r>
        <w:rPr>
          <w:rFonts w:ascii="Times New Roman" w:cs="Times New Roman" w:eastAsia="Times New Roman" w:hAnsi="Times New Roman"/>
          <w:sz w:val="18"/>
          <w:szCs w:val="18"/>
          <w:color w:val="auto"/>
        </w:rPr>
        <w:t>Foreign exchange gains and losses are primarily attributable to the movement of the U.S. dollar against the Indian rupee,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Philippine peso, the U.K. pound sterling and the South African rand during the three months ended March 31, 2025, compared to the three months ended March 31, 2024. The average exchange rate of the U.S. dollar against the Indian rupee increased from 83.12 during the three months ended March 31, 2024 to 86.52 during the three months ended March 31, 2025. The average exchange rate of the U.S. dollar against the Philippine peso increased from 56.24 during the three months ended March 31, 2024 to 57.86 during the three months ended March 31, 2025. The average exchange rate of the U.K. pound sterling against the U.S. dollar decreased from 1.27 during the three months ended March 31, 2024 to 1.26 during the three months ended March 31, 2025. The average exchange rate of the U.S. dollar against the South African rand decreased from 18.96 during the three months ended March 31, 2024 to 18.49 during the three months ended March 31, 2025.</w:t>
      </w:r>
    </w:p>
    <w:p>
      <w:pPr>
        <w:spacing w:after="0" w:line="133"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We recorded a foreign exchange gain, net of $1.2 million for the three months ended March 31, 2025 compared to a foreign exchange gain, net of $0.4 million for the three months ended March 31, 2024.</w:t>
      </w:r>
    </w:p>
    <w:p>
      <w:pPr>
        <w:spacing w:after="0" w:line="99" w:lineRule="exact"/>
        <w:rPr>
          <w:sz w:val="20"/>
          <w:szCs w:val="20"/>
          <w:color w:val="auto"/>
        </w:rPr>
      </w:pPr>
    </w:p>
    <w:p>
      <w:pPr>
        <w:jc w:val="both"/>
        <w:ind w:firstLine="394"/>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 Interest expense increased from $3.3 million for the three months ended March 31, 2024 to $4.1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2025, primarily due to higher average borrowings during the three months ended March 31, 2025, compared to the three months ended March 31, 2024.</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00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0"/>
        </w:trPr>
        <w:tc>
          <w:tcPr>
            <w:tcW w:w="49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31,</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1"/>
        </w:trPr>
        <w:tc>
          <w:tcPr>
            <w:tcW w:w="4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3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0"/>
        </w:trPr>
        <w:tc>
          <w:tcPr>
            <w:tcW w:w="49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and fair value mark-to-market on investments</w:t>
            </w:r>
          </w:p>
        </w:tc>
        <w:tc>
          <w:tcPr>
            <w:tcW w:w="58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1.9</w:t>
            </w:r>
          </w:p>
        </w:tc>
        <w:tc>
          <w:tcPr>
            <w:tcW w:w="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91.7 %</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5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changes of contingent consideration</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 net</w:t>
            </w:r>
          </w:p>
        </w:tc>
        <w:tc>
          <w:tcPr>
            <w:tcW w:w="5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106.3 %</w:t>
            </w:r>
          </w:p>
        </w:tc>
      </w:tr>
      <w:tr>
        <w:trPr>
          <w:trHeight w:val="242"/>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580" w:type="dxa"/>
            <w:vAlign w:val="bottom"/>
            <w:tcBorders>
              <w:top w:val="single" w:sz="8" w:color="auto"/>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4.7</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Other income, net increased by $0.7 million, from $4.0 million for the three months ended March 31, 2024 to $4.7 million for the three months ended March 31, 2025. The increase is primarily due to higher yield on our investments of $1.3 million, partially offset by decrease in contingent consideration liability of $0.6 million related to our June 2022 acquisition of Inbound Media Group, LLC during the three months ended March 31, 2024.</w:t>
      </w:r>
    </w:p>
    <w:p>
      <w:pPr>
        <w:spacing w:after="0" w:line="109" w:lineRule="exact"/>
        <w:rPr>
          <w:sz w:val="20"/>
          <w:szCs w:val="20"/>
          <w:color w:val="auto"/>
        </w:rPr>
      </w:pPr>
    </w:p>
    <w:p>
      <w:pPr>
        <w:jc w:val="both"/>
        <w:ind w:firstLine="394"/>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Income Tax Expense</w:t>
      </w:r>
      <w:r>
        <w:rPr>
          <w:rFonts w:ascii="Times New Roman" w:cs="Times New Roman" w:eastAsia="Times New Roman" w:hAnsi="Times New Roman"/>
          <w:sz w:val="16"/>
          <w:szCs w:val="16"/>
          <w:color w:val="auto"/>
        </w:rPr>
        <w:t>. The effective tax rate decreased from 22.0% during the three months ended March 31, 2024 to 16.9% during the three months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ended March 31, 2025. We recorded income tax expense of $13.5 million and $13.8 million for the three months ended March 31, 2025 and 2024, respectively. The decrease in income tax expense was primarily as a result of higher excess tax benefits related to stock-based compensation, partially offset by higher profit and increase in non-deductible compensation expense during the three months ended March 31, 2025, compared to the three months ended March 31, 2024.</w:t>
      </w:r>
    </w:p>
    <w:p>
      <w:pPr>
        <w:spacing w:after="0" w:line="173" w:lineRule="exact"/>
        <w:rPr>
          <w:sz w:val="20"/>
          <w:szCs w:val="20"/>
          <w:color w:val="auto"/>
        </w:rPr>
      </w:pPr>
    </w:p>
    <w:p>
      <w:pPr>
        <w:jc w:val="both"/>
        <w:ind w:firstLine="394"/>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Net income increased from $48.8 million for the three months ended March 31, 2024 to $66.6 million for the three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primarily due to higher income from operations of $16.9 million, higher other income, net of $0.7 million, and lower income tax expense of $0.3 million, partially offset by loss from equity-method investment of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278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2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84"/>
        </w:trPr>
        <w:tc>
          <w:tcPr>
            <w:tcW w:w="50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Opening cash, cash equivalents and restricted cash</w:t>
            </w:r>
          </w:p>
        </w:tc>
        <w:tc>
          <w:tcPr>
            <w:tcW w:w="840" w:type="dxa"/>
            <w:vAlign w:val="bottom"/>
            <w:shd w:val="clear" w:color="auto" w:fill="CCEEFF"/>
          </w:tcPr>
          <w:p>
            <w:pPr>
              <w:jc w:val="right"/>
              <w:ind w:right="666"/>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171.4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0" w:type="dxa"/>
            <w:vAlign w:val="bottom"/>
          </w:tcPr>
          <w:p>
            <w:pPr>
              <w:spacing w:after="0"/>
              <w:rPr>
                <w:sz w:val="1"/>
                <w:szCs w:val="1"/>
                <w:color w:val="auto"/>
              </w:rPr>
            </w:pPr>
          </w:p>
        </w:tc>
      </w:tr>
      <w:tr>
        <w:trPr>
          <w:trHeight w:val="208"/>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for)/provided by operating activities</w:t>
            </w:r>
          </w:p>
        </w:tc>
        <w:tc>
          <w:tcPr>
            <w:tcW w:w="840" w:type="dxa"/>
            <w:vAlign w:val="bottom"/>
          </w:tcPr>
          <w:p>
            <w:pPr>
              <w:spacing w:after="0"/>
              <w:rPr>
                <w:sz w:val="18"/>
                <w:szCs w:val="18"/>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for)/provided by investing activities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(574.9)%</w:t>
            </w:r>
          </w:p>
        </w:tc>
        <w:tc>
          <w:tcPr>
            <w:tcW w:w="0" w:type="dxa"/>
            <w:vAlign w:val="bottom"/>
          </w:tcPr>
          <w:p>
            <w:pPr>
              <w:spacing w:after="0"/>
              <w:rPr>
                <w:sz w:val="1"/>
                <w:szCs w:val="1"/>
                <w:color w:val="auto"/>
              </w:rPr>
            </w:pPr>
          </w:p>
        </w:tc>
      </w:tr>
      <w:tr>
        <w:trPr>
          <w:trHeight w:val="208"/>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for)/provided by financing activities</w:t>
            </w:r>
          </w:p>
        </w:tc>
        <w:tc>
          <w:tcPr>
            <w:tcW w:w="840" w:type="dxa"/>
            <w:vAlign w:val="bottom"/>
          </w:tcPr>
          <w:p>
            <w:pPr>
              <w:spacing w:after="0"/>
              <w:rPr>
                <w:sz w:val="18"/>
                <w:szCs w:val="18"/>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Closing cash, cash equivalents and restricted cash</w:t>
            </w:r>
          </w:p>
        </w:tc>
        <w:tc>
          <w:tcPr>
            <w:tcW w:w="840" w:type="dxa"/>
            <w:vAlign w:val="bottom"/>
            <w:tcBorders>
              <w:bottom w:val="single" w:sz="8" w:color="auto"/>
            </w:tcBorders>
          </w:tcPr>
          <w:p>
            <w:pPr>
              <w:jc w:val="right"/>
              <w:ind w:right="666"/>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158.4</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35.2 %</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As of March 31, 2025 and 2024, we had $331.4 million and $246.2 million, respectively, in cash, cash equivalents and short-term investments, of which $305.4 million and $213.7 million, respectively, is located in foreign jurisdictions that upon distribution may be subject to withholding and other taxes. We periodically evaluate opportunities to distribute cash among our group entities to fund our operations, expand our business and make strategic acquisitions in the United States and other geographies, and as and when we decide to distribute, we may have to accrue additional taxes in accordance with local tax laws, rules and regulations in the relevant foreign jurisdictions.</w:t>
      </w:r>
    </w:p>
    <w:p>
      <w:pPr>
        <w:spacing w:after="0" w:line="133" w:lineRule="exact"/>
        <w:rPr>
          <w:sz w:val="20"/>
          <w:szCs w:val="20"/>
          <w:color w:val="auto"/>
        </w:rPr>
      </w:pPr>
    </w:p>
    <w:p>
      <w:pPr>
        <w:jc w:val="both"/>
        <w:ind w:firstLine="39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was $3.2 million during the three months ended March 31, 2025, compared to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for operating activities of $21.9 million during the three months ended March 31, 2024, reflecting higher cash earnings and lower working capital needs. The major drivers contributing to the increase of $25.1 million year-over-year included the following:</w:t>
      </w:r>
    </w:p>
    <w:p>
      <w:pPr>
        <w:spacing w:after="0" w:line="165" w:lineRule="exact"/>
        <w:rPr>
          <w:sz w:val="20"/>
          <w:szCs w:val="20"/>
          <w:color w:val="auto"/>
        </w:rPr>
      </w:pPr>
    </w:p>
    <w:p>
      <w:pPr>
        <w:jc w:val="both"/>
        <w:ind w:left="640" w:hanging="319"/>
        <w:spacing w:after="0" w:line="239" w:lineRule="auto"/>
        <w:tabs>
          <w:tab w:leader="none" w:pos="635" w:val="left"/>
        </w:tabs>
        <w:numPr>
          <w:ilvl w:val="0"/>
          <w:numId w:val="2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18"/>
          <w:szCs w:val="18"/>
          <w:color w:val="auto"/>
        </w:rPr>
        <w:t>Increase in cash earnings including adjustments for non-cash and other items contributed higher cash flow of $22.6 million during the three months ended March 31, 2025, compared to the three months ended March 31, 2024. These adjustments include fair value changes in investments, unrealized foreign currency exchange (gain)/loss, net, stock-based employee compensation, depreciation and amortization of long-lived assets and intangibles acquired in business combinations, among others.</w:t>
      </w:r>
    </w:p>
    <w:p>
      <w:pPr>
        <w:spacing w:after="0" w:line="179" w:lineRule="exact"/>
        <w:rPr>
          <w:rFonts w:ascii="Times New Roman" w:cs="Times New Roman" w:eastAsia="Times New Roman" w:hAnsi="Times New Roman"/>
          <w:sz w:val="21"/>
          <w:szCs w:val="21"/>
          <w:b w:val="1"/>
          <w:bCs w:val="1"/>
          <w:i w:val="1"/>
          <w:iCs w:val="1"/>
          <w:color w:val="auto"/>
        </w:rPr>
      </w:pPr>
    </w:p>
    <w:p>
      <w:pPr>
        <w:jc w:val="both"/>
        <w:ind w:left="640" w:hanging="319"/>
        <w:spacing w:after="0" w:line="239" w:lineRule="auto"/>
        <w:tabs>
          <w:tab w:leader="none" w:pos="635" w:val="left"/>
        </w:tabs>
        <w:numPr>
          <w:ilvl w:val="0"/>
          <w:numId w:val="2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18"/>
          <w:szCs w:val="18"/>
          <w:color w:val="auto"/>
        </w:rPr>
        <w:t>Changes in accounts receivable, including advance billings, contributed lower cash flow of $12.7 million during the three months ended March 31, 2025, compared to the three months ended March 31, 2024. Collections in accounts receivable, including advance billings was driven by revenue growth during the three months ended March 31, 2025. Our days sales outstanding were 67 days as of March 31, 2025, compared to 66 days as of March 31, 2024.</w:t>
      </w:r>
    </w:p>
    <w:p>
      <w:pPr>
        <w:spacing w:after="0" w:line="179" w:lineRule="exact"/>
        <w:rPr>
          <w:rFonts w:ascii="Times New Roman" w:cs="Times New Roman" w:eastAsia="Times New Roman" w:hAnsi="Times New Roman"/>
          <w:sz w:val="21"/>
          <w:szCs w:val="21"/>
          <w:b w:val="1"/>
          <w:bCs w:val="1"/>
          <w:i w:val="1"/>
          <w:iCs w:val="1"/>
          <w:color w:val="auto"/>
        </w:rPr>
      </w:pPr>
    </w:p>
    <w:p>
      <w:pPr>
        <w:jc w:val="both"/>
        <w:ind w:left="640" w:hanging="319"/>
        <w:spacing w:after="0" w:line="243" w:lineRule="auto"/>
        <w:tabs>
          <w:tab w:leader="none" w:pos="635" w:val="left"/>
        </w:tabs>
        <w:numPr>
          <w:ilvl w:val="0"/>
          <w:numId w:val="2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18"/>
          <w:szCs w:val="18"/>
          <w:color w:val="auto"/>
        </w:rPr>
        <w:t>Payment of contingent consideration related to our December 2021 acquisition of Clairvoyant AI, Inc. (“Clairvoyant”) during the three months ended March 31, 2024 contributed to a higher cash payout of $11.0 million, whereas no such payment occurred during the three months ended March 31, 2025.</w:t>
      </w:r>
    </w:p>
    <w:p>
      <w:pPr>
        <w:spacing w:after="0" w:line="164" w:lineRule="exact"/>
        <w:rPr>
          <w:rFonts w:ascii="Times New Roman" w:cs="Times New Roman" w:eastAsia="Times New Roman" w:hAnsi="Times New Roman"/>
          <w:sz w:val="21"/>
          <w:szCs w:val="21"/>
          <w:b w:val="1"/>
          <w:bCs w:val="1"/>
          <w:i w:val="1"/>
          <w:iCs w:val="1"/>
          <w:color w:val="auto"/>
        </w:rPr>
      </w:pPr>
    </w:p>
    <w:p>
      <w:pPr>
        <w:ind w:left="640" w:hanging="319"/>
        <w:spacing w:after="0" w:line="220" w:lineRule="auto"/>
        <w:tabs>
          <w:tab w:leader="none" w:pos="635" w:val="left"/>
        </w:tabs>
        <w:numPr>
          <w:ilvl w:val="0"/>
          <w:numId w:val="2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18"/>
          <w:szCs w:val="18"/>
          <w:color w:val="auto"/>
        </w:rPr>
        <w:t>Changes in other assets, accounts payables including other liabilities contributed to a lower cash payouts of $4.2 million for the three months ended March 31, 2025, compared to the three months ended March 31, 2024.</w:t>
      </w:r>
    </w:p>
    <w:p>
      <w:pPr>
        <w:spacing w:after="0" w:line="126" w:lineRule="exact"/>
        <w:rPr>
          <w:sz w:val="20"/>
          <w:szCs w:val="20"/>
          <w:color w:val="auto"/>
        </w:rPr>
      </w:pPr>
    </w:p>
    <w:p>
      <w:pPr>
        <w:jc w:val="both"/>
        <w:ind w:firstLine="394"/>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for investing activities was $22.3 million for the three months ended March 31, 2025, compared to cash provided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$4.7 million for the three months ended March 31, 2024. The decrease of $27.0 million was primarily due to higher net purchases of investments of $8.8 million during the three months ended March 31, 2025, compared to net redemption of investments of $15.9 million during the three months ended March 31, 2024 and higher cash paid for purchase of long-lived assets, including investments in infrastructure, technology assets and digital capabilities of $1.7 million during the three months ended March 31, 2025, compared to the three months ended March 31, 2024.</w:t>
      </w:r>
    </w:p>
    <w:p>
      <w:pPr>
        <w:spacing w:after="0" w:line="205" w:lineRule="exact"/>
        <w:rPr>
          <w:sz w:val="20"/>
          <w:szCs w:val="20"/>
          <w:color w:val="auto"/>
        </w:rPr>
      </w:pPr>
    </w:p>
    <w:p>
      <w:pPr>
        <w:jc w:val="both"/>
        <w:ind w:firstLine="394"/>
        <w:spacing w:after="0" w:line="234"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provided by financing activities was $3.4 million during the three months ended March 31, 2025, compared to cash used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$9.8 million during the three months ended March 31, 2024. The increase of $13.2 million was primarily due to lower purchases of treasury stock of $134.2 million under our share repurchase programs during the three months ended March 31, 2025, compared to the three months ended March 31, 2024 and payment of contingent consideration related to our December 2021 acquisition of Clairvoyant of $4.0 million during the three months ended March 31, 2024, with no such payment during the three months ended March 31, 2025. This has been partially offset by net borrowings of $18.7 million during the three months ended March 31, 2025, compared to net borrowings of $145.0 million three months ended March 31, 2024.</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94"/>
        <w:spacing w:after="0" w:line="331" w:lineRule="auto"/>
        <w:rPr>
          <w:sz w:val="20"/>
          <w:szCs w:val="20"/>
          <w:color w:val="auto"/>
        </w:rPr>
      </w:pPr>
      <w:r>
        <w:rPr>
          <w:rFonts w:ascii="Times New Roman" w:cs="Times New Roman" w:eastAsia="Times New Roman" w:hAnsi="Times New Roman"/>
          <w:sz w:val="16"/>
          <w:szCs w:val="16"/>
          <w:color w:val="auto"/>
        </w:rPr>
        <w:t>We expect to use cash from operating activities to maintain and expand our business by making investments, primarily related to building new digital capabilities, including AI and purchase telecommunications equipment and computer hardware and software in connection with managing client operations.</w:t>
      </w:r>
    </w:p>
    <w:p>
      <w:pPr>
        <w:spacing w:after="0" w:line="71"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incurred $12.9 million of capital expenditures during the three months ended March 31, 2025. We expect to incur total capital expenditures of between $50.0 million to $55.0 million in fiscal 2025, primarily to meet our growth requirements, including additions to our facilities and infrastructure, as well as investments in technology applications, product development, and other digital technologies.</w:t>
      </w:r>
    </w:p>
    <w:p>
      <w:pPr>
        <w:spacing w:after="0" w:line="12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In connection with any tax assessment orders that have been issued, or may be issued against us or our subsidiaries, we may be required to deposit additional amounts with the relevant authorities with respect to such assessment orders. See Note 25 - Commitments and Contingencies to our unaudited consolidated financial statements under Part I, Item 1, “Financial Statements” for further details.</w:t>
      </w:r>
    </w:p>
    <w:p>
      <w:pPr>
        <w:spacing w:after="0" w:line="113" w:lineRule="exact"/>
        <w:rPr>
          <w:sz w:val="20"/>
          <w:szCs w:val="20"/>
          <w:color w:val="auto"/>
        </w:rPr>
      </w:pPr>
    </w:p>
    <w:p>
      <w:pPr>
        <w:jc w:val="both"/>
        <w:ind w:firstLine="434"/>
        <w:spacing w:after="0" w:line="234" w:lineRule="auto"/>
        <w:rPr>
          <w:sz w:val="20"/>
          <w:szCs w:val="20"/>
          <w:color w:val="auto"/>
        </w:rPr>
      </w:pPr>
      <w:r>
        <w:rPr>
          <w:rFonts w:ascii="Times New Roman" w:cs="Times New Roman" w:eastAsia="Times New Roman" w:hAnsi="Times New Roman"/>
          <w:sz w:val="18"/>
          <w:szCs w:val="18"/>
          <w:color w:val="auto"/>
        </w:rPr>
        <w:t>We believe that our existing cash, cash equivalents and short-term investments and sources of liquidity will be sufficient to satisfy our cash requirements over the next 12 months. Our future cash requirements will depend on many factors, including our rate of revenue growth, our investments in strategic initiatives like acquisition of complementary businesses, capital expenditures and continued stock repurchases under our board-authorized stock repurchase program, which may require the use of significant cash resources and/or additional financing. We anticipate that we will continue to rely upon cash from operating activities to finance most of our above-mentioned requirements, although if we have significant growth through acquisitions, we may need to obtain additional financing.</w:t>
      </w:r>
    </w:p>
    <w:p>
      <w:pPr>
        <w:spacing w:after="0" w:line="209" w:lineRule="exact"/>
        <w:rPr>
          <w:sz w:val="20"/>
          <w:szCs w:val="20"/>
          <w:color w:val="auto"/>
        </w:rPr>
      </w:pPr>
    </w:p>
    <w:p>
      <w:pPr>
        <w:jc w:val="both"/>
        <w:ind w:firstLine="434"/>
        <w:spacing w:after="0" w:line="229" w:lineRule="auto"/>
        <w:rPr>
          <w:sz w:val="20"/>
          <w:szCs w:val="20"/>
          <w:color w:val="auto"/>
        </w:rPr>
      </w:pPr>
      <w:r>
        <w:rPr>
          <w:rFonts w:ascii="Times New Roman" w:cs="Times New Roman" w:eastAsia="Times New Roman" w:hAnsi="Times New Roman"/>
          <w:sz w:val="18"/>
          <w:szCs w:val="18"/>
          <w:color w:val="auto"/>
        </w:rPr>
        <w:t>In the ordinary course of business, we enter into contracts and commitments that obligate us to make payments in the future. These obligations include borrowings, including interest obligations, purchase commitments, operating and finance lease commitments, employee benefit payments under gratuity plans, payments for contingent consideration and uncertain tax positions. See Note 16 - Fair Value Measurements - Fair Value of Contingent Consideration, Note 18 - Borrowings, Note 20 - Employee Benefit Plans, Note 21 - Leases, Note 22 - Income Taxes and Note 25 - Commitments and Contingencies to our unaudited consolidated financial statements under Part I, Item 1, “Financial Statements” for further information on material cash requirements from known contractual and other obligations.</w:t>
      </w:r>
    </w:p>
    <w:p>
      <w:pPr>
        <w:spacing w:after="0" w:line="5" w:lineRule="exact"/>
        <w:rPr>
          <w:sz w:val="20"/>
          <w:szCs w:val="20"/>
          <w:color w:val="auto"/>
        </w:rPr>
      </w:pPr>
    </w:p>
    <w:p>
      <w:pPr>
        <w:jc w:val="both"/>
        <w:ind w:firstLine="394"/>
        <w:spacing w:after="0" w:line="231" w:lineRule="auto"/>
        <w:rPr>
          <w:sz w:val="20"/>
          <w:szCs w:val="20"/>
          <w:color w:val="auto"/>
        </w:rPr>
      </w:pPr>
      <w:r>
        <w:rPr>
          <w:rFonts w:ascii="Times New Roman" w:cs="Times New Roman" w:eastAsia="Times New Roman" w:hAnsi="Times New Roman"/>
          <w:sz w:val="18"/>
          <w:szCs w:val="18"/>
          <w:color w:val="auto"/>
        </w:rPr>
        <w:t>In the ordinary course of business, we provide standby letters of credit to third parties primarily for facility leases. As of March 31, 2025 and December 31, 2024, we had outstanding letters of credit of $0.7 million and $0.8 million respectively, that were not recognized in our consolidated balance sheets. These are unlikely to have, a current or future material effect on our financial condition, revenues or expenses, results of operations, liquidity, capital expenditures or capital resources. We had no other off-balance sheet arrangements or obligations.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w:t>
      </w:r>
    </w:p>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debt position:</w:t>
      </w:r>
    </w:p>
    <w:p>
      <w:pPr>
        <w:spacing w:after="0" w:line="237" w:lineRule="exact"/>
        <w:rPr>
          <w:sz w:val="20"/>
          <w:szCs w:val="20"/>
          <w:color w:val="auto"/>
        </w:rPr>
      </w:pPr>
    </w:p>
    <w:tbl>
      <w:tblPr>
        <w:tblLayout w:type="fixed"/>
        <w:tblInd w:w="400" w:type="dxa"/>
        <w:tblCellMar>
          <w:top w:w="0" w:type="dxa"/>
          <w:left w:w="0" w:type="dxa"/>
          <w:bottom w:w="0" w:type="dxa"/>
          <w:right w:w="0" w:type="dxa"/>
        </w:tblCellMar>
      </w:tblPr>
      <w:tr>
        <w:trPr>
          <w:trHeight w:val="201"/>
        </w:trPr>
        <w:tc>
          <w:tcPr>
            <w:tcW w:w="3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As of</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8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800" w:type="dxa"/>
            <w:vAlign w:val="bottom"/>
            <w:shd w:val="clear" w:color="auto" w:fill="CCEEFF"/>
          </w:tcPr>
          <w:p>
            <w:pPr>
              <w:spacing w:after="0"/>
              <w:rPr>
                <w:sz w:val="11"/>
                <w:szCs w:val="11"/>
                <w:color w:val="auto"/>
              </w:rPr>
            </w:pPr>
          </w:p>
        </w:tc>
        <w:tc>
          <w:tcPr>
            <w:tcW w:w="1320" w:type="dxa"/>
            <w:vAlign w:val="bottom"/>
            <w:gridSpan w:val="3"/>
            <w:shd w:val="clear" w:color="auto" w:fill="CCEEFF"/>
          </w:tcPr>
          <w:p>
            <w:pPr>
              <w:jc w:val="center"/>
              <w:ind w:right="100"/>
              <w:spacing w:after="0" w:line="138" w:lineRule="exact"/>
              <w:rPr>
                <w:sz w:val="20"/>
                <w:szCs w:val="20"/>
                <w:color w:val="auto"/>
              </w:rPr>
            </w:pPr>
            <w:r>
              <w:rPr>
                <w:rFonts w:ascii="Times New Roman" w:cs="Times New Roman" w:eastAsia="Times New Roman" w:hAnsi="Times New Roman"/>
                <w:sz w:val="15"/>
                <w:szCs w:val="15"/>
                <w:b w:val="1"/>
                <w:bCs w:val="1"/>
                <w:color w:val="auto"/>
              </w:rPr>
              <w:t>Revolving credit</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220"/>
              <w:spacing w:after="0" w:line="138" w:lineRule="exact"/>
              <w:rPr>
                <w:sz w:val="20"/>
                <w:szCs w:val="20"/>
                <w:color w:val="auto"/>
              </w:rPr>
            </w:pPr>
            <w:r>
              <w:rPr>
                <w:rFonts w:ascii="Times New Roman" w:cs="Times New Roman" w:eastAsia="Times New Roman" w:hAnsi="Times New Roman"/>
                <w:sz w:val="15"/>
                <w:szCs w:val="15"/>
                <w:b w:val="1"/>
                <w:bCs w:val="1"/>
                <w:color w:val="auto"/>
                <w:w w:val="98"/>
              </w:rPr>
              <w:t>Term loan</w:t>
            </w:r>
          </w:p>
        </w:tc>
        <w:tc>
          <w:tcPr>
            <w:tcW w:w="1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gridSpan w:val="3"/>
            <w:shd w:val="clear" w:color="auto" w:fill="CCEEFF"/>
          </w:tcPr>
          <w:p>
            <w:pPr>
              <w:jc w:val="center"/>
              <w:ind w:right="80"/>
              <w:spacing w:after="0" w:line="138" w:lineRule="exact"/>
              <w:rPr>
                <w:sz w:val="20"/>
                <w:szCs w:val="20"/>
                <w:color w:val="auto"/>
              </w:rPr>
            </w:pPr>
            <w:r>
              <w:rPr>
                <w:rFonts w:ascii="Times New Roman" w:cs="Times New Roman" w:eastAsia="Times New Roman" w:hAnsi="Times New Roman"/>
                <w:sz w:val="15"/>
                <w:szCs w:val="15"/>
                <w:b w:val="1"/>
                <w:bCs w:val="1"/>
                <w:color w:val="auto"/>
                <w:w w:val="98"/>
              </w:rPr>
              <w:t>Revolving credit</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center"/>
              <w:ind w:right="240"/>
              <w:spacing w:after="0" w:line="138" w:lineRule="exact"/>
              <w:rPr>
                <w:sz w:val="20"/>
                <w:szCs w:val="20"/>
                <w:color w:val="auto"/>
              </w:rPr>
            </w:pPr>
            <w:r>
              <w:rPr>
                <w:rFonts w:ascii="Times New Roman" w:cs="Times New Roman" w:eastAsia="Times New Roman" w:hAnsi="Times New Roman"/>
                <w:sz w:val="15"/>
                <w:szCs w:val="15"/>
                <w:b w:val="1"/>
                <w:bCs w:val="1"/>
                <w:color w:val="auto"/>
                <w:w w:val="98"/>
              </w:rPr>
              <w:t>Term loan</w:t>
            </w: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24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23"/>
        </w:trPr>
        <w:tc>
          <w:tcPr>
            <w:tcW w:w="3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4"/>
              </w:rPr>
              <w:t>facility</w:t>
            </w:r>
          </w:p>
        </w:tc>
        <w:tc>
          <w:tcPr>
            <w:tcW w:w="1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facility</w:t>
            </w:r>
          </w:p>
        </w:tc>
        <w:tc>
          <w:tcPr>
            <w:tcW w:w="160" w:type="dxa"/>
            <w:vAlign w:val="bottom"/>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9"/>
              </w:rPr>
              <w:t>facility</w:t>
            </w:r>
          </w:p>
        </w:tc>
        <w:tc>
          <w:tcPr>
            <w:tcW w:w="1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4"/>
              </w:rPr>
              <w:t>facility</w:t>
            </w:r>
          </w:p>
        </w:tc>
        <w:tc>
          <w:tcPr>
            <w:tcW w:w="200" w:type="dxa"/>
            <w:vAlign w:val="bottom"/>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8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8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3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portion of long-term borrowings</w:t>
            </w:r>
          </w:p>
        </w:tc>
        <w:tc>
          <w:tcPr>
            <w:tcW w:w="24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5.0</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jc w:val="center"/>
              <w:ind w:right="106"/>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Unamortized debt issuance costs</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current portion of long-term borrowings</w:t>
            </w:r>
          </w:p>
        </w:tc>
        <w:tc>
          <w:tcPr>
            <w:tcW w:w="240" w:type="dxa"/>
            <w:vAlign w:val="bottom"/>
            <w:tcBorders>
              <w:top w:val="single" w:sz="8" w:color="auto"/>
              <w:bottom w:val="single" w:sz="8" w:color="CCEEFF"/>
            </w:tcBorders>
          </w:tcPr>
          <w:p>
            <w:pPr>
              <w:spacing w:after="0"/>
              <w:rPr>
                <w:sz w:val="19"/>
                <w:szCs w:val="19"/>
                <w:color w:val="auto"/>
              </w:rPr>
            </w:pPr>
          </w:p>
        </w:tc>
        <w:tc>
          <w:tcPr>
            <w:tcW w:w="98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CCEEFF"/>
            </w:tcBorders>
          </w:tcPr>
          <w:p>
            <w:pPr>
              <w:jc w:val="right"/>
              <w:ind w:right="6"/>
              <w:spacing w:after="0"/>
              <w:rPr>
                <w:sz w:val="20"/>
                <w:szCs w:val="20"/>
                <w:color w:val="auto"/>
              </w:rPr>
            </w:pPr>
            <w:r>
              <w:rPr>
                <w:rFonts w:ascii="Times New Roman" w:cs="Times New Roman" w:eastAsia="Times New Roman" w:hAnsi="Times New Roman"/>
                <w:sz w:val="15"/>
                <w:szCs w:val="15"/>
                <w:color w:val="auto"/>
              </w:rPr>
              <w:t>4.9</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60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4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CCEEFF"/>
            </w:tcBorders>
          </w:tcPr>
          <w:p>
            <w:pPr>
              <w:spacing w:after="0"/>
              <w:rPr>
                <w:sz w:val="19"/>
                <w:szCs w:val="19"/>
                <w:color w:val="auto"/>
              </w:rPr>
            </w:pPr>
          </w:p>
        </w:tc>
        <w:tc>
          <w:tcPr>
            <w:tcW w:w="92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7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0" w:type="dxa"/>
            <w:vAlign w:val="bottom"/>
          </w:tcPr>
          <w:p>
            <w:pPr>
              <w:spacing w:after="0"/>
              <w:rPr>
                <w:sz w:val="1"/>
                <w:szCs w:val="1"/>
                <w:color w:val="auto"/>
              </w:rPr>
            </w:pPr>
          </w:p>
        </w:tc>
      </w:tr>
      <w:tr>
        <w:trPr>
          <w:trHeight w:val="219"/>
        </w:trPr>
        <w:tc>
          <w:tcPr>
            <w:tcW w:w="3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borrowings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92.5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283.8</w:t>
            </w:r>
          </w:p>
        </w:tc>
        <w:tc>
          <w:tcPr>
            <w:tcW w:w="0" w:type="dxa"/>
            <w:vAlign w:val="bottom"/>
          </w:tcPr>
          <w:p>
            <w:pPr>
              <w:spacing w:after="0"/>
              <w:rPr>
                <w:sz w:val="1"/>
                <w:szCs w:val="1"/>
                <w:color w:val="auto"/>
              </w:rPr>
            </w:pPr>
          </w:p>
        </w:tc>
      </w:tr>
      <w:tr>
        <w:trPr>
          <w:trHeight w:val="228"/>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Unamortized debt issuance costs</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199"/>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long-term borrowings</w:t>
            </w: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210.0</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92.4</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302.4</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190.0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93.6</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283.6</w:t>
            </w:r>
          </w:p>
        </w:tc>
        <w:tc>
          <w:tcPr>
            <w:tcW w:w="0" w:type="dxa"/>
            <w:vAlign w:val="bottom"/>
          </w:tcPr>
          <w:p>
            <w:pPr>
              <w:spacing w:after="0"/>
              <w:rPr>
                <w:sz w:val="1"/>
                <w:szCs w:val="1"/>
                <w:color w:val="auto"/>
              </w:rPr>
            </w:pPr>
          </w:p>
        </w:tc>
      </w:tr>
      <w:tr>
        <w:trPr>
          <w:trHeight w:val="220"/>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borrowings</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97.3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307.3</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center"/>
              <w:ind w:right="106"/>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288.5</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firstLine="394"/>
        <w:spacing w:after="0" w:line="268" w:lineRule="auto"/>
        <w:rPr>
          <w:sz w:val="20"/>
          <w:szCs w:val="20"/>
          <w:color w:val="auto"/>
        </w:rPr>
      </w:pPr>
      <w:r>
        <w:rPr>
          <w:rFonts w:ascii="Times New Roman" w:cs="Times New Roman" w:eastAsia="Times New Roman" w:hAnsi="Times New Roman"/>
          <w:sz w:val="18"/>
          <w:szCs w:val="18"/>
          <w:color w:val="auto"/>
        </w:rPr>
        <w:t>As of March 31, 2025 and December 31, 2024, we were in compliance with the financial covenants under our credit agreement with certain lenders and Citibank N.A. as administrative agent. See Note 18 – Borrowings to our unaudited consolidated financial statements.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3" w:lineRule="exact"/>
        <w:rPr>
          <w:sz w:val="20"/>
          <w:szCs w:val="20"/>
          <w:color w:val="auto"/>
        </w:rPr>
      </w:pPr>
    </w:p>
    <w:p>
      <w:pPr>
        <w:ind w:firstLine="394"/>
        <w:spacing w:after="0" w:line="268"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2 - Summary of Significant Accounting Policies - Recent Accounting Pronouncements to our unaudited consolidated financial statements under Part I, 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63"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there were no material changes in our market risk exposure. For a discussion of our market risk associated with exchange rate risk and interest rate risk, see Part II, Item 7A “Quantitative and Qualitative Disclosures About Market Risk” in our Annual Report on Form 10-K for the fiscal year ended December 31, 2024.</w:t>
      </w:r>
    </w:p>
    <w:p>
      <w:pPr>
        <w:spacing w:after="0" w:line="12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5"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our Chief Executive Officer (“CEO”) and our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March 31, 2025. Based upon that evaluation, our CEO and CFO have concluded that the Company’s disclosure controls and procedures, as of March 31, 2025, were effective.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5" w:lineRule="exact"/>
        <w:rPr>
          <w:sz w:val="20"/>
          <w:szCs w:val="20"/>
          <w:color w:val="auto"/>
        </w:rPr>
      </w:pPr>
    </w:p>
    <w:p>
      <w:pPr>
        <w:jc w:val="both"/>
        <w:ind w:firstLine="434"/>
        <w:spacing w:after="0" w:line="331" w:lineRule="auto"/>
        <w:rPr>
          <w:sz w:val="20"/>
          <w:szCs w:val="20"/>
          <w:color w:val="auto"/>
        </w:rPr>
      </w:pPr>
      <w:r>
        <w:rPr>
          <w:rFonts w:ascii="Times New Roman" w:cs="Times New Roman" w:eastAsia="Times New Roman" w:hAnsi="Times New Roman"/>
          <w:sz w:val="16"/>
          <w:szCs w:val="16"/>
          <w:color w:val="auto"/>
        </w:rPr>
        <w:t>During the three months ended March 31, 2025,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10"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 position, results of operations or cash flows. See Note 25 -Commitments and Contingencies to our unaudited consolidated financial statements under Part I, Item 1, “Financial Statements” for details regarding our tax proceedings.</w:t>
      </w:r>
    </w:p>
    <w:p>
      <w:pPr>
        <w:spacing w:after="0" w:line="200" w:lineRule="exact"/>
        <w:rPr>
          <w:sz w:val="20"/>
          <w:szCs w:val="20"/>
          <w:color w:val="auto"/>
        </w:rPr>
      </w:pPr>
    </w:p>
    <w:p>
      <w:pPr>
        <w:spacing w:after="0" w:line="34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0"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We have disclosed under the heading “Risk Factors” in our Annual Report on Form 10-K for the fiscal year ended December 31, 2024, a number of risks which may materially affect our business, financial condition or results of operations. You should carefully consider those risk factors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13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three months ended March 31, 2025, purchases of common stock were as follows:</w:t>
      </w:r>
    </w:p>
    <w:p>
      <w:pPr>
        <w:spacing w:after="0" w:line="186" w:lineRule="exact"/>
        <w:rPr>
          <w:sz w:val="20"/>
          <w:szCs w:val="20"/>
          <w:color w:val="auto"/>
        </w:rPr>
      </w:pPr>
    </w:p>
    <w:tbl>
      <w:tblPr>
        <w:tblLayout w:type="fixed"/>
        <w:tblInd w:w="150" w:type="dxa"/>
        <w:tblCellMar>
          <w:top w:w="0" w:type="dxa"/>
          <w:left w:w="0" w:type="dxa"/>
          <w:bottom w:w="0" w:type="dxa"/>
          <w:right w:w="0" w:type="dxa"/>
        </w:tblCellMar>
      </w:tblPr>
      <w:tr>
        <w:trPr>
          <w:trHeight w:val="355"/>
        </w:trPr>
        <w:tc>
          <w:tcPr>
            <w:tcW w:w="23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980" w:type="dxa"/>
            <w:vAlign w:val="bottom"/>
            <w:tcBorders>
              <w:top w:val="single" w:sz="8" w:color="auto"/>
            </w:tcBorders>
            <w:gridSpan w:val="3"/>
          </w:tcPr>
          <w:p>
            <w:pPr>
              <w:jc w:val="center"/>
              <w:ind w:left="421"/>
              <w:spacing w:after="0"/>
              <w:rPr>
                <w:sz w:val="20"/>
                <w:szCs w:val="20"/>
                <w:color w:val="auto"/>
              </w:rPr>
            </w:pPr>
            <w:r>
              <w:rPr>
                <w:rFonts w:ascii="Times New Roman" w:cs="Times New Roman" w:eastAsia="Times New Roman" w:hAnsi="Times New Roman"/>
                <w:sz w:val="16"/>
                <w:szCs w:val="16"/>
                <w:b w:val="1"/>
                <w:bCs w:val="1"/>
                <w:color w:val="auto"/>
                <w:w w:val="98"/>
              </w:rPr>
              <w:t>Shares Purchased</w:t>
            </w:r>
          </w:p>
        </w:tc>
        <w:tc>
          <w:tcPr>
            <w:tcW w:w="600" w:type="dxa"/>
            <w:vAlign w:val="bottom"/>
            <w:tcBorders>
              <w:top w:val="single" w:sz="8" w:color="auto"/>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3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580" w:type="dxa"/>
            <w:vAlign w:val="bottom"/>
            <w:tcBorders>
              <w:right w:val="single" w:sz="8" w:color="auto"/>
            </w:tcBorders>
            <w:gridSpan w:val="4"/>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from Employees in connection with</w:t>
            </w:r>
          </w:p>
        </w:tc>
        <w:tc>
          <w:tcPr>
            <w:tcW w:w="100" w:type="dxa"/>
            <w:vAlign w:val="bottom"/>
            <w:tcBorders>
              <w:right w:val="single" w:sz="8" w:color="auto"/>
            </w:tcBorders>
          </w:tcPr>
          <w:p>
            <w:pPr>
              <w:spacing w:after="0"/>
              <w:rPr>
                <w:sz w:val="13"/>
                <w:szCs w:val="13"/>
                <w:color w:val="auto"/>
              </w:rPr>
            </w:pPr>
          </w:p>
        </w:tc>
        <w:tc>
          <w:tcPr>
            <w:tcW w:w="2840" w:type="dxa"/>
            <w:vAlign w:val="bottom"/>
            <w:tcBorders>
              <w:right w:val="single" w:sz="8" w:color="auto"/>
            </w:tcBorders>
            <w:gridSpan w:val="4"/>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Shares Purchased as Part of Publicly</w:t>
            </w:r>
          </w:p>
        </w:tc>
        <w:tc>
          <w:tcPr>
            <w:tcW w:w="1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580" w:type="dxa"/>
            <w:vAlign w:val="bottom"/>
            <w:tcBorders>
              <w:right w:val="single" w:sz="8" w:color="auto"/>
            </w:tcBorders>
            <w:gridSpan w:val="4"/>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satisfaction of Withholding Tax</w:t>
            </w:r>
          </w:p>
        </w:tc>
        <w:tc>
          <w:tcPr>
            <w:tcW w:w="100" w:type="dxa"/>
            <w:vAlign w:val="bottom"/>
            <w:tcBorders>
              <w:right w:val="single" w:sz="8" w:color="auto"/>
            </w:tcBorders>
          </w:tcPr>
          <w:p>
            <w:pPr>
              <w:spacing w:after="0"/>
              <w:rPr>
                <w:sz w:val="13"/>
                <w:szCs w:val="13"/>
                <w:color w:val="auto"/>
              </w:rPr>
            </w:pPr>
          </w:p>
        </w:tc>
        <w:tc>
          <w:tcPr>
            <w:tcW w:w="2840" w:type="dxa"/>
            <w:vAlign w:val="bottom"/>
            <w:tcBorders>
              <w:right w:val="single" w:sz="8" w:color="auto"/>
            </w:tcBorders>
            <w:gridSpan w:val="4"/>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vMerge w:val="restart"/>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8"/>
              </w:rPr>
              <w:t>Approximate Dollar</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980" w:type="dxa"/>
            <w:vAlign w:val="bottom"/>
            <w:gridSpan w:val="3"/>
          </w:tcPr>
          <w:p>
            <w:pPr>
              <w:jc w:val="center"/>
              <w:ind w:left="481"/>
              <w:spacing w:after="0" w:line="158" w:lineRule="exact"/>
              <w:rPr>
                <w:sz w:val="20"/>
                <w:szCs w:val="20"/>
                <w:color w:val="auto"/>
              </w:rPr>
            </w:pPr>
            <w:r>
              <w:rPr>
                <w:rFonts w:ascii="Times New Roman" w:cs="Times New Roman" w:eastAsia="Times New Roman" w:hAnsi="Times New Roman"/>
                <w:sz w:val="16"/>
                <w:szCs w:val="16"/>
                <w:b w:val="1"/>
                <w:bCs w:val="1"/>
                <w:color w:val="auto"/>
                <w:w w:val="98"/>
              </w:rPr>
              <w:t>Obligations</w:t>
            </w:r>
          </w:p>
        </w:tc>
        <w:tc>
          <w:tcPr>
            <w:tcW w:w="60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840" w:type="dxa"/>
            <w:vAlign w:val="bottom"/>
            <w:tcBorders>
              <w:right w:val="single" w:sz="8" w:color="auto"/>
            </w:tcBorders>
            <w:gridSpan w:val="4"/>
          </w:tcPr>
          <w:p>
            <w:pPr>
              <w:jc w:val="right"/>
              <w:ind w:right="621"/>
              <w:spacing w:after="0" w:line="158" w:lineRule="exact"/>
              <w:rPr>
                <w:sz w:val="20"/>
                <w:szCs w:val="20"/>
                <w:color w:val="auto"/>
              </w:rPr>
            </w:pPr>
            <w:r>
              <w:rPr>
                <w:rFonts w:ascii="Times New Roman" w:cs="Times New Roman" w:eastAsia="Times New Roman" w:hAnsi="Times New Roman"/>
                <w:sz w:val="16"/>
                <w:szCs w:val="16"/>
                <w:b w:val="1"/>
                <w:bCs w:val="1"/>
                <w:color w:val="auto"/>
              </w:rPr>
              <w:t>Announced Programs</w:t>
            </w:r>
          </w:p>
        </w:tc>
        <w:tc>
          <w:tcPr>
            <w:tcW w:w="1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36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w:t>
            </w:r>
          </w:p>
        </w:tc>
        <w:tc>
          <w:tcPr>
            <w:tcW w:w="1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vMerge w:val="restart"/>
          </w:tcPr>
          <w:p>
            <w:pPr>
              <w:jc w:val="center"/>
              <w:ind w:right="1"/>
              <w:spacing w:after="0" w:line="145" w:lineRule="exact"/>
              <w:rPr>
                <w:sz w:val="20"/>
                <w:szCs w:val="20"/>
                <w:color w:val="auto"/>
              </w:rPr>
            </w:pPr>
            <w:r>
              <w:rPr>
                <w:rFonts w:ascii="Times New Roman" w:cs="Times New Roman" w:eastAsia="Times New Roman" w:hAnsi="Times New Roman"/>
                <w:sz w:val="16"/>
                <w:szCs w:val="16"/>
                <w:b w:val="1"/>
                <w:bCs w:val="1"/>
                <w:color w:val="auto"/>
                <w:w w:val="96"/>
              </w:rPr>
              <w:t>Value of Shares That</w:t>
            </w: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360" w:type="dxa"/>
            <w:vAlign w:val="bottom"/>
            <w:tcBorders>
              <w:left w:val="single" w:sz="8" w:color="auto"/>
              <w:right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right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36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gridSpan w:val="2"/>
            <w:vMerge w:val="restart"/>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0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vMerge w:val="restart"/>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right w:val="single" w:sz="8" w:color="auto"/>
            </w:tcBorders>
            <w:vMerge w:val="restart"/>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7"/>
              </w:rPr>
              <w:t>Average Price</w:t>
            </w:r>
          </w:p>
        </w:tc>
        <w:tc>
          <w:tcPr>
            <w:tcW w:w="1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jc w:val="center"/>
              <w:ind w:right="1"/>
              <w:spacing w:after="0" w:line="158" w:lineRule="exact"/>
              <w:rPr>
                <w:sz w:val="20"/>
                <w:szCs w:val="20"/>
                <w:color w:val="auto"/>
              </w:rPr>
            </w:pPr>
            <w:r>
              <w:rPr>
                <w:rFonts w:ascii="Times New Roman" w:cs="Times New Roman" w:eastAsia="Times New Roman" w:hAnsi="Times New Roman"/>
                <w:sz w:val="16"/>
                <w:szCs w:val="16"/>
                <w:b w:val="1"/>
                <w:bCs w:val="1"/>
                <w:color w:val="auto"/>
                <w:w w:val="96"/>
              </w:rPr>
              <w:t>May Yet Be Purchased</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gridSpan w:val="2"/>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right w:val="single" w:sz="8" w:color="auto"/>
            </w:tcBorders>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jc w:val="center"/>
              <w:ind w:right="1"/>
              <w:spacing w:after="0" w:line="158" w:lineRule="exact"/>
              <w:rPr>
                <w:sz w:val="20"/>
                <w:szCs w:val="20"/>
                <w:color w:val="auto"/>
              </w:rPr>
            </w:pPr>
            <w:r>
              <w:rPr>
                <w:rFonts w:ascii="Times New Roman" w:cs="Times New Roman" w:eastAsia="Times New Roman" w:hAnsi="Times New Roman"/>
                <w:sz w:val="16"/>
                <w:szCs w:val="16"/>
                <w:b w:val="1"/>
                <w:bCs w:val="1"/>
                <w:color w:val="auto"/>
                <w:w w:val="98"/>
              </w:rPr>
              <w:t>Under the Plans or</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36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120" w:type="dxa"/>
            <w:vAlign w:val="bottom"/>
            <w:tcBorders>
              <w:bottom w:val="single" w:sz="8" w:color="CCEEFF"/>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00" w:type="dxa"/>
            <w:vAlign w:val="bottom"/>
            <w:tcBorders>
              <w:bottom w:val="single" w:sz="8" w:color="CCEEFF"/>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0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6"/>
              </w:rPr>
              <w:t>Paid per share</w:t>
            </w:r>
          </w:p>
        </w:tc>
        <w:tc>
          <w:tcPr>
            <w:tcW w:w="120" w:type="dxa"/>
            <w:vAlign w:val="bottom"/>
            <w:tcBorders>
              <w:bottom w:val="single" w:sz="8" w:color="CCEEFF"/>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7"/>
              </w:rPr>
              <w:t>Programs</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360" w:type="dxa"/>
            <w:vAlign w:val="bottom"/>
            <w:tcBorders>
              <w:left w:val="single" w:sz="8" w:color="CCEEFF"/>
              <w:right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auto"/>
                <w:w w:val="99"/>
              </w:rPr>
              <w:t>January 1, 2025 through January 31,</w:t>
            </w:r>
          </w:p>
        </w:tc>
        <w:tc>
          <w:tcPr>
            <w:tcW w:w="120" w:type="dxa"/>
            <w:vAlign w:val="bottom"/>
            <w:tcBorders>
              <w:right w:val="single" w:sz="8" w:color="CCEEFF"/>
            </w:tcBorders>
            <w:shd w:val="clear" w:color="auto" w:fill="CCEEFF"/>
          </w:tcPr>
          <w:p>
            <w:pPr>
              <w:spacing w:after="0"/>
              <w:rPr>
                <w:sz w:val="13"/>
                <w:szCs w:val="13"/>
                <w:color w:val="auto"/>
              </w:rPr>
            </w:pPr>
          </w:p>
        </w:tc>
        <w:tc>
          <w:tcPr>
            <w:tcW w:w="1360" w:type="dxa"/>
            <w:vAlign w:val="bottom"/>
            <w:tcBorders>
              <w:right w:val="single" w:sz="8" w:color="CCEEFF"/>
            </w:tcBorders>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126,973</w:t>
            </w:r>
          </w:p>
        </w:tc>
        <w:tc>
          <w:tcPr>
            <w:tcW w:w="100" w:type="dxa"/>
            <w:vAlign w:val="bottom"/>
            <w:tcBorders>
              <w:right w:val="single" w:sz="8" w:color="CCEEFF"/>
            </w:tcBorders>
            <w:shd w:val="clear" w:color="auto" w:fill="CCEEFF"/>
          </w:tcPr>
          <w:p>
            <w:pPr>
              <w:spacing w:after="0"/>
              <w:rPr>
                <w:sz w:val="13"/>
                <w:szCs w:val="13"/>
                <w:color w:val="auto"/>
              </w:rPr>
            </w:pPr>
          </w:p>
        </w:tc>
        <w:tc>
          <w:tcPr>
            <w:tcW w:w="520" w:type="dxa"/>
            <w:vAlign w:val="bottom"/>
            <w:vMerge w:val="restart"/>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right w:val="single" w:sz="8" w:color="CCEEFF"/>
            </w:tcBorders>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49.14</w:t>
            </w:r>
          </w:p>
        </w:tc>
        <w:tc>
          <w:tcPr>
            <w:tcW w:w="100" w:type="dxa"/>
            <w:vAlign w:val="bottom"/>
            <w:tcBorders>
              <w:right w:val="single" w:sz="8" w:color="CCEEFF"/>
            </w:tcBorders>
            <w:shd w:val="clear" w:color="auto" w:fill="CCEEFF"/>
          </w:tcPr>
          <w:p>
            <w:pPr>
              <w:spacing w:after="0"/>
              <w:rPr>
                <w:sz w:val="13"/>
                <w:szCs w:val="13"/>
                <w:color w:val="auto"/>
              </w:rPr>
            </w:pPr>
          </w:p>
        </w:tc>
        <w:tc>
          <w:tcPr>
            <w:tcW w:w="1580" w:type="dxa"/>
            <w:vAlign w:val="bottom"/>
            <w:tcBorders>
              <w:right w:val="single" w:sz="8" w:color="CCEEFF"/>
            </w:tcBorders>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126,833</w:t>
            </w: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right w:val="single" w:sz="8" w:color="CCEEFF"/>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45.30</w:t>
            </w:r>
          </w:p>
        </w:tc>
        <w:tc>
          <w:tcPr>
            <w:tcW w:w="120" w:type="dxa"/>
            <w:vAlign w:val="bottom"/>
            <w:tcBorders>
              <w:right w:val="single" w:sz="8" w:color="CCEEFF"/>
            </w:tcBorders>
            <w:shd w:val="clear" w:color="auto" w:fill="CCEEFF"/>
          </w:tcPr>
          <w:p>
            <w:pPr>
              <w:spacing w:after="0"/>
              <w:rPr>
                <w:sz w:val="13"/>
                <w:szCs w:val="13"/>
                <w:color w:val="auto"/>
              </w:rPr>
            </w:pPr>
          </w:p>
        </w:tc>
        <w:tc>
          <w:tcPr>
            <w:tcW w:w="1040" w:type="dxa"/>
            <w:vAlign w:val="bottom"/>
            <w:tcBorders>
              <w:right w:val="single" w:sz="8" w:color="CCEEFF"/>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253,806</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317,160,940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36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Borders>
              <w:right w:val="single" w:sz="8" w:color="CCEEFF"/>
            </w:tcBorders>
            <w:shd w:val="clear" w:color="auto" w:fill="CCEEFF"/>
          </w:tcPr>
          <w:p>
            <w:pPr>
              <w:spacing w:after="0"/>
              <w:rPr>
                <w:sz w:val="18"/>
                <w:szCs w:val="18"/>
                <w:color w:val="auto"/>
              </w:rPr>
            </w:pPr>
          </w:p>
        </w:tc>
        <w:tc>
          <w:tcPr>
            <w:tcW w:w="136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60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58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8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4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4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February 1, 2025 through February</w:t>
            </w:r>
          </w:p>
        </w:tc>
        <w:tc>
          <w:tcPr>
            <w:tcW w:w="13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63,743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50.08</w:t>
            </w:r>
          </w:p>
        </w:tc>
        <w:tc>
          <w:tcPr>
            <w:tcW w:w="100" w:type="dxa"/>
            <w:vAlign w:val="bottom"/>
          </w:tcPr>
          <w:p>
            <w:pPr>
              <w:spacing w:after="0"/>
              <w:rPr>
                <w:sz w:val="13"/>
                <w:szCs w:val="13"/>
                <w:color w:val="auto"/>
              </w:rPr>
            </w:pPr>
          </w:p>
        </w:tc>
        <w:tc>
          <w:tcPr>
            <w:tcW w:w="158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48,230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47.97</w:t>
            </w:r>
          </w:p>
        </w:tc>
        <w:tc>
          <w:tcPr>
            <w:tcW w:w="120" w:type="dxa"/>
            <w:vAlign w:val="bottom"/>
          </w:tcPr>
          <w:p>
            <w:pPr>
              <w:spacing w:after="0"/>
              <w:rPr>
                <w:sz w:val="13"/>
                <w:szCs w:val="13"/>
                <w:color w:val="auto"/>
              </w:rPr>
            </w:pPr>
          </w:p>
        </w:tc>
        <w:tc>
          <w:tcPr>
            <w:tcW w:w="10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111,973</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314,847,451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28, 2025</w:t>
            </w:r>
          </w:p>
        </w:tc>
        <w:tc>
          <w:tcPr>
            <w:tcW w:w="1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480" w:type="dxa"/>
            <w:vAlign w:val="bottom"/>
            <w:tcBorders>
              <w:left w:val="single" w:sz="8" w:color="CCEEFF"/>
              <w:right w:val="single" w:sz="8" w:color="CCEEFF"/>
            </w:tcBorders>
            <w:gridSpan w:val="2"/>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March 1, 2025 through March 31,</w:t>
            </w:r>
          </w:p>
        </w:tc>
        <w:tc>
          <w:tcPr>
            <w:tcW w:w="14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2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CCEEFF"/>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314,847,451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36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Borders>
              <w:right w:val="single" w:sz="8" w:color="CCEEFF"/>
            </w:tcBorders>
            <w:shd w:val="clear" w:color="auto" w:fill="CCEEFF"/>
          </w:tcPr>
          <w:p>
            <w:pPr>
              <w:spacing w:after="0"/>
              <w:rPr>
                <w:sz w:val="18"/>
                <w:szCs w:val="18"/>
                <w:color w:val="auto"/>
              </w:rPr>
            </w:pPr>
          </w:p>
        </w:tc>
        <w:tc>
          <w:tcPr>
            <w:tcW w:w="1460" w:type="dxa"/>
            <w:vAlign w:val="bottom"/>
            <w:tcBorders>
              <w:right w:val="single" w:sz="8" w:color="CCEEFF"/>
            </w:tcBorders>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vMerge w:val="continue"/>
            <w:shd w:val="clear" w:color="auto" w:fill="CCEEFF"/>
          </w:tcPr>
          <w:p>
            <w:pPr>
              <w:spacing w:after="0"/>
              <w:rPr>
                <w:sz w:val="18"/>
                <w:szCs w:val="18"/>
                <w:color w:val="auto"/>
              </w:rPr>
            </w:pPr>
          </w:p>
        </w:tc>
        <w:tc>
          <w:tcPr>
            <w:tcW w:w="168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vMerge w:val="continue"/>
            <w:shd w:val="clear" w:color="auto" w:fill="CCEEFF"/>
          </w:tcPr>
          <w:p>
            <w:pPr>
              <w:spacing w:after="0"/>
              <w:rPr>
                <w:sz w:val="18"/>
                <w:szCs w:val="18"/>
                <w:color w:val="auto"/>
              </w:rPr>
            </w:pPr>
          </w:p>
        </w:tc>
        <w:tc>
          <w:tcPr>
            <w:tcW w:w="104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36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190,716</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49.46</w:t>
            </w:r>
          </w:p>
        </w:tc>
        <w:tc>
          <w:tcPr>
            <w:tcW w:w="100" w:type="dxa"/>
            <w:vAlign w:val="bottom"/>
          </w:tcPr>
          <w:p>
            <w:pPr>
              <w:spacing w:after="0"/>
              <w:rPr>
                <w:sz w:val="17"/>
                <w:szCs w:val="17"/>
                <w:color w:val="auto"/>
              </w:rPr>
            </w:pPr>
          </w:p>
        </w:tc>
        <w:tc>
          <w:tcPr>
            <w:tcW w:w="15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175,063</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46.03</w:t>
            </w:r>
          </w:p>
        </w:tc>
        <w:tc>
          <w:tcPr>
            <w:tcW w:w="1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365,779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firstLine="434"/>
        <w:spacing w:after="0" w:line="253" w:lineRule="auto"/>
        <w:rPr>
          <w:sz w:val="20"/>
          <w:szCs w:val="20"/>
          <w:color w:val="auto"/>
        </w:rPr>
      </w:pPr>
      <w:r>
        <w:rPr>
          <w:rFonts w:ascii="Times New Roman" w:cs="Times New Roman" w:eastAsia="Times New Roman" w:hAnsi="Times New Roman"/>
          <w:sz w:val="18"/>
          <w:szCs w:val="18"/>
          <w:color w:val="auto"/>
        </w:rPr>
        <w:t>On February 26, 2024, our board of directors authorized a $500 million (excluding excise tax) common stock repurchase program beginning March 1, 2024 (the “2024 Repurchase Program”).</w:t>
      </w:r>
    </w:p>
    <w:p>
      <w:pPr>
        <w:spacing w:after="0" w:line="102" w:lineRule="exact"/>
        <w:rPr>
          <w:sz w:val="20"/>
          <w:szCs w:val="20"/>
          <w:color w:val="auto"/>
        </w:rPr>
      </w:pPr>
    </w:p>
    <w:p>
      <w:pPr>
        <w:jc w:val="both"/>
        <w:ind w:firstLine="434"/>
        <w:spacing w:after="0" w:line="237" w:lineRule="auto"/>
        <w:rPr>
          <w:sz w:val="20"/>
          <w:szCs w:val="20"/>
          <w:color w:val="auto"/>
        </w:rPr>
      </w:pPr>
      <w:r>
        <w:rPr>
          <w:rFonts w:ascii="Times New Roman" w:cs="Times New Roman" w:eastAsia="Times New Roman" w:hAnsi="Times New Roman"/>
          <w:sz w:val="18"/>
          <w:szCs w:val="18"/>
          <w:color w:val="auto"/>
        </w:rPr>
        <w:t>Under our repurchase program, shares may be purchased by us from time to time from the open market and through private transactions, or otherwise, as determined by our management as market conditions warrant. We have structured open market purchases under our repurchase program to comply with Rule 10b-18 under the Exchange Act. Repurchases may be discontinued at any time by management. Repurchased shares are recorded as treasury shares and are held until our board of directors designates that these shares be retired or used for other purposes.</w:t>
      </w:r>
    </w:p>
    <w:p>
      <w:pPr>
        <w:spacing w:after="0" w:line="200" w:lineRule="exact"/>
        <w:rPr>
          <w:sz w:val="20"/>
          <w:szCs w:val="20"/>
          <w:color w:val="auto"/>
        </w:rPr>
      </w:pPr>
    </w:p>
    <w:p>
      <w:pPr>
        <w:spacing w:after="0" w:line="25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8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31" w:lineRule="exact"/>
        <w:rPr>
          <w:sz w:val="20"/>
          <w:szCs w:val="20"/>
          <w:color w:val="auto"/>
        </w:rPr>
      </w:pPr>
    </w:p>
    <w:p>
      <w:pPr>
        <w:jc w:val="both"/>
        <w:ind w:firstLine="473"/>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exhibits are being filed as part of this report or incorporated by reference as indicated therein:</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9840" w:type="dxa"/>
            <w:vAlign w:val="bottom"/>
            <w:gridSpan w:val="7"/>
          </w:tcPr>
          <w:p>
            <w:pPr>
              <w:spacing w:after="0"/>
              <w:rPr>
                <w:rFonts w:ascii="Times New Roman" w:cs="Times New Roman" w:eastAsia="Times New Roman" w:hAnsi="Times New Roman"/>
                <w:sz w:val="18"/>
                <w:szCs w:val="18"/>
                <w:color w:val="0000FF"/>
                <w:w w:val="97"/>
              </w:rPr>
            </w:pPr>
            <w:hyperlink r:id="rId74">
              <w:r>
                <w:rPr>
                  <w:rFonts w:ascii="Times New Roman" w:cs="Times New Roman" w:eastAsia="Times New Roman" w:hAnsi="Times New Roman"/>
                  <w:sz w:val="18"/>
                  <w:szCs w:val="18"/>
                  <w:color w:val="0000FF"/>
                  <w:w w:val="97"/>
                </w:rPr>
                <w:t>Fourth Amended and Restated Certificate of Incorporation of the Company (incorporated by reference to Exhibit 3.1 of the Company’s Cur</w:t>
              </w:r>
            </w:hyperlink>
          </w:p>
        </w:tc>
      </w:tr>
      <w:tr>
        <w:trPr>
          <w:trHeight w:val="151"/>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6"/>
          </w:tcPr>
          <w:p>
            <w:pPr>
              <w:spacing w:after="0" w:line="151" w:lineRule="exact"/>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Report on Form 8-K (File No. 1-33089) filed on June 25, 2024).</w:t>
              </w:r>
            </w:hyperlink>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r>
      <w:tr>
        <w:trPr>
          <w:trHeight w:val="26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3"/>
                <w:szCs w:val="23"/>
                <w:color w:val="auto"/>
              </w:rPr>
            </w:pPr>
          </w:p>
        </w:tc>
        <w:tc>
          <w:tcPr>
            <w:tcW w:w="9840" w:type="dxa"/>
            <w:vAlign w:val="bottom"/>
            <w:gridSpan w:val="7"/>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Sixth Amended and Restated By-laws of the Company, as in effect as of the date hereof (incorporated by reference to Exhibit 3.2 of</w:t>
              </w:r>
            </w:hyperlink>
          </w:p>
        </w:tc>
      </w:tr>
      <w:tr>
        <w:trPr>
          <w:trHeight w:val="151"/>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6"/>
          </w:tcPr>
          <w:p>
            <w:pPr>
              <w:spacing w:after="0" w:line="151" w:lineRule="exact"/>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Company’s Current Report on Form 8-K (File No. 1-33089) filed on June 21, 2023).</w:t>
              </w:r>
            </w:hyperlink>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r>
      <w:tr>
        <w:trPr>
          <w:trHeight w:val="26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3"/>
                <w:szCs w:val="23"/>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6"/>
              </w:rPr>
              <w:t>Certification of the Chief Executive Officer of ExlService Holdings, pursuant to Rule 13a-14(a) of the Exchange Act, as adopted pursuant to</w:t>
            </w:r>
          </w:p>
        </w:tc>
      </w:tr>
      <w:tr>
        <w:trPr>
          <w:trHeight w:val="151"/>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2"/>
          </w:tcPr>
          <w:p>
            <w:pPr>
              <w:spacing w:after="0" w:line="151"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64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3"/>
                <w:szCs w:val="23"/>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of ExlService Holdings, pursuant to Rule 13a-14(a) of the Exchange Act, as adopted pursuan</w:t>
            </w:r>
          </w:p>
        </w:tc>
      </w:tr>
      <w:tr>
        <w:trPr>
          <w:trHeight w:val="151"/>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2"/>
          </w:tcPr>
          <w:p>
            <w:pPr>
              <w:spacing w:after="0" w:line="151"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64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3"/>
                <w:szCs w:val="23"/>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Rule 13a-14(b) of the Exchange Act and 18 U.S.C. Section 1350, as adopted purs</w:t>
            </w:r>
          </w:p>
        </w:tc>
      </w:tr>
      <w:tr>
        <w:trPr>
          <w:trHeight w:val="151"/>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6"/>
          </w:tcPr>
          <w:p>
            <w:pPr>
              <w:spacing w:after="0" w:line="151" w:lineRule="exact"/>
              <w:rPr>
                <w:sz w:val="20"/>
                <w:szCs w:val="20"/>
                <w:color w:val="auto"/>
              </w:rPr>
            </w:pPr>
            <w:r>
              <w:rPr>
                <w:rFonts w:ascii="Times New Roman" w:cs="Times New Roman" w:eastAsia="Times New Roman" w:hAnsi="Times New Roman"/>
                <w:sz w:val="16"/>
                <w:szCs w:val="16"/>
                <w:color w:val="0000FF"/>
              </w:rPr>
              <w:t>to Section 906 of the Sarbanes-Oxley Act of 2002.</w:t>
            </w:r>
            <w:r>
              <w:rPr>
                <w:rFonts w:ascii="Times New Roman" w:cs="Times New Roman" w:eastAsia="Times New Roman" w:hAnsi="Times New Roman"/>
                <w:sz w:val="16"/>
                <w:szCs w:val="16"/>
                <w:color w:val="000000"/>
              </w:rPr>
              <w:t>*</w:t>
            </w: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300" w:type="dxa"/>
            <w:vAlign w:val="bottom"/>
            <w:gridSpan w:val="4"/>
          </w:tcPr>
          <w:p>
            <w:pPr>
              <w:spacing w:after="0" w:line="20" w:lineRule="exact"/>
              <w:rPr>
                <w:sz w:val="1"/>
                <w:szCs w:val="1"/>
                <w:color w:val="auto"/>
              </w:rPr>
            </w:pPr>
          </w:p>
        </w:tc>
      </w:tr>
      <w:tr>
        <w:trPr>
          <w:trHeight w:val="26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3"/>
                <w:szCs w:val="23"/>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Certification of the Chief Financial Officer pursuant to Rule 13a-14(b) of the Exchange Act and 18 U.S.C. Section 1350, as adopted pursua</w:t>
            </w:r>
          </w:p>
        </w:tc>
      </w:tr>
      <w:tr>
        <w:trPr>
          <w:trHeight w:val="151"/>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6"/>
          </w:tcPr>
          <w:p>
            <w:pPr>
              <w:spacing w:after="0" w:line="151" w:lineRule="exact"/>
              <w:rPr>
                <w:sz w:val="20"/>
                <w:szCs w:val="20"/>
                <w:color w:val="auto"/>
              </w:rPr>
            </w:pPr>
            <w:r>
              <w:rPr>
                <w:rFonts w:ascii="Times New Roman" w:cs="Times New Roman" w:eastAsia="Times New Roman" w:hAnsi="Times New Roman"/>
                <w:sz w:val="16"/>
                <w:szCs w:val="16"/>
                <w:color w:val="0000FF"/>
              </w:rPr>
              <w:t>Section 906 of the Sarbanes-Oxley Act of 2002.</w:t>
            </w:r>
            <w:r>
              <w:rPr>
                <w:rFonts w:ascii="Times New Roman" w:cs="Times New Roman" w:eastAsia="Times New Roman" w:hAnsi="Times New Roman"/>
                <w:sz w:val="16"/>
                <w:szCs w:val="16"/>
                <w:color w:val="000000"/>
              </w:rPr>
              <w:t>*</w:t>
            </w:r>
          </w:p>
        </w:tc>
        <w:tc>
          <w:tcPr>
            <w:tcW w:w="20" w:type="dxa"/>
            <w:vAlign w:val="bottom"/>
          </w:tcPr>
          <w:p>
            <w:pPr>
              <w:spacing w:after="0"/>
              <w:rPr>
                <w:sz w:val="13"/>
                <w:szCs w:val="13"/>
                <w:color w:val="auto"/>
              </w:rPr>
            </w:pPr>
          </w:p>
        </w:tc>
      </w:tr>
      <w:tr>
        <w:trPr>
          <w:trHeight w:val="308"/>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33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480" w:type="dxa"/>
            <w:vAlign w:val="bottom"/>
            <w:gridSpan w:val="6"/>
          </w:tcPr>
          <w:p>
            <w:pPr>
              <w:spacing w:after="0"/>
              <w:rPr>
                <w:sz w:val="24"/>
                <w:szCs w:val="24"/>
                <w:color w:val="auto"/>
              </w:rPr>
            </w:pPr>
          </w:p>
        </w:tc>
      </w:tr>
      <w:tr>
        <w:trPr>
          <w:trHeight w:val="27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7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7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7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7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w:t>
            </w:r>
          </w:p>
        </w:tc>
      </w:tr>
      <w:tr>
        <w:trPr>
          <w:trHeight w:val="276"/>
        </w:trPr>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310" w:lineRule="exact"/>
        <w:rPr>
          <w:sz w:val="20"/>
          <w:szCs w:val="20"/>
          <w:color w:val="auto"/>
        </w:rPr>
      </w:pPr>
    </w:p>
    <w:p>
      <w:pPr>
        <w:jc w:val="both"/>
        <w:ind w:left="80" w:right="100" w:hanging="78"/>
        <w:spacing w:after="0" w:line="256" w:lineRule="auto"/>
        <w:rPr>
          <w:sz w:val="20"/>
          <w:szCs w:val="20"/>
          <w:color w:val="auto"/>
        </w:rPr>
      </w:pPr>
      <w:r>
        <w:rPr>
          <w:rFonts w:ascii="Times New Roman" w:cs="Times New Roman" w:eastAsia="Times New Roman" w:hAnsi="Times New Roman"/>
          <w:sz w:val="18"/>
          <w:szCs w:val="18"/>
          <w:color w:val="auto"/>
        </w:rPr>
        <w:t>*This exhibit will not be deemed “filed” for purposes of Section 18 of the Exchange Act, or otherwise subject to the liability of that section. Such exhibit will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780"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p>
      <w:pPr>
        <w:ind w:left="460"/>
        <w:spacing w:after="0"/>
        <w:tabs>
          <w:tab w:leader="none" w:pos="5340" w:val="left"/>
        </w:tabs>
        <w:rPr>
          <w:sz w:val="20"/>
          <w:szCs w:val="20"/>
          <w:color w:val="auto"/>
        </w:rPr>
      </w:pPr>
      <w:r>
        <w:rPr>
          <w:rFonts w:ascii="Times New Roman" w:cs="Times New Roman" w:eastAsia="Times New Roman" w:hAnsi="Times New Roman"/>
          <w:sz w:val="18"/>
          <w:szCs w:val="18"/>
          <w:color w:val="auto"/>
        </w:rPr>
        <w:t>Date: April 29, 2025</w:t>
      </w:r>
      <w:r>
        <w:rPr>
          <w:sz w:val="20"/>
          <w:szCs w:val="20"/>
          <w:color w:val="auto"/>
        </w:rPr>
        <w:tab/>
      </w:r>
      <w:r>
        <w:rPr>
          <w:rFonts w:ascii="Times New Roman" w:cs="Times New Roman" w:eastAsia="Times New Roman" w:hAnsi="Times New Roman"/>
          <w:sz w:val="16"/>
          <w:szCs w:val="16"/>
          <w:b w:val="1"/>
          <w:bCs w:val="1"/>
          <w:color w:val="auto"/>
        </w:rPr>
        <w:t>EXLSERVICE HOLDINGS, INC.</w:t>
      </w:r>
    </w:p>
    <w:p>
      <w:pPr>
        <w:spacing w:after="0" w:line="257" w:lineRule="exact"/>
        <w:rPr>
          <w:sz w:val="20"/>
          <w:szCs w:val="20"/>
          <w:color w:val="auto"/>
        </w:rPr>
      </w:pPr>
    </w:p>
    <w:p>
      <w:pPr>
        <w:ind w:left="5360"/>
        <w:spacing w:after="0"/>
        <w:tabs>
          <w:tab w:leader="none" w:pos="5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4"/>
          <w:szCs w:val="14"/>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3783965</wp:posOffset>
            </wp:positionH>
            <wp:positionV relativeFrom="paragraph">
              <wp:posOffset>29210</wp:posOffset>
            </wp:positionV>
            <wp:extent cx="34169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416935" cy="8255"/>
                    </a:xfrm>
                    <a:prstGeom prst="rect">
                      <a:avLst/>
                    </a:prstGeom>
                    <a:noFill/>
                  </pic:spPr>
                </pic:pic>
              </a:graphicData>
            </a:graphic>
          </wp:anchor>
        </w:drawing>
      </w:r>
    </w:p>
    <w:p>
      <w:pPr>
        <w:spacing w:after="0" w:line="2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b w:val="1"/>
          <w:bCs w:val="1"/>
          <w:color w:val="auto"/>
        </w:rPr>
        <w:t>MAURIZIO NICOLELLI</w:t>
      </w:r>
    </w:p>
    <w:p>
      <w:pPr>
        <w:ind w:left="5980"/>
        <w:spacing w:after="0" w:line="198"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jc w:val="right"/>
        <w:spacing w:after="0"/>
        <w:rPr>
          <w:sz w:val="20"/>
          <w:szCs w:val="20"/>
          <w:color w:val="auto"/>
        </w:rPr>
      </w:pPr>
      <w:r>
        <w:rPr>
          <w:rFonts w:ascii="Times New Roman" w:cs="Times New Roman" w:eastAsia="Times New Roman" w:hAnsi="Times New Roman"/>
          <w:sz w:val="14"/>
          <w:szCs w:val="14"/>
          <w:b w:val="1"/>
          <w:bCs w:val="1"/>
          <w:color w:val="auto"/>
        </w:rPr>
        <w:t>(Duly Authorized Signatory,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340"/>
          </w:cols>
          <w:pgMar w:left="320" w:top="119" w:right="1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Rohit Kapoor, certify that:</w:t>
      </w:r>
    </w:p>
    <w:p>
      <w:pPr>
        <w:spacing w:after="0" w:line="214" w:lineRule="exact"/>
        <w:rPr>
          <w:sz w:val="20"/>
          <w:szCs w:val="20"/>
          <w:color w:val="auto"/>
        </w:rPr>
      </w:pPr>
    </w:p>
    <w:p>
      <w:pPr>
        <w:ind w:left="400" w:hanging="395"/>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ExlService Holdings, Inc.;</w:t>
      </w:r>
    </w:p>
    <w:p>
      <w:pPr>
        <w:spacing w:after="0" w:line="213" w:lineRule="exact"/>
        <w:rPr>
          <w:rFonts w:ascii="Times New Roman" w:cs="Times New Roman" w:eastAsia="Times New Roman" w:hAnsi="Times New Roman"/>
          <w:sz w:val="18"/>
          <w:szCs w:val="18"/>
          <w:color w:val="auto"/>
        </w:rPr>
      </w:pPr>
    </w:p>
    <w:p>
      <w:pPr>
        <w:ind w:left="400" w:hanging="395"/>
        <w:spacing w:after="0" w:line="331" w:lineRule="auto"/>
        <w:tabs>
          <w:tab w:leader="none" w:pos="4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left="400" w:hanging="395"/>
        <w:spacing w:after="0" w:line="268" w:lineRule="auto"/>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8"/>
          <w:szCs w:val="18"/>
          <w:color w:val="auto"/>
        </w:rPr>
      </w:pPr>
    </w:p>
    <w:p>
      <w:pPr>
        <w:jc w:val="both"/>
        <w:ind w:left="400" w:hanging="395"/>
        <w:spacing w:after="0" w:line="256" w:lineRule="auto"/>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Times New Roman" w:cs="Times New Roman" w:eastAsia="Times New Roman" w:hAnsi="Times New Roman"/>
          <w:sz w:val="18"/>
          <w:szCs w:val="18"/>
          <w:color w:val="auto"/>
        </w:rPr>
      </w:pPr>
    </w:p>
    <w:p>
      <w:pPr>
        <w:jc w:val="both"/>
        <w:ind w:left="720" w:hanging="321"/>
        <w:spacing w:after="0" w:line="256" w:lineRule="auto"/>
        <w:tabs>
          <w:tab w:leader="none" w:pos="71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Times New Roman" w:cs="Times New Roman" w:eastAsia="Times New Roman" w:hAnsi="Times New Roman"/>
          <w:sz w:val="18"/>
          <w:szCs w:val="18"/>
          <w:color w:val="auto"/>
        </w:rPr>
      </w:pPr>
    </w:p>
    <w:p>
      <w:pPr>
        <w:jc w:val="both"/>
        <w:ind w:left="720" w:hanging="321"/>
        <w:spacing w:after="0" w:line="256" w:lineRule="auto"/>
        <w:tabs>
          <w:tab w:leader="none" w:pos="7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Times New Roman" w:cs="Times New Roman" w:eastAsia="Times New Roman" w:hAnsi="Times New Roman"/>
          <w:sz w:val="18"/>
          <w:szCs w:val="18"/>
          <w:color w:val="auto"/>
        </w:rPr>
      </w:pPr>
    </w:p>
    <w:p>
      <w:pPr>
        <w:ind w:left="720" w:hanging="321"/>
        <w:spacing w:after="0" w:line="268" w:lineRule="auto"/>
        <w:tabs>
          <w:tab w:leader="none" w:pos="71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Times New Roman" w:cs="Times New Roman" w:eastAsia="Times New Roman" w:hAnsi="Times New Roman"/>
          <w:sz w:val="18"/>
          <w:szCs w:val="18"/>
          <w:color w:val="auto"/>
        </w:rPr>
      </w:pPr>
    </w:p>
    <w:p>
      <w:pPr>
        <w:jc w:val="both"/>
        <w:ind w:left="720" w:hanging="321"/>
        <w:spacing w:after="0" w:line="256" w:lineRule="auto"/>
        <w:tabs>
          <w:tab w:leader="none" w:pos="7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Times New Roman" w:cs="Times New Roman" w:eastAsia="Times New Roman" w:hAnsi="Times New Roman"/>
          <w:sz w:val="18"/>
          <w:szCs w:val="18"/>
          <w:color w:val="auto"/>
        </w:rPr>
      </w:pPr>
    </w:p>
    <w:p>
      <w:pPr>
        <w:ind w:left="400" w:hanging="395"/>
        <w:spacing w:after="0" w:line="268" w:lineRule="auto"/>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Times New Roman" w:cs="Times New Roman" w:eastAsia="Times New Roman" w:hAnsi="Times New Roman"/>
          <w:sz w:val="18"/>
          <w:szCs w:val="18"/>
          <w:color w:val="auto"/>
        </w:rPr>
      </w:pPr>
    </w:p>
    <w:p>
      <w:pPr>
        <w:ind w:left="720" w:hanging="321"/>
        <w:spacing w:after="0" w:line="268" w:lineRule="auto"/>
        <w:tabs>
          <w:tab w:leader="none" w:pos="71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Times New Roman" w:cs="Times New Roman" w:eastAsia="Times New Roman" w:hAnsi="Times New Roman"/>
          <w:sz w:val="18"/>
          <w:szCs w:val="18"/>
          <w:color w:val="auto"/>
        </w:rPr>
      </w:pPr>
    </w:p>
    <w:p>
      <w:pPr>
        <w:ind w:left="720" w:hanging="321"/>
        <w:spacing w:after="0" w:line="268" w:lineRule="auto"/>
        <w:tabs>
          <w:tab w:leader="none" w:pos="7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2025</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Rohit Kapoor</w:t>
            </w:r>
          </w:p>
        </w:tc>
      </w:tr>
      <w:tr>
        <w:trPr>
          <w:trHeight w:val="212"/>
        </w:trPr>
        <w:tc>
          <w:tcPr>
            <w:tcW w:w="61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Rohit Kapoor</w:t>
            </w:r>
          </w:p>
        </w:tc>
      </w:tr>
      <w:tr>
        <w:trPr>
          <w:trHeight w:val="228"/>
        </w:trPr>
        <w:tc>
          <w:tcPr>
            <w:tcW w:w="61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ectPr>
          <w:pgSz w:w="11900" w:h="16838" w:orient="portrait"/>
          <w:cols w:equalWidth="0" w:num="1">
            <w:col w:w="11240"/>
          </w:cols>
          <w:pgMar w:left="320" w:top="868"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Maurizio Nicolelli, certify that:</w:t>
      </w:r>
    </w:p>
    <w:p>
      <w:pPr>
        <w:spacing w:after="0" w:line="345" w:lineRule="exact"/>
        <w:rPr>
          <w:sz w:val="20"/>
          <w:szCs w:val="20"/>
          <w:color w:val="auto"/>
        </w:rPr>
      </w:pPr>
    </w:p>
    <w:p>
      <w:pPr>
        <w:ind w:left="400" w:hanging="395"/>
        <w:spacing w:after="0"/>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ExlService Holdings, Inc.;</w:t>
      </w:r>
    </w:p>
    <w:p>
      <w:pPr>
        <w:spacing w:after="0" w:line="213" w:lineRule="exact"/>
        <w:rPr>
          <w:rFonts w:ascii="Times New Roman" w:cs="Times New Roman" w:eastAsia="Times New Roman" w:hAnsi="Times New Roman"/>
          <w:sz w:val="18"/>
          <w:szCs w:val="18"/>
          <w:color w:val="auto"/>
        </w:rPr>
      </w:pPr>
    </w:p>
    <w:p>
      <w:pPr>
        <w:ind w:left="400" w:hanging="395"/>
        <w:spacing w:after="0" w:line="331" w:lineRule="auto"/>
        <w:tabs>
          <w:tab w:leader="none" w:pos="4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left="400" w:hanging="395"/>
        <w:spacing w:after="0" w:line="268" w:lineRule="auto"/>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8"/>
          <w:szCs w:val="18"/>
          <w:color w:val="auto"/>
        </w:rPr>
      </w:pPr>
    </w:p>
    <w:p>
      <w:pPr>
        <w:jc w:val="both"/>
        <w:ind w:left="400" w:hanging="395"/>
        <w:spacing w:after="0" w:line="256" w:lineRule="auto"/>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Times New Roman" w:cs="Times New Roman" w:eastAsia="Times New Roman" w:hAnsi="Times New Roman"/>
          <w:sz w:val="18"/>
          <w:szCs w:val="18"/>
          <w:color w:val="auto"/>
        </w:rPr>
      </w:pPr>
    </w:p>
    <w:p>
      <w:pPr>
        <w:jc w:val="both"/>
        <w:ind w:left="720" w:hanging="321"/>
        <w:spacing w:after="0" w:line="256" w:lineRule="auto"/>
        <w:tabs>
          <w:tab w:leader="none" w:pos="71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Times New Roman" w:cs="Times New Roman" w:eastAsia="Times New Roman" w:hAnsi="Times New Roman"/>
          <w:sz w:val="18"/>
          <w:szCs w:val="18"/>
          <w:color w:val="auto"/>
        </w:rPr>
      </w:pPr>
    </w:p>
    <w:p>
      <w:pPr>
        <w:jc w:val="both"/>
        <w:ind w:left="720" w:hanging="321"/>
        <w:spacing w:after="0" w:line="256" w:lineRule="auto"/>
        <w:tabs>
          <w:tab w:leader="none" w:pos="7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Times New Roman" w:cs="Times New Roman" w:eastAsia="Times New Roman" w:hAnsi="Times New Roman"/>
          <w:sz w:val="18"/>
          <w:szCs w:val="18"/>
          <w:color w:val="auto"/>
        </w:rPr>
      </w:pPr>
    </w:p>
    <w:p>
      <w:pPr>
        <w:ind w:left="720" w:hanging="321"/>
        <w:spacing w:after="0" w:line="268" w:lineRule="auto"/>
        <w:tabs>
          <w:tab w:leader="none" w:pos="71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Times New Roman" w:cs="Times New Roman" w:eastAsia="Times New Roman" w:hAnsi="Times New Roman"/>
          <w:sz w:val="18"/>
          <w:szCs w:val="18"/>
          <w:color w:val="auto"/>
        </w:rPr>
      </w:pPr>
    </w:p>
    <w:p>
      <w:pPr>
        <w:jc w:val="both"/>
        <w:ind w:left="720" w:hanging="321"/>
        <w:spacing w:after="0" w:line="256" w:lineRule="auto"/>
        <w:tabs>
          <w:tab w:leader="none" w:pos="7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Times New Roman" w:cs="Times New Roman" w:eastAsia="Times New Roman" w:hAnsi="Times New Roman"/>
          <w:sz w:val="18"/>
          <w:szCs w:val="18"/>
          <w:color w:val="auto"/>
        </w:rPr>
      </w:pPr>
    </w:p>
    <w:p>
      <w:pPr>
        <w:ind w:left="400" w:hanging="395"/>
        <w:spacing w:after="0" w:line="268" w:lineRule="auto"/>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Times New Roman" w:cs="Times New Roman" w:eastAsia="Times New Roman" w:hAnsi="Times New Roman"/>
          <w:sz w:val="18"/>
          <w:szCs w:val="18"/>
          <w:color w:val="auto"/>
        </w:rPr>
      </w:pPr>
    </w:p>
    <w:p>
      <w:pPr>
        <w:ind w:left="720" w:hanging="321"/>
        <w:spacing w:after="0" w:line="268" w:lineRule="auto"/>
        <w:tabs>
          <w:tab w:leader="none" w:pos="71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Times New Roman" w:cs="Times New Roman" w:eastAsia="Times New Roman" w:hAnsi="Times New Roman"/>
          <w:sz w:val="18"/>
          <w:szCs w:val="18"/>
          <w:color w:val="auto"/>
        </w:rPr>
      </w:pPr>
    </w:p>
    <w:p>
      <w:pPr>
        <w:ind w:left="720" w:hanging="321"/>
        <w:spacing w:after="0" w:line="268" w:lineRule="auto"/>
        <w:tabs>
          <w:tab w:leader="none" w:pos="7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2025</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Maurizio Nicolelli</w:t>
            </w:r>
          </w:p>
        </w:tc>
      </w:tr>
      <w:tr>
        <w:trPr>
          <w:trHeight w:val="212"/>
        </w:trPr>
        <w:tc>
          <w:tcPr>
            <w:tcW w:w="578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Maurizio Nicolelli</w:t>
            </w:r>
          </w:p>
        </w:tc>
      </w:tr>
      <w:tr>
        <w:trPr>
          <w:trHeight w:val="228"/>
        </w:trPr>
        <w:tc>
          <w:tcPr>
            <w:tcW w:w="578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68"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of ExlService Holdings, Inc. (the “Company”) on Form 10-Q for the period ended March 31, 2025 as filed with the Securities and Exchange Commission on the date hereof (the “Report”), I, Rohit Kapoor, Chairman and Chief Executive Officer of the Company, certify, pursuant to 18 U.S.C. Section 1350, as adopted pursuant to Section 906 of the Sarbanes-Oxley Act of 2002, that:</w:t>
      </w:r>
    </w:p>
    <w:p>
      <w:pPr>
        <w:spacing w:after="0" w:line="218" w:lineRule="exact"/>
        <w:rPr>
          <w:sz w:val="20"/>
          <w:szCs w:val="20"/>
          <w:color w:val="auto"/>
        </w:rPr>
      </w:pPr>
    </w:p>
    <w:p>
      <w:pPr>
        <w:ind w:left="320" w:hanging="315"/>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62763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27634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Rohit Kapoor</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29, 2025</w:t>
      </w:r>
    </w:p>
    <w:p>
      <w:pPr>
        <w:sectPr>
          <w:pgSz w:w="11900" w:h="16838" w:orient="portrait"/>
          <w:cols w:equalWidth="0" w:num="1">
            <w:col w:w="11240"/>
          </w:cols>
          <w:pgMar w:left="320" w:top="868"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of ExlService Holdings, Inc. (the “Company”) on Form 10-Q for the period ended March 31, 2025 as filed with the Securities and Exchange Commission on the date hereof (the “Report”), I, Maurizio Nicolelli, Chief Financial Officer of the Company, certify, pursuant to 18 U.S.C. Section 1350, as adopted pursuant to Section 906 of the Sarbanes-Oxley Act of 2002, that:</w:t>
      </w:r>
    </w:p>
    <w:p>
      <w:pPr>
        <w:spacing w:after="0" w:line="179" w:lineRule="exact"/>
        <w:rPr>
          <w:sz w:val="20"/>
          <w:szCs w:val="20"/>
          <w:color w:val="auto"/>
        </w:rPr>
      </w:pPr>
    </w:p>
    <w:p>
      <w:pPr>
        <w:ind w:left="320" w:hanging="315"/>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3"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48907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489077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Maurizio Nicolelli</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29, 2025</w:t>
      </w:r>
    </w:p>
    <w:sectPr>
      <w:pgSz w:w="11900" w:h="16838" w:orient="portrait"/>
      <w:cols w:equalWidth="0" w:num="1">
        <w:col w:w="11240"/>
      </w:cols>
      <w:pgMar w:left="320" w:top="8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lvl w:ilvl="1">
      <w:lvlJc w:val="left"/>
      <w:lvlText w:val="(%2)"/>
      <w:numFmt w:val="decimal"/>
      <w:start w:val="1"/>
    </w:lvl>
  </w:abstractNum>
  <w:abstractNum w:abstractNumId="9">
    <w:nsid w:val="431BD7B7"/>
    <w:multiLevelType w:val="hybridMultilevel"/>
    <w:lvl w:ilvl="0">
      <w:lvlJc w:val="left"/>
      <w:lvlText w:val="%1."/>
      <w:numFmt w:val="decimal"/>
      <w:start w:val="7"/>
    </w:lvl>
    <w:lvl w:ilvl="1">
      <w:lvlJc w:val="left"/>
      <w:lvlText w:val="%2"/>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74" Type="http://schemas.openxmlformats.org/officeDocument/2006/relationships/hyperlink" Target="https://www.sec.gov/Archives/edgar/data/1297989/000110465924074734/tm2417789d1_ex3-1.htm" TargetMode="External"/><Relationship Id="rId75" Type="http://schemas.openxmlformats.org/officeDocument/2006/relationships/hyperlink" Target="https://www.sec.gov/Archives/edgar/data/1297989/000119312523171321/d52395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2025-04-29T15:33:59Z</dcterms:created>
  <dcterms:modified xsi:type="dcterms:W3CDTF">2025-04-29T15:33:59Z</dcterms:modified>
</cp:coreProperties>
</file>