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Miglani Nalin Kumar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01/27/2020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VP and Chief HR Officer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2"/>
          </w:tcPr>
          <w:p>
            <w:pPr>
              <w:jc w:val="right"/>
              <w:ind w:right="39"/>
              <w:spacing w:after="0"/>
              <w:rPr>
                <w:sz w:val="20"/>
                <w:szCs w:val="20"/>
                <w:color w:val="auto"/>
              </w:rPr>
            </w:pPr>
            <w:r>
              <w:rPr>
                <w:rFonts w:ascii="Arial" w:cs="Arial" w:eastAsia="Arial" w:hAnsi="Arial"/>
                <w:sz w:val="18"/>
                <w:szCs w:val="18"/>
                <w:color w:val="0000FF"/>
              </w:rPr>
              <w:t>01/27/2020</w:t>
            </w: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Pr>
          <w:p>
            <w:pPr>
              <w:jc w:val="right"/>
              <w:ind w:right="32"/>
              <w:spacing w:after="0"/>
              <w:rPr>
                <w:sz w:val="20"/>
                <w:szCs w:val="20"/>
                <w:color w:val="auto"/>
              </w:rPr>
            </w:pPr>
            <w:r>
              <w:rPr>
                <w:rFonts w:ascii="Arial" w:cs="Arial" w:eastAsia="Arial" w:hAnsi="Arial"/>
                <w:sz w:val="18"/>
                <w:szCs w:val="18"/>
                <w:color w:val="0000FF"/>
              </w:rPr>
              <w:t>8,231</w:t>
            </w:r>
          </w:p>
        </w:tc>
        <w:tc>
          <w:tcPr>
            <w:tcW w:w="520" w:type="dxa"/>
            <w:vAlign w:val="bottom"/>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Pr>
          <w:p>
            <w:pPr>
              <w:jc w:val="right"/>
              <w:spacing w:after="0"/>
              <w:rPr>
                <w:sz w:val="20"/>
                <w:szCs w:val="20"/>
                <w:color w:val="auto"/>
              </w:rPr>
            </w:pPr>
            <w:r>
              <w:rPr>
                <w:rFonts w:ascii="Arial" w:cs="Arial" w:eastAsia="Arial" w:hAnsi="Arial"/>
                <w:sz w:val="11"/>
                <w:szCs w:val="11"/>
                <w:color w:val="008000"/>
              </w:rPr>
              <w:t>(1)</w:t>
            </w: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8,231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4"/>
          </w:tcPr>
          <w:p>
            <w:pPr>
              <w:spacing w:after="0"/>
              <w:rPr>
                <w:sz w:val="5"/>
                <w:szCs w:val="5"/>
                <w:color w:val="auto"/>
              </w:rPr>
            </w:pPr>
          </w:p>
        </w:tc>
        <w:tc>
          <w:tcPr>
            <w:tcW w:w="11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0000FF"/>
              </w:rPr>
              <w:t>01/27/2020</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3,225</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73.63</w:t>
            </w:r>
            <w:r>
              <w:rPr>
                <w:rFonts w:ascii="Arial" w:cs="Arial" w:eastAsia="Arial" w:hAnsi="Arial"/>
                <w:sz w:val="22"/>
                <w:szCs w:val="22"/>
                <w:color w:val="008000"/>
                <w:vertAlign w:val="superscript"/>
              </w:rPr>
              <w:t>(2)</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5,006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shares of common stock, par value $0.001 per share (the "Common Stock") reported in this report were earned pursuant to the performance restricted stock units ("PRSUs") of ExlService Holdings, Inc. (the "Company") granted on February 23, 2017. Such shares of Common Stock were deemed earned on January 27, 2020 based on the Compensation Committee of the Board of Directors administering the award certifying the achievement of performance targets applicable to the PRSUs for the performance period ending on December 31, 2019.</w:t>
      </w:r>
    </w:p>
    <w:p>
      <w:pPr>
        <w:spacing w:after="0" w:line="2" w:lineRule="exact"/>
        <w:rPr>
          <w:rFonts w:ascii="Arial" w:cs="Arial" w:eastAsia="Arial" w:hAnsi="Arial"/>
          <w:sz w:val="12"/>
          <w:szCs w:val="12"/>
          <w:color w:val="008000"/>
        </w:rPr>
      </w:pPr>
    </w:p>
    <w:p>
      <w:pPr>
        <w:jc w:val="both"/>
        <w:ind w:left="40" w:right="4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agreement governing the grant of the PRSUs and pursuant to the Company's 2015 Amendment and Restatement of the 2006 Omnibus Award Plan, pursuant to which such PRSUs were granted, the closing price of the Common Stock on the Nasdaq Global Select Market on the preceding day, January 27, 2020 in this case, is used for purposes of computing tax reporting and withholding.</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01/29/2020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2020-01-29T16:03:24Z</dcterms:created>
  <dcterms:modified xsi:type="dcterms:W3CDTF">2020-01-29T16:03:24Z</dcterms:modified>
</cp:coreProperties>
</file>