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50"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315" w:lineRule="exact"/>
        <w:rPr>
          <w:sz w:val="24"/>
          <w:szCs w:val="24"/>
          <w:color w:val="auto"/>
        </w:rPr>
      </w:pPr>
    </w:p>
    <w:p>
      <w:pPr>
        <w:sectPr>
          <w:pgSz w:w="11900" w:h="16850"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50"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04/24/2010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4,000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70,984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04/24/2010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1,244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16.96</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69,740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04/25/2010</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64"/>
              <w:spacing w:after="0"/>
              <w:rPr>
                <w:sz w:val="20"/>
                <w:szCs w:val="20"/>
                <w:color w:val="auto"/>
              </w:rPr>
            </w:pPr>
            <w:r>
              <w:rPr>
                <w:rFonts w:ascii="Arial" w:cs="Arial" w:eastAsia="Arial" w:hAnsi="Arial"/>
                <w:sz w:val="18"/>
                <w:szCs w:val="18"/>
                <w:color w:val="0000FF"/>
              </w:rPr>
              <w:t>4,500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60" w:type="dxa"/>
            <w:vAlign w:val="bottom"/>
          </w:tcPr>
          <w:p>
            <w:pPr>
              <w:ind w:left="360"/>
              <w:spacing w:after="0"/>
              <w:rPr>
                <w:sz w:val="20"/>
                <w:szCs w:val="20"/>
                <w:color w:val="auto"/>
              </w:rPr>
            </w:pPr>
            <w:r>
              <w:rPr>
                <w:rFonts w:ascii="Arial" w:cs="Arial" w:eastAsia="Arial" w:hAnsi="Arial"/>
                <w:sz w:val="18"/>
                <w:szCs w:val="18"/>
                <w:color w:val="0000FF"/>
              </w:rPr>
              <w:t>74,240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04/25/2010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right"/>
              <w:ind w:right="64"/>
              <w:spacing w:after="0"/>
              <w:rPr>
                <w:sz w:val="20"/>
                <w:szCs w:val="20"/>
                <w:color w:val="auto"/>
              </w:rPr>
            </w:pPr>
            <w:r>
              <w:rPr>
                <w:rFonts w:ascii="Arial" w:cs="Arial" w:eastAsia="Arial" w:hAnsi="Arial"/>
                <w:sz w:val="18"/>
                <w:szCs w:val="18"/>
                <w:color w:val="0000FF"/>
              </w:rPr>
              <w:t>1,398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16.96</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72,842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04/24/2010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4,000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jc w:val="right"/>
              <w:ind w:right="238"/>
              <w:spacing w:after="0" w:line="149" w:lineRule="exact"/>
              <w:rPr>
                <w:sz w:val="20"/>
                <w:szCs w:val="20"/>
                <w:color w:val="auto"/>
              </w:rPr>
            </w:pPr>
            <w:r>
              <w:rPr>
                <w:rFonts w:ascii="Arial" w:cs="Arial" w:eastAsia="Arial" w:hAnsi="Arial"/>
                <w:sz w:val="14"/>
                <w:szCs w:val="14"/>
                <w:color w:val="0000FF"/>
              </w:rPr>
              <w:t>14,000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4,500</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(7)</w:t>
            </w: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04/25/2010</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4,500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restart"/>
          </w:tcPr>
          <w:p>
            <w:pPr>
              <w:jc w:val="right"/>
              <w:ind w:right="278"/>
              <w:spacing w:after="0" w:line="149" w:lineRule="exact"/>
              <w:rPr>
                <w:sz w:val="20"/>
                <w:szCs w:val="20"/>
                <w:color w:val="auto"/>
              </w:rPr>
            </w:pPr>
            <w:r>
              <w:rPr>
                <w:rFonts w:ascii="Arial" w:cs="Arial" w:eastAsia="Arial" w:hAnsi="Arial"/>
                <w:sz w:val="14"/>
                <w:szCs w:val="14"/>
                <w:color w:val="0000FF"/>
              </w:rPr>
              <w:t>6,000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2010, ExlService Holdings, Inc. (the "Company") issued 4,000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vested on April 24, 2010. Pursuant to the Company's 2006 Omnibus Award Plan, pursuant to which such restricted stock was granted, the average of the high and low sale prices of the Common Stock on the Nasdaq Global Select Market on the preceding day on which a sale was reported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April 25, 2010, the Company issued 4,500 shares of Common Stock to the reporting person upon the vesting of an equal number of shares of restricted stock previously granted to the reporting person.</w:t>
      </w:r>
    </w:p>
    <w:p>
      <w:pPr>
        <w:spacing w:after="0" w:line="64" w:lineRule="exact"/>
        <w:rPr>
          <w:rFonts w:ascii="Arial" w:cs="Arial" w:eastAsia="Arial" w:hAnsi="Arial"/>
          <w:sz w:val="12"/>
          <w:szCs w:val="12"/>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vested on April 25, 2010. Pursuant to the Company's 2006 Omnibus Award Plan, pursuant to which such restricted stock was granted, the average of the high and low sale prices of the Common Stock on the Nasdaq Global Select Market on the preceding day on which a sale was reported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 percent of the shares of restricted stock vested on April 24, 2010; an additional 30 percent of the shares of restricted stock will vest on April 24, 2011; and the remaining 40 percent of the shares of restricted stock will vest on April 24, 2012.</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30 percent of the shares of restricted stock vested on April 25, 2010; and the remaining 40 percent of the shares of restricted stock will vest on April 25, 2011.</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50"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2019-12-16T15:00:08Z</dcterms:created>
  <dcterms:modified xsi:type="dcterms:W3CDTF">2019-12-16T15:00:08Z</dcterms:modified>
</cp:coreProperties>
</file>