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307975</wp:posOffset>
            </wp:positionH>
            <wp:positionV relativeFrom="paragraph">
              <wp:posOffset>134620</wp:posOffset>
            </wp:positionV>
            <wp:extent cx="68929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925" cy="8255"/>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100965</wp:posOffset>
            </wp:positionV>
            <wp:extent cx="68929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92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7" w:lineRule="exact"/>
        <w:rPr>
          <w:sz w:val="24"/>
          <w:szCs w:val="24"/>
          <w:color w:val="auto"/>
        </w:rPr>
      </w:pPr>
    </w:p>
    <w:p>
      <w:pPr>
        <w:ind w:left="300" w:hanging="276"/>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4" w:lineRule="exact"/>
        <w:rPr>
          <w:sz w:val="24"/>
          <w:szCs w:val="24"/>
          <w:color w:val="auto"/>
        </w:rPr>
      </w:pPr>
    </w:p>
    <w:p>
      <w:pPr>
        <w:ind w:left="300" w:hanging="276"/>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180"/>
        <w:spacing w:after="0"/>
        <w:tabs>
          <w:tab w:leader="none" w:pos="6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3917315</wp:posOffset>
            </wp:positionH>
            <wp:positionV relativeFrom="paragraph">
              <wp:posOffset>-5080</wp:posOffset>
            </wp:positionV>
            <wp:extent cx="1208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2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EXLSERVICE HOLDINGS,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40" w:type="dxa"/>
            <w:vAlign w:val="bottom"/>
            <w:gridSpan w:val="2"/>
          </w:tcPr>
          <w:p>
            <w:pPr>
              <w:jc w:val="center"/>
              <w:ind w:right="13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2"/>
          </w:tcPr>
          <w:p>
            <w:pPr>
              <w:jc w:val="right"/>
              <w:ind w:right="2006"/>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540" w:type="dxa"/>
            <w:vAlign w:val="bottom"/>
          </w:tcPr>
          <w:p>
            <w:pPr>
              <w:spacing w:after="0"/>
              <w:rPr>
                <w:sz w:val="18"/>
                <w:szCs w:val="18"/>
                <w:color w:val="auto"/>
              </w:rPr>
            </w:pPr>
          </w:p>
        </w:tc>
      </w:tr>
      <w:tr>
        <w:trPr>
          <w:trHeight w:val="153"/>
        </w:trPr>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20" w:type="dxa"/>
            <w:vAlign w:val="bottom"/>
            <w:gridSpan w:val="3"/>
          </w:tcPr>
          <w:p>
            <w:pPr>
              <w:jc w:val="center"/>
              <w:ind w:right="140"/>
              <w:spacing w:after="0" w:line="153"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580" w:type="dxa"/>
            <w:vAlign w:val="bottom"/>
            <w:gridSpan w:val="3"/>
          </w:tcPr>
          <w:p>
            <w:pPr>
              <w:jc w:val="center"/>
              <w:ind w:right="2440"/>
              <w:spacing w:after="0" w:line="15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80" w:type="dxa"/>
            <w:vAlign w:val="bottom"/>
            <w:gridSpan w:val="3"/>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1"/>
        </w:trPr>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320 Park Avenue, 29</w:t>
            </w:r>
            <w:r>
              <w:rPr>
                <w:rFonts w:ascii="Times New Roman" w:cs="Times New Roman" w:eastAsia="Times New Roman" w:hAnsi="Times New Roman"/>
                <w:sz w:val="20"/>
                <w:szCs w:val="20"/>
                <w:b w:val="1"/>
                <w:bCs w:val="1"/>
                <w:color w:val="auto"/>
                <w:w w:val="96"/>
                <w:vertAlign w:val="superscript"/>
              </w:rPr>
              <w:t>th</w:t>
            </w:r>
            <w:r>
              <w:rPr>
                <w:rFonts w:ascii="Times New Roman" w:cs="Times New Roman" w:eastAsia="Times New Roman" w:hAnsi="Times New Roman"/>
                <w:sz w:val="16"/>
                <w:szCs w:val="16"/>
                <w:b w:val="1"/>
                <w:bCs w:val="1"/>
                <w:color w:val="auto"/>
                <w:w w:val="96"/>
              </w:rPr>
              <w:t xml:space="preserve"> Floor,</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2"/>
          </w:tcPr>
          <w:p>
            <w:pPr>
              <w:jc w:val="right"/>
              <w:ind w:right="2186"/>
              <w:spacing w:after="0"/>
              <w:rPr>
                <w:sz w:val="20"/>
                <w:szCs w:val="20"/>
                <w:color w:val="auto"/>
              </w:rPr>
            </w:pPr>
            <w:r>
              <w:rPr>
                <w:rFonts w:ascii="Times New Roman" w:cs="Times New Roman" w:eastAsia="Times New Roman" w:hAnsi="Times New Roman"/>
                <w:sz w:val="16"/>
                <w:szCs w:val="16"/>
                <w:b w:val="1"/>
                <w:bCs w:val="1"/>
                <w:color w:val="auto"/>
              </w:rPr>
              <w:t>10022</w:t>
            </w:r>
          </w:p>
        </w:tc>
        <w:tc>
          <w:tcPr>
            <w:tcW w:w="540" w:type="dxa"/>
            <w:vAlign w:val="bottom"/>
          </w:tcPr>
          <w:p>
            <w:pPr>
              <w:spacing w:after="0"/>
              <w:rPr>
                <w:sz w:val="18"/>
                <w:szCs w:val="18"/>
                <w:color w:val="auto"/>
              </w:rPr>
            </w:pPr>
          </w:p>
        </w:tc>
      </w:tr>
      <w:tr>
        <w:trPr>
          <w:trHeight w:val="193"/>
        </w:trPr>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gridSpan w:val="2"/>
          </w:tcPr>
          <w:p>
            <w:pPr>
              <w:jc w:val="center"/>
              <w:ind w:right="26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2"/>
        </w:trPr>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9"/>
              </w:rPr>
              <w:t>(212) 277-7100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7"/>
        </w:trPr>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360" w:type="dxa"/>
            <w:vAlign w:val="bottom"/>
            <w:gridSpan w:val="5"/>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91"/>
        </w:trPr>
        <w:tc>
          <w:tcPr>
            <w:tcW w:w="44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gridSpan w:val="3"/>
          </w:tcPr>
          <w:p>
            <w:pPr>
              <w:spacing w:after="0"/>
              <w:rPr>
                <w:sz w:val="7"/>
                <w:szCs w:val="7"/>
                <w:color w:val="auto"/>
              </w:rPr>
            </w:pPr>
          </w:p>
        </w:tc>
        <w:tc>
          <w:tcPr>
            <w:tcW w:w="1300" w:type="dxa"/>
            <w:vAlign w:val="bottom"/>
            <w:tcBorders>
              <w:bottom w:val="single" w:sz="8" w:color="auto"/>
            </w:tcBorders>
            <w:gridSpan w:val="3"/>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217"/>
        </w:trPr>
        <w:tc>
          <w:tcPr>
            <w:tcW w:w="440" w:type="dxa"/>
            <w:vAlign w:val="bottom"/>
            <w:tcBorders>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940" w:type="dxa"/>
            <w:vAlign w:val="bottom"/>
            <w:tcBorders>
              <w:bottom w:val="single" w:sz="8" w:color="auto"/>
              <w:right w:val="single" w:sz="8" w:color="auto"/>
            </w:tcBorders>
            <w:gridSpan w:val="8"/>
          </w:tcPr>
          <w:p>
            <w:pPr>
              <w:jc w:val="center"/>
              <w:ind w:right="2480"/>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12(b) of the Act:</w:t>
            </w:r>
          </w:p>
        </w:tc>
      </w:tr>
      <w:tr>
        <w:trPr>
          <w:trHeight w:val="189"/>
        </w:trPr>
        <w:tc>
          <w:tcPr>
            <w:tcW w:w="44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480" w:type="dxa"/>
            <w:vAlign w:val="bottom"/>
            <w:tcBorders>
              <w:right w:val="single" w:sz="8" w:color="auto"/>
            </w:tcBorders>
            <w:gridSpan w:val="2"/>
          </w:tcPr>
          <w:p>
            <w:pPr>
              <w:jc w:val="center"/>
              <w:ind w:right="1222"/>
              <w:spacing w:after="0" w:line="153"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Pr>
          <w:p>
            <w:pPr>
              <w:spacing w:after="0"/>
              <w:rPr>
                <w:sz w:val="16"/>
                <w:szCs w:val="16"/>
                <w:color w:val="auto"/>
              </w:rPr>
            </w:pPr>
          </w:p>
        </w:tc>
        <w:tc>
          <w:tcPr>
            <w:tcW w:w="2020" w:type="dxa"/>
            <w:vAlign w:val="bottom"/>
            <w:tcBorders>
              <w:right w:val="single" w:sz="8" w:color="auto"/>
            </w:tcBorders>
            <w:gridSpan w:val="2"/>
          </w:tcPr>
          <w:p>
            <w:pPr>
              <w:jc w:val="center"/>
              <w:ind w:right="780"/>
              <w:spacing w:after="0" w:line="153" w:lineRule="exact"/>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tcBorders>
              <w:right w:val="single" w:sz="8" w:color="auto"/>
            </w:tcBorders>
            <w:gridSpan w:val="2"/>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0" w:type="dxa"/>
            <w:vAlign w:val="bottom"/>
            <w:tcBorders>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$0.001 per share</w:t>
            </w:r>
          </w:p>
        </w:tc>
        <w:tc>
          <w:tcPr>
            <w:tcW w:w="74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EXLS</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9"/>
        </w:trPr>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940" w:type="dxa"/>
            <w:vAlign w:val="bottom"/>
            <w:gridSpan w:val="8"/>
          </w:tcPr>
          <w:p>
            <w:pPr>
              <w:jc w:val="center"/>
              <w:ind w:right="2480"/>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12(g) of the Act:</w:t>
            </w:r>
          </w:p>
        </w:tc>
      </w:tr>
      <w:tr>
        <w:trPr>
          <w:trHeight w:val="168"/>
        </w:trPr>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gridSpan w:val="3"/>
          </w:tcPr>
          <w:p>
            <w:pPr>
              <w:jc w:val="center"/>
              <w:ind w:right="960"/>
              <w:spacing w:after="0" w:line="168" w:lineRule="exact"/>
              <w:rPr>
                <w:sz w:val="20"/>
                <w:szCs w:val="20"/>
                <w:color w:val="auto"/>
              </w:rPr>
            </w:pPr>
            <w:r>
              <w:rPr>
                <w:rFonts w:ascii="Times New Roman" w:cs="Times New Roman" w:eastAsia="Times New Roman" w:hAnsi="Times New Roman"/>
                <w:sz w:val="16"/>
                <w:szCs w:val="16"/>
                <w:b w:val="1"/>
                <w:bCs w:val="1"/>
                <w:color w:val="auto"/>
              </w:rPr>
              <w:t>None</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34"/>
        </w:trPr>
        <w:tc>
          <w:tcPr>
            <w:tcW w:w="6180" w:type="dxa"/>
            <w:vAlign w:val="bottom"/>
            <w:gridSpan w:val="6"/>
          </w:tcPr>
          <w:p>
            <w:pPr>
              <w:jc w:val="right"/>
              <w:ind w:right="1142"/>
              <w:spacing w:after="0"/>
              <w:rPr>
                <w:sz w:val="20"/>
                <w:szCs w:val="20"/>
                <w:color w:val="auto"/>
              </w:rPr>
            </w:pPr>
            <w:r>
              <w:rPr>
                <w:rFonts w:ascii="Times New Roman" w:cs="Times New Roman" w:eastAsia="Times New Roman" w:hAnsi="Times New Roman"/>
                <w:sz w:val="18"/>
                <w:szCs w:val="18"/>
                <w:b w:val="1"/>
                <w:bCs w:val="1"/>
                <w:color w:val="auto"/>
                <w:w w:val="98"/>
              </w:rPr>
              <w:t>________________________________________________________</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211" w:lineRule="exact"/>
        <w:rPr>
          <w:sz w:val="24"/>
          <w:szCs w:val="24"/>
          <w:color w:val="auto"/>
        </w:rPr>
      </w:pPr>
    </w:p>
    <w:p>
      <w:pPr>
        <w:ind w:firstLine="319"/>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100" w:val="left"/>
        </w:tabs>
        <w:rPr>
          <w:sz w:val="20"/>
          <w:szCs w:val="20"/>
          <w:color w:val="auto"/>
        </w:rPr>
      </w:pPr>
      <w:r>
        <w:rPr>
          <w:rFonts w:ascii="Times New Roman" w:cs="Times New Roman" w:eastAsia="Times New Roman" w:hAnsi="Times New Roman"/>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54" w:lineRule="exact"/>
        <w:rPr>
          <w:sz w:val="24"/>
          <w:szCs w:val="24"/>
          <w:color w:val="auto"/>
        </w:rPr>
      </w:pPr>
    </w:p>
    <w:p>
      <w:pPr>
        <w:ind w:firstLine="319"/>
        <w:spacing w:after="0" w:line="23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02" w:lineRule="exact"/>
        <w:rPr>
          <w:sz w:val="24"/>
          <w:szCs w:val="24"/>
          <w:color w:val="auto"/>
        </w:rPr>
      </w:pPr>
    </w:p>
    <w:p>
      <w:pPr>
        <w:jc w:val="both"/>
        <w:ind w:right="20" w:firstLine="319"/>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340" w:type="dxa"/>
        <w:tblCellMar>
          <w:top w:w="0" w:type="dxa"/>
          <w:left w:w="0" w:type="dxa"/>
          <w:bottom w:w="0" w:type="dxa"/>
          <w:right w:w="0" w:type="dxa"/>
        </w:tblCellMar>
      </w:tblPr>
      <w:tr>
        <w:trPr>
          <w:trHeight w:val="268"/>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47" w:lineRule="exact"/>
        <w:rPr>
          <w:sz w:val="24"/>
          <w:szCs w:val="24"/>
          <w:color w:val="auto"/>
        </w:rPr>
      </w:pPr>
    </w:p>
    <w:p>
      <w:pPr>
        <w:ind w:firstLine="31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184" w:lineRule="exact"/>
        <w:tabs>
          <w:tab w:leader="none" w:pos="78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4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October 23, 2026, there were 150,788,731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233680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120015</wp:posOffset>
            </wp:positionV>
            <wp:extent cx="7007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786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86360</wp:posOffset>
            </wp:positionV>
            <wp:extent cx="7007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860" cy="825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6699250</wp:posOffset>
            </wp:positionH>
            <wp:positionV relativeFrom="paragraph">
              <wp:posOffset>31750</wp:posOffset>
            </wp:positionV>
            <wp:extent cx="405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5130" cy="8255"/>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ITEM</w:t>
      </w:r>
    </w:p>
    <w:p>
      <w:pPr>
        <w:spacing w:after="0" w:line="17"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2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Part I. Financial Information</w:t>
            </w:r>
          </w:p>
        </w:tc>
        <w:tc>
          <w:tcPr>
            <w:tcW w:w="78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bl>
    <w:p>
      <w:pPr>
        <w:spacing w:after="0" w:line="88" w:lineRule="exact"/>
        <w:rPr>
          <w:sz w:val="20"/>
          <w:szCs w:val="20"/>
          <w:color w:val="auto"/>
        </w:rPr>
      </w:pPr>
    </w:p>
    <w:p>
      <w:pPr>
        <w:ind w:left="1020" w:hanging="94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FINANCIAL STATEMENTS (UNAUDITED)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9"/>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Statements of Income for the Three and Nine Months Ended September 30, 2026 and 2025</w:t>
            </w:r>
          </w:p>
        </w:tc>
        <w:tc>
          <w:tcPr>
            <w:tcW w:w="1640" w:type="dxa"/>
            <w:vAlign w:val="bottom"/>
            <w:gridSpan w:val="3"/>
          </w:tcPr>
          <w:p>
            <w:pPr>
              <w:spacing w:after="0"/>
              <w:rPr>
                <w:sz w:val="19"/>
                <w:szCs w:val="19"/>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rPr>
              <w:t>4</w:t>
            </w:r>
          </w:p>
        </w:tc>
      </w:tr>
      <w:tr>
        <w:trPr>
          <w:trHeight w:val="219"/>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30, 2026 and 2025</w:t>
            </w: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rPr>
              <w:t>5</w:t>
            </w:r>
          </w:p>
        </w:tc>
      </w:tr>
      <w:tr>
        <w:trPr>
          <w:trHeight w:val="219"/>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 for the Three and Nine Months Ended September 30, 2026 and 2025</w:t>
            </w:r>
          </w:p>
        </w:tc>
        <w:tc>
          <w:tcPr>
            <w:tcW w:w="200" w:type="dxa"/>
            <w:vAlign w:val="bottom"/>
            <w:tcBorders>
              <w:top w:val="single" w:sz="8" w:color="0000FF"/>
            </w:tcBorders>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rPr>
              <w:t>6</w:t>
            </w:r>
          </w:p>
        </w:tc>
      </w:tr>
      <w:tr>
        <w:trPr>
          <w:trHeight w:val="219"/>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Nine Months Ended September 30, 2026 and 2025</w:t>
            </w:r>
          </w:p>
        </w:tc>
        <w:tc>
          <w:tcPr>
            <w:tcW w:w="2100" w:type="dxa"/>
            <w:vAlign w:val="bottom"/>
            <w:gridSpan w:val="4"/>
          </w:tcPr>
          <w:p>
            <w:pPr>
              <w:spacing w:after="0"/>
              <w:rPr>
                <w:sz w:val="19"/>
                <w:szCs w:val="19"/>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rPr>
              <w:t>8</w:t>
            </w:r>
          </w:p>
        </w:tc>
      </w:tr>
      <w:tr>
        <w:trPr>
          <w:trHeight w:val="219"/>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3"/>
                <w:szCs w:val="23"/>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3"/>
                <w:szCs w:val="23"/>
                <w:color w:val="auto"/>
              </w:rPr>
            </w:pPr>
          </w:p>
        </w:tc>
        <w:tc>
          <w:tcPr>
            <w:tcW w:w="43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60" w:type="dxa"/>
            <w:vAlign w:val="bottom"/>
            <w:tcBorders>
              <w:top w:val="single" w:sz="8" w:color="0000FF"/>
            </w:tcBorders>
            <w:gridSpan w:val="2"/>
          </w:tcPr>
          <w:p>
            <w:pPr>
              <w:spacing w:after="0"/>
              <w:rPr>
                <w:sz w:val="23"/>
                <w:szCs w:val="23"/>
                <w:color w:val="auto"/>
              </w:rPr>
            </w:pPr>
          </w:p>
        </w:tc>
        <w:tc>
          <w:tcPr>
            <w:tcW w:w="2920" w:type="dxa"/>
            <w:vAlign w:val="bottom"/>
            <w:gridSpan w:val="5"/>
          </w:tcPr>
          <w:p>
            <w:pPr>
              <w:spacing w:after="0"/>
              <w:rPr>
                <w:sz w:val="23"/>
                <w:szCs w:val="23"/>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3"/>
                <w:szCs w:val="23"/>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3"/>
        </w:trPr>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440" w:type="dxa"/>
            <w:vAlign w:val="bottom"/>
            <w:gridSpan w:val="11"/>
          </w:tcPr>
          <w:p>
            <w:pPr>
              <w:spacing w:after="0"/>
              <w:rPr>
                <w:sz w:val="23"/>
                <w:szCs w:val="23"/>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3"/>
                <w:szCs w:val="23"/>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960" w:type="dxa"/>
            <w:vAlign w:val="bottom"/>
            <w:gridSpan w:val="13"/>
          </w:tcPr>
          <w:p>
            <w:pPr>
              <w:spacing w:after="0"/>
              <w:rPr>
                <w:sz w:val="23"/>
                <w:szCs w:val="23"/>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73"/>
        </w:trPr>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80" w:type="dxa"/>
            <w:vAlign w:val="bottom"/>
            <w:gridSpan w:val="15"/>
          </w:tcPr>
          <w:p>
            <w:pPr>
              <w:spacing w:after="0"/>
              <w:rPr>
                <w:sz w:val="23"/>
                <w:szCs w:val="23"/>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3"/>
                <w:szCs w:val="23"/>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3"/>
                <w:szCs w:val="23"/>
                <w:color w:val="auto"/>
              </w:rPr>
            </w:pPr>
          </w:p>
        </w:tc>
        <w:tc>
          <w:tcPr>
            <w:tcW w:w="42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00" w:type="dxa"/>
            <w:vAlign w:val="bottom"/>
            <w:gridSpan w:val="8"/>
          </w:tcPr>
          <w:p>
            <w:pPr>
              <w:spacing w:after="0"/>
              <w:rPr>
                <w:sz w:val="23"/>
                <w:szCs w:val="23"/>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3"/>
                <w:szCs w:val="23"/>
                <w:color w:val="auto"/>
              </w:rPr>
            </w:pPr>
          </w:p>
        </w:tc>
        <w:tc>
          <w:tcPr>
            <w:tcW w:w="22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10"/>
          </w:tcPr>
          <w:p>
            <w:pPr>
              <w:spacing w:after="0"/>
              <w:rPr>
                <w:sz w:val="23"/>
                <w:szCs w:val="23"/>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3"/>
                <w:szCs w:val="23"/>
                <w:color w:val="auto"/>
              </w:rPr>
            </w:pPr>
          </w:p>
        </w:tc>
        <w:tc>
          <w:tcPr>
            <w:tcW w:w="13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Borders>
              <w:top w:val="single" w:sz="8" w:color="0000FF"/>
            </w:tcBorders>
            <w:gridSpan w:val="2"/>
          </w:tcPr>
          <w:p>
            <w:pPr>
              <w:spacing w:after="0"/>
              <w:rPr>
                <w:sz w:val="23"/>
                <w:szCs w:val="23"/>
                <w:color w:val="auto"/>
              </w:rPr>
            </w:pPr>
          </w:p>
        </w:tc>
        <w:tc>
          <w:tcPr>
            <w:tcW w:w="7540" w:type="dxa"/>
            <w:vAlign w:val="bottom"/>
            <w:gridSpan w:val="12"/>
          </w:tcPr>
          <w:p>
            <w:pPr>
              <w:spacing w:after="0"/>
              <w:rPr>
                <w:sz w:val="23"/>
                <w:szCs w:val="23"/>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73"/>
        </w:trPr>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3"/>
                <w:szCs w:val="23"/>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73"/>
        </w:trPr>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0000FF"/>
                <w:w w:val="99"/>
              </w:rPr>
              <w:t>59</w:t>
            </w:r>
          </w:p>
        </w:tc>
      </w:tr>
      <w:tr>
        <w:trPr>
          <w:trHeight w:val="898"/>
        </w:trPr>
        <w:tc>
          <w:tcPr>
            <w:tcW w:w="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840" w:type="dxa"/>
            <w:vAlign w:val="bottom"/>
            <w:gridSpan w:val="12"/>
          </w:tcPr>
          <w:p>
            <w:pPr>
              <w:ind w:left="456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2"/>
        </w:trPr>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360" w:type="dxa"/>
            <w:vAlign w:val="bottom"/>
          </w:tcPr>
          <w:p>
            <w:pPr>
              <w:spacing w:after="0"/>
              <w:rPr>
                <w:sz w:val="16"/>
                <w:szCs w:val="16"/>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80" w:type="dxa"/>
            <w:vAlign w:val="bottom"/>
          </w:tcPr>
          <w:p>
            <w:pPr>
              <w:spacing w:after="0"/>
              <w:rPr>
                <w:sz w:val="16"/>
                <w:szCs w:val="16"/>
                <w:color w:val="auto"/>
              </w:rPr>
            </w:pPr>
          </w:p>
        </w:tc>
        <w:tc>
          <w:tcPr>
            <w:tcW w:w="142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146,326</w:t>
            </w:r>
          </w:p>
        </w:tc>
        <w:tc>
          <w:tcPr>
            <w:tcW w:w="0" w:type="dxa"/>
            <w:vAlign w:val="bottom"/>
          </w:tcPr>
          <w:p>
            <w:pPr>
              <w:spacing w:after="0"/>
              <w:rPr>
                <w:sz w:val="1"/>
                <w:szCs w:val="1"/>
                <w:color w:val="auto"/>
              </w:rPr>
            </w:pPr>
          </w:p>
        </w:tc>
      </w:tr>
      <w:tr>
        <w:trPr>
          <w:trHeight w:val="209"/>
        </w:trPr>
        <w:tc>
          <w:tcPr>
            <w:tcW w:w="7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Short-term investments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178,612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182,041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Restricted cash</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12,392</w:t>
            </w:r>
          </w:p>
        </w:tc>
        <w:tc>
          <w:tcPr>
            <w:tcW w:w="0" w:type="dxa"/>
            <w:vAlign w:val="bottom"/>
          </w:tcPr>
          <w:p>
            <w:pPr>
              <w:spacing w:after="0"/>
              <w:rPr>
                <w:sz w:val="1"/>
                <w:szCs w:val="1"/>
                <w:color w:val="auto"/>
              </w:rPr>
            </w:pPr>
          </w:p>
        </w:tc>
      </w:tr>
      <w:tr>
        <w:trPr>
          <w:trHeight w:val="209"/>
        </w:trPr>
        <w:tc>
          <w:tcPr>
            <w:tcW w:w="7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457,287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343,105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current assets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155,262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146,093</w:t>
            </w:r>
          </w:p>
        </w:tc>
        <w:tc>
          <w:tcPr>
            <w:tcW w:w="0" w:type="dxa"/>
            <w:vAlign w:val="bottom"/>
          </w:tcPr>
          <w:p>
            <w:pPr>
              <w:spacing w:after="0"/>
              <w:rPr>
                <w:sz w:val="1"/>
                <w:szCs w:val="1"/>
                <w:color w:val="auto"/>
              </w:rPr>
            </w:pPr>
          </w:p>
        </w:tc>
      </w:tr>
      <w:tr>
        <w:trPr>
          <w:trHeight w:val="202"/>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959,143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829,957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111,821</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97,411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7,251</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129,968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581,595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419,654</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99,523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36,204</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investments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8,198</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72,471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61,771</w:t>
            </w:r>
          </w:p>
        </w:tc>
        <w:tc>
          <w:tcPr>
            <w:tcW w:w="0" w:type="dxa"/>
            <w:vAlign w:val="bottom"/>
          </w:tcPr>
          <w:p>
            <w:pPr>
              <w:spacing w:after="0"/>
              <w:rPr>
                <w:sz w:val="1"/>
                <w:szCs w:val="1"/>
                <w:color w:val="auto"/>
              </w:rPr>
            </w:pPr>
          </w:p>
        </w:tc>
      </w:tr>
      <w:tr>
        <w:trPr>
          <w:trHeight w:val="231"/>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2,073,409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1,702,235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6,505</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0" w:type="dxa"/>
            <w:vAlign w:val="bottom"/>
          </w:tcPr>
          <w:p>
            <w:pPr>
              <w:spacing w:after="0"/>
              <w:rPr>
                <w:sz w:val="1"/>
                <w:szCs w:val="1"/>
                <w:color w:val="auto"/>
              </w:rPr>
            </w:pPr>
          </w:p>
        </w:tc>
      </w:tr>
      <w:tr>
        <w:trPr>
          <w:trHeight w:val="209"/>
        </w:trPr>
        <w:tc>
          <w:tcPr>
            <w:tcW w:w="7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revenue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15,356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Accrued employee costs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146,775</w:t>
            </w:r>
          </w:p>
        </w:tc>
        <w:tc>
          <w:tcPr>
            <w:tcW w:w="0" w:type="dxa"/>
            <w:vAlign w:val="bottom"/>
          </w:tcPr>
          <w:p>
            <w:pPr>
              <w:spacing w:after="0"/>
              <w:rPr>
                <w:sz w:val="1"/>
                <w:szCs w:val="1"/>
                <w:color w:val="auto"/>
              </w:rPr>
            </w:pPr>
          </w:p>
        </w:tc>
      </w:tr>
      <w:tr>
        <w:trPr>
          <w:trHeight w:val="209"/>
        </w:trPr>
        <w:tc>
          <w:tcPr>
            <w:tcW w:w="7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135,498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20,093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16,857</w:t>
            </w:r>
          </w:p>
        </w:tc>
        <w:tc>
          <w:tcPr>
            <w:tcW w:w="0" w:type="dxa"/>
            <w:vAlign w:val="bottom"/>
          </w:tcPr>
          <w:p>
            <w:pPr>
              <w:spacing w:after="0"/>
              <w:rPr>
                <w:sz w:val="1"/>
                <w:szCs w:val="1"/>
                <w:color w:val="auto"/>
              </w:rPr>
            </w:pPr>
          </w:p>
        </w:tc>
      </w:tr>
      <w:tr>
        <w:trPr>
          <w:trHeight w:val="202"/>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444,189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324,125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501,346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293,712</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84,205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88,167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2,125</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112,990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81,401</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1,145,321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789,530</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Preferred stock, $0.001 par value; 15,000,000 shares authorized, none issued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3"/>
        </w:trPr>
        <w:tc>
          <w:tcPr>
            <w:tcW w:w="7360" w:type="dxa"/>
            <w:vAlign w:val="bottom"/>
            <w:shd w:val="clear" w:color="auto" w:fill="CCEEFF"/>
          </w:tcPr>
          <w:p>
            <w:pPr>
              <w:ind w:left="240"/>
              <w:spacing w:after="0" w:line="163" w:lineRule="exact"/>
              <w:rPr>
                <w:sz w:val="20"/>
                <w:szCs w:val="20"/>
                <w:color w:val="auto"/>
              </w:rPr>
            </w:pPr>
            <w:r>
              <w:rPr>
                <w:rFonts w:ascii="Times New Roman" w:cs="Times New Roman" w:eastAsia="Times New Roman" w:hAnsi="Times New Roman"/>
                <w:sz w:val="15"/>
                <w:szCs w:val="15"/>
                <w:color w:val="auto"/>
              </w:rPr>
              <w:t>Common stock, $0.001 par value; 400,000,000 shares authorized, 210,148,341 shares issued and 151,027,513 shares</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5"/>
                <w:szCs w:val="15"/>
                <w:color w:val="auto"/>
              </w:rPr>
              <w:t>outstanding as of September 30, 2026 and 208,855,566 shares issued and 156,430,028 shares outstanding as of</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December 31, 2025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0" w:type="dxa"/>
            <w:vAlign w:val="bottom"/>
          </w:tcPr>
          <w:p>
            <w:pPr>
              <w:spacing w:after="0"/>
              <w:rPr>
                <w:sz w:val="1"/>
                <w:szCs w:val="1"/>
                <w:color w:val="auto"/>
              </w:rPr>
            </w:pPr>
          </w:p>
        </w:tc>
      </w:tr>
      <w:tr>
        <w:trPr>
          <w:trHeight w:val="209"/>
        </w:trPr>
        <w:tc>
          <w:tcPr>
            <w:tcW w:w="73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750,312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677,562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Retained earnings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1,733,342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1,532,979</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(230,031)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(180,727)</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2,253,833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2,030,023</w:t>
            </w:r>
          </w:p>
        </w:tc>
        <w:tc>
          <w:tcPr>
            <w:tcW w:w="0" w:type="dxa"/>
            <w:vAlign w:val="bottom"/>
          </w:tcPr>
          <w:p>
            <w:pPr>
              <w:spacing w:after="0"/>
              <w:rPr>
                <w:sz w:val="1"/>
                <w:szCs w:val="1"/>
                <w:color w:val="auto"/>
              </w:rPr>
            </w:pPr>
          </w:p>
        </w:tc>
      </w:tr>
      <w:tr>
        <w:trPr>
          <w:trHeight w:val="140"/>
        </w:trPr>
        <w:tc>
          <w:tcPr>
            <w:tcW w:w="7360" w:type="dxa"/>
            <w:vAlign w:val="bottom"/>
          </w:tcPr>
          <w:p>
            <w:pPr>
              <w:ind w:left="20"/>
              <w:spacing w:after="0" w:line="140" w:lineRule="exact"/>
              <w:rPr>
                <w:sz w:val="20"/>
                <w:szCs w:val="20"/>
                <w:color w:val="auto"/>
              </w:rPr>
            </w:pPr>
            <w:r>
              <w:rPr>
                <w:rFonts w:ascii="Times New Roman" w:cs="Times New Roman" w:eastAsia="Times New Roman" w:hAnsi="Times New Roman"/>
                <w:sz w:val="15"/>
                <w:szCs w:val="15"/>
                <w:color w:val="auto"/>
              </w:rPr>
              <w:t>Less: 59,120,828 shares as of September 30, 2026 and 52,425,538 shares as of December 31, 2025, held in treasury, at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w:t>
            </w:r>
          </w:p>
        </w:tc>
        <w:tc>
          <w:tcPr>
            <w:tcW w:w="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(1,325,745)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(1,117,318)</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928,088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912,705</w:t>
            </w:r>
          </w:p>
        </w:tc>
        <w:tc>
          <w:tcPr>
            <w:tcW w:w="0" w:type="dxa"/>
            <w:vAlign w:val="bottom"/>
          </w:tcPr>
          <w:p>
            <w:pPr>
              <w:spacing w:after="0"/>
              <w:rPr>
                <w:sz w:val="1"/>
                <w:szCs w:val="1"/>
                <w:color w:val="auto"/>
              </w:rPr>
            </w:pPr>
          </w:p>
        </w:tc>
      </w:tr>
      <w:tr>
        <w:trPr>
          <w:trHeight w:val="202"/>
        </w:trPr>
        <w:tc>
          <w:tcPr>
            <w:tcW w:w="7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2,073,409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1,702,235</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5"/>
                <w:szCs w:val="15"/>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4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633,959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tcPr>
          <w:p>
            <w:pPr>
              <w:ind w:left="20"/>
              <w:spacing w:after="0" w:line="24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6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325,649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1,109,894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953,626</w:t>
            </w:r>
          </w:p>
        </w:tc>
        <w:tc>
          <w:tcPr>
            <w:tcW w:w="0" w:type="dxa"/>
            <w:vAlign w:val="bottom"/>
          </w:tcPr>
          <w:p>
            <w:pPr>
              <w:spacing w:after="0"/>
              <w:rPr>
                <w:sz w:val="1"/>
                <w:szCs w:val="1"/>
                <w:color w:val="auto"/>
              </w:rPr>
            </w:pPr>
          </w:p>
        </w:tc>
      </w:tr>
      <w:tr>
        <w:trPr>
          <w:trHeight w:val="233"/>
        </w:trPr>
        <w:tc>
          <w:tcPr>
            <w:tcW w:w="464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b w:val="1"/>
                <w:bCs w:val="1"/>
                <w:color w:val="auto"/>
                <w:vertAlign w:val="superscript"/>
              </w:rPr>
              <w:t>(1)</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241,135</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203,936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689,179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591,438</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223,359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185,217</w:t>
            </w:r>
          </w:p>
        </w:tc>
        <w:tc>
          <w:tcPr>
            <w:tcW w:w="0" w:type="dxa"/>
            <w:vAlign w:val="bottom"/>
          </w:tcPr>
          <w:p>
            <w:pPr>
              <w:spacing w:after="0"/>
              <w:rPr>
                <w:sz w:val="1"/>
                <w:szCs w:val="1"/>
                <w:color w:val="auto"/>
              </w:rPr>
            </w:pPr>
          </w:p>
        </w:tc>
      </w:tr>
      <w:tr>
        <w:trPr>
          <w:trHeight w:val="23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127,754</w:t>
            </w:r>
          </w:p>
        </w:tc>
        <w:tc>
          <w:tcPr>
            <w:tcW w:w="0" w:type="dxa"/>
            <w:vAlign w:val="bottom"/>
          </w:tcPr>
          <w:p>
            <w:pPr>
              <w:spacing w:after="0"/>
              <w:rPr>
                <w:sz w:val="1"/>
                <w:szCs w:val="1"/>
                <w:color w:val="auto"/>
              </w:rPr>
            </w:pPr>
          </w:p>
        </w:tc>
      </w:tr>
      <w:tr>
        <w:trPr>
          <w:trHeight w:val="23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9, 10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42,740</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152,279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421,202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355,711</w:t>
            </w:r>
          </w:p>
        </w:tc>
        <w:tc>
          <w:tcPr>
            <w:tcW w:w="0" w:type="dxa"/>
            <w:vAlign w:val="bottom"/>
          </w:tcPr>
          <w:p>
            <w:pPr>
              <w:spacing w:after="0"/>
              <w:rPr>
                <w:sz w:val="1"/>
                <w:szCs w:val="1"/>
                <w:color w:val="auto"/>
              </w:rPr>
            </w:pPr>
          </w:p>
        </w:tc>
      </w:tr>
      <w:tr>
        <w:trPr>
          <w:trHeight w:val="23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88,856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267,977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235,727</w:t>
            </w:r>
          </w:p>
        </w:tc>
        <w:tc>
          <w:tcPr>
            <w:tcW w:w="0" w:type="dxa"/>
            <w:vAlign w:val="bottom"/>
          </w:tcPr>
          <w:p>
            <w:pPr>
              <w:spacing w:after="0"/>
              <w:rPr>
                <w:sz w:val="1"/>
                <w:szCs w:val="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0" w:type="dxa"/>
            <w:vAlign w:val="bottom"/>
          </w:tcPr>
          <w:p>
            <w:pPr>
              <w:spacing w:after="0"/>
              <w:rPr>
                <w:sz w:val="1"/>
                <w:szCs w:val="1"/>
                <w:color w:val="auto"/>
              </w:rPr>
            </w:pPr>
          </w:p>
        </w:tc>
      </w:tr>
      <w:tr>
        <w:trPr>
          <w:trHeight w:val="166"/>
        </w:trPr>
        <w:tc>
          <w:tcPr>
            <w:tcW w:w="46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w w:val="99"/>
              </w:rPr>
              <w:t>Income before income tax expense and earnings from equity</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86,661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239,601</w:t>
            </w:r>
          </w:p>
        </w:tc>
        <w:tc>
          <w:tcPr>
            <w:tcW w:w="0" w:type="dxa"/>
            <w:vAlign w:val="bottom"/>
          </w:tcPr>
          <w:p>
            <w:pPr>
              <w:spacing w:after="0"/>
              <w:rPr>
                <w:sz w:val="1"/>
                <w:szCs w:val="1"/>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48,498</w:t>
            </w:r>
          </w:p>
        </w:tc>
        <w:tc>
          <w:tcPr>
            <w:tcW w:w="0" w:type="dxa"/>
            <w:vAlign w:val="bottom"/>
          </w:tcPr>
          <w:p>
            <w:pPr>
              <w:spacing w:after="0"/>
              <w:rPr>
                <w:sz w:val="1"/>
                <w:szCs w:val="1"/>
                <w:color w:val="auto"/>
              </w:rPr>
            </w:pPr>
          </w:p>
        </w:tc>
      </w:tr>
      <w:tr>
        <w:trPr>
          <w:trHeight w:val="23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200,345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191,103</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from equity-method investment</w:t>
            </w:r>
          </w:p>
        </w:tc>
        <w:tc>
          <w:tcPr>
            <w:tcW w:w="6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5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190,773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6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w w:val="99"/>
              </w:rPr>
              <w:t>Weighted average number of shares used in computing earnings</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151,784,913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160,495,712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153,447,201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161,963,152</w:t>
            </w:r>
          </w:p>
        </w:tc>
        <w:tc>
          <w:tcPr>
            <w:tcW w:w="0" w:type="dxa"/>
            <w:vAlign w:val="bottom"/>
          </w:tcPr>
          <w:p>
            <w:pPr>
              <w:spacing w:after="0"/>
              <w:rPr>
                <w:sz w:val="1"/>
                <w:szCs w:val="1"/>
                <w:color w:val="auto"/>
              </w:rPr>
            </w:pPr>
          </w:p>
        </w:tc>
      </w:tr>
      <w:tr>
        <w:trPr>
          <w:trHeight w:val="23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152,570,075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161,714,486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154,086,471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163,481,053</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422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5"/>
                <w:szCs w:val="15"/>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190,773</w:t>
            </w:r>
          </w:p>
        </w:tc>
      </w:tr>
      <w:tr>
        <w:trPr>
          <w:trHeight w:val="239"/>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9"/>
        </w:trPr>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r>
      <w:tr>
        <w:trPr>
          <w:trHeight w:val="239"/>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Retirement benefits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r>
      <w:tr>
        <w:trPr>
          <w:trHeight w:val="23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9"/>
        </w:trPr>
        <w:tc>
          <w:tcPr>
            <w:tcW w:w="4220" w:type="dxa"/>
            <w:vAlign w:val="bottom"/>
            <w:shd w:val="clear" w:color="auto" w:fill="CCEEFF"/>
          </w:tcPr>
          <w:p>
            <w:pPr>
              <w:ind w:left="340"/>
              <w:spacing w:after="0" w:line="240" w:lineRule="exact"/>
              <w:rPr>
                <w:sz w:val="20"/>
                <w:szCs w:val="20"/>
                <w:color w:val="auto"/>
              </w:rPr>
            </w:pPr>
            <w:r>
              <w:rPr>
                <w:rFonts w:ascii="Times New Roman" w:cs="Times New Roman" w:eastAsia="Times New Roman" w:hAnsi="Times New Roman"/>
                <w:sz w:val="18"/>
                <w:szCs w:val="18"/>
                <w:color w:val="auto"/>
              </w:rPr>
              <w:t>Loss on cash flow hedges</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39"/>
        </w:trPr>
        <w:tc>
          <w:tcPr>
            <w:tcW w:w="4220" w:type="dxa"/>
            <w:vAlign w:val="bottom"/>
          </w:tcPr>
          <w:p>
            <w:pPr>
              <w:ind w:left="340"/>
              <w:spacing w:after="0" w:line="240" w:lineRule="exact"/>
              <w:rPr>
                <w:sz w:val="20"/>
                <w:szCs w:val="20"/>
                <w:color w:val="auto"/>
              </w:rPr>
            </w:pPr>
            <w:r>
              <w:rPr>
                <w:rFonts w:ascii="Times New Roman" w:cs="Times New Roman" w:eastAsia="Times New Roman" w:hAnsi="Times New Roman"/>
                <w:sz w:val="18"/>
                <w:szCs w:val="18"/>
                <w:color w:val="auto"/>
              </w:rPr>
              <w:t>Retirement benefits</w:t>
            </w:r>
            <w:r>
              <w:rPr>
                <w:rFonts w:ascii="Times New Roman" w:cs="Times New Roman" w:eastAsia="Times New Roman" w:hAnsi="Times New Roman"/>
                <w:sz w:val="23"/>
                <w:szCs w:val="23"/>
                <w:color w:val="auto"/>
                <w:vertAlign w:val="superscript"/>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9"/>
        </w:trPr>
        <w:tc>
          <w:tcPr>
            <w:tcW w:w="4220" w:type="dxa"/>
            <w:vAlign w:val="bottom"/>
            <w:shd w:val="clear" w:color="auto" w:fill="CCEEFF"/>
          </w:tcPr>
          <w:p>
            <w:pPr>
              <w:ind w:left="140"/>
              <w:spacing w:after="0" w:line="240" w:lineRule="exact"/>
              <w:rPr>
                <w:sz w:val="20"/>
                <w:szCs w:val="20"/>
                <w:color w:val="auto"/>
              </w:rPr>
            </w:pPr>
            <w:r>
              <w:rPr>
                <w:rFonts w:ascii="Times New Roman" w:cs="Times New Roman" w:eastAsia="Times New Roman" w:hAnsi="Times New Roman"/>
                <w:sz w:val="18"/>
                <w:szCs w:val="18"/>
                <w:b w:val="1"/>
                <w:bCs w:val="1"/>
                <w:color w:val="auto"/>
              </w:rPr>
              <w:t>Income tax effects relating to above</w:t>
            </w:r>
            <w:r>
              <w:rPr>
                <w:rFonts w:ascii="Times New Roman" w:cs="Times New Roman" w:eastAsia="Times New Roman" w:hAnsi="Times New Roman"/>
                <w:sz w:val="23"/>
                <w:szCs w:val="23"/>
                <w:b w:val="1"/>
                <w:bCs w:val="1"/>
                <w:color w:val="auto"/>
                <w:vertAlign w:val="superscript"/>
              </w:rPr>
              <w:t>(3)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33"/>
        </w:trPr>
        <w:tc>
          <w:tcPr>
            <w:tcW w:w="4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comprehensive loss</w:t>
            </w: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(34,543)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(49,304)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(14,255)</w:t>
            </w:r>
          </w:p>
        </w:tc>
      </w:tr>
      <w:tr>
        <w:trPr>
          <w:trHeight w:val="25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176,518</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560" w:hanging="394"/>
        <w:spacing w:after="0" w:line="276" w:lineRule="auto"/>
        <w:tabs>
          <w:tab w:leader="none" w:pos="552"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reclassified to net income and are included in revenues, net, cost of revenues and operating expenses, as applicable in the unaudited consolidated statements of income.</w:t>
      </w:r>
    </w:p>
    <w:p>
      <w:pPr>
        <w:spacing w:after="0" w:line="188" w:lineRule="exact"/>
        <w:rPr>
          <w:rFonts w:ascii="Times New Roman" w:cs="Times New Roman" w:eastAsia="Times New Roman" w:hAnsi="Times New Roman"/>
          <w:sz w:val="14"/>
          <w:szCs w:val="14"/>
          <w:i w:val="1"/>
          <w:iCs w:val="1"/>
          <w:color w:val="auto"/>
        </w:rPr>
      </w:pPr>
    </w:p>
    <w:p>
      <w:pPr>
        <w:ind w:left="560" w:hanging="394"/>
        <w:spacing w:after="0"/>
        <w:tabs>
          <w:tab w:leader="none" w:pos="56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unaudited consolidated statements of income.</w:t>
      </w:r>
    </w:p>
    <w:p>
      <w:pPr>
        <w:spacing w:after="0" w:line="241" w:lineRule="exact"/>
        <w:rPr>
          <w:rFonts w:ascii="Times New Roman" w:cs="Times New Roman" w:eastAsia="Times New Roman" w:hAnsi="Times New Roman"/>
          <w:sz w:val="14"/>
          <w:szCs w:val="14"/>
          <w:i w:val="1"/>
          <w:iCs w:val="1"/>
          <w:color w:val="auto"/>
        </w:rPr>
      </w:pPr>
    </w:p>
    <w:p>
      <w:pPr>
        <w:ind w:left="560" w:hanging="394"/>
        <w:spacing w:after="0"/>
        <w:tabs>
          <w:tab w:leader="none" w:pos="56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 and 2025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8"/>
                <w:szCs w:val="8"/>
                <w:color w:val="auto"/>
              </w:rPr>
            </w:pPr>
          </w:p>
        </w:tc>
        <w:tc>
          <w:tcPr>
            <w:tcW w:w="84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8"/>
                <w:szCs w:val="8"/>
                <w:color w:val="auto"/>
              </w:rPr>
            </w:pPr>
          </w:p>
        </w:tc>
        <w:tc>
          <w:tcPr>
            <w:tcW w:w="124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1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6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210,101,885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724,432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1,664,571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(223,682)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(58,356,813)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(1,299,289)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866,242</w:t>
            </w:r>
          </w:p>
        </w:tc>
        <w:tc>
          <w:tcPr>
            <w:tcW w:w="0" w:type="dxa"/>
            <w:vAlign w:val="bottom"/>
          </w:tcPr>
          <w:p>
            <w:pPr>
              <w:spacing w:after="0"/>
              <w:rPr>
                <w:sz w:val="1"/>
                <w:szCs w:val="1"/>
                <w:color w:val="auto"/>
              </w:rPr>
            </w:pPr>
          </w:p>
        </w:tc>
      </w:tr>
      <w:tr>
        <w:trPr>
          <w:trHeight w:val="150"/>
        </w:trPr>
        <w:tc>
          <w:tcPr>
            <w:tcW w:w="238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25,542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25,542</w:t>
            </w: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(26,211)</w:t>
            </w: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3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9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(6,349)</w:t>
            </w:r>
          </w:p>
        </w:tc>
        <w:tc>
          <w:tcPr>
            <w:tcW w:w="10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(6,349)</w:t>
            </w: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68,771</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210,148,341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750,312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1,733,342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(230,031)</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(59,120,828)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(1,325,745)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928,088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8"/>
                <w:szCs w:val="8"/>
                <w:color w:val="auto"/>
              </w:rPr>
            </w:pPr>
          </w:p>
        </w:tc>
        <w:tc>
          <w:tcPr>
            <w:tcW w:w="84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8"/>
                <w:szCs w:val="8"/>
                <w:color w:val="auto"/>
              </w:rPr>
            </w:pPr>
          </w:p>
        </w:tc>
        <w:tc>
          <w:tcPr>
            <w:tcW w:w="124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1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207,810,635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625,984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1,414,572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(134,434)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(45,981,304)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(845,379)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1,060,950</w:t>
            </w:r>
          </w:p>
        </w:tc>
        <w:tc>
          <w:tcPr>
            <w:tcW w:w="0" w:type="dxa"/>
            <w:vAlign w:val="bottom"/>
          </w:tcPr>
          <w:p>
            <w:pPr>
              <w:spacing w:after="0"/>
              <w:rPr>
                <w:sz w:val="1"/>
                <w:szCs w:val="1"/>
                <w:color w:val="auto"/>
              </w:rPr>
            </w:pPr>
          </w:p>
        </w:tc>
      </w:tr>
      <w:tr>
        <w:trPr>
          <w:trHeight w:val="150"/>
        </w:trPr>
        <w:tc>
          <w:tcPr>
            <w:tcW w:w="238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127,376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23,139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23,139</w:t>
            </w: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(33,467)</w:t>
            </w: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(2,302,556)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50"/>
        </w:trPr>
        <w:tc>
          <w:tcPr>
            <w:tcW w:w="238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(34,543)</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(34,543)</w:t>
            </w: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58,161</w:t>
            </w:r>
          </w:p>
        </w:tc>
        <w:tc>
          <w:tcPr>
            <w:tcW w:w="0" w:type="dxa"/>
            <w:vAlign w:val="bottom"/>
          </w:tcPr>
          <w:p>
            <w:pPr>
              <w:spacing w:after="0"/>
              <w:rPr>
                <w:sz w:val="1"/>
                <w:szCs w:val="1"/>
                <w:color w:val="auto"/>
              </w:rPr>
            </w:pPr>
          </w:p>
        </w:tc>
      </w:tr>
      <w:tr>
        <w:trPr>
          <w:trHeight w:val="24"/>
        </w:trPr>
        <w:tc>
          <w:tcPr>
            <w:tcW w:w="2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207,938,011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627,966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1,472,733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(168,977)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(49,055,380)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(979,540)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952,389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8"/>
                <w:szCs w:val="8"/>
                <w:color w:val="auto"/>
              </w:rPr>
            </w:pPr>
          </w:p>
        </w:tc>
        <w:tc>
          <w:tcPr>
            <w:tcW w:w="82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8"/>
                <w:szCs w:val="8"/>
                <w:color w:val="auto"/>
              </w:rPr>
            </w:pPr>
          </w:p>
        </w:tc>
        <w:tc>
          <w:tcPr>
            <w:tcW w:w="126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1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208,855,566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677,562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1,532,979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(180,727)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(52,425,538)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(1,117,318)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912,705</w:t>
            </w:r>
          </w:p>
        </w:tc>
        <w:tc>
          <w:tcPr>
            <w:tcW w:w="0" w:type="dxa"/>
            <w:vAlign w:val="bottom"/>
          </w:tcPr>
          <w:p>
            <w:pPr>
              <w:spacing w:after="0"/>
              <w:rPr>
                <w:sz w:val="1"/>
                <w:szCs w:val="1"/>
                <w:color w:val="auto"/>
              </w:rPr>
            </w:pPr>
          </w:p>
        </w:tc>
      </w:tr>
      <w:tr>
        <w:trPr>
          <w:trHeight w:val="150"/>
        </w:trPr>
        <w:tc>
          <w:tcPr>
            <w:tcW w:w="24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1,292,775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3,749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72,274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72,274</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(2,548,610)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(85,312)</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share repurchases</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(4,146,680)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50"/>
        </w:trPr>
        <w:tc>
          <w:tcPr>
            <w:tcW w:w="24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(49,304)</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(49,304)</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200,363</w:t>
            </w:r>
          </w:p>
        </w:tc>
        <w:tc>
          <w:tcPr>
            <w:tcW w:w="0" w:type="dxa"/>
            <w:vAlign w:val="bottom"/>
          </w:tcPr>
          <w:p>
            <w:pPr>
              <w:spacing w:after="0"/>
              <w:rPr>
                <w:sz w:val="1"/>
                <w:szCs w:val="1"/>
                <w:color w:val="auto"/>
              </w:rPr>
            </w:pPr>
          </w:p>
        </w:tc>
      </w:tr>
      <w:tr>
        <w:trPr>
          <w:trHeight w:val="24"/>
        </w:trPr>
        <w:tc>
          <w:tcPr>
            <w:tcW w:w="2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210,148,341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750,312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1,733,342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(230,031)</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(59,120,828)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(1,325,745)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928,088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8"/>
                <w:szCs w:val="8"/>
                <w:color w:val="auto"/>
              </w:rPr>
            </w:pPr>
          </w:p>
        </w:tc>
        <w:tc>
          <w:tcPr>
            <w:tcW w:w="86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8"/>
                <w:szCs w:val="8"/>
                <w:color w:val="auto"/>
              </w:rPr>
            </w:pPr>
          </w:p>
        </w:tc>
        <w:tc>
          <w:tcPr>
            <w:tcW w:w="124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1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206,510,587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588,583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1,281,960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(154,722)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(44,709,375)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(786,165)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929,862</w:t>
            </w:r>
          </w:p>
        </w:tc>
        <w:tc>
          <w:tcPr>
            <w:tcW w:w="0" w:type="dxa"/>
            <w:vAlign w:val="bottom"/>
          </w:tcPr>
          <w:p>
            <w:pPr>
              <w:spacing w:after="0"/>
              <w:rPr>
                <w:sz w:val="1"/>
                <w:szCs w:val="1"/>
                <w:color w:val="auto"/>
              </w:rPr>
            </w:pPr>
          </w:p>
        </w:tc>
      </w:tr>
      <w:tr>
        <w:trPr>
          <w:trHeight w:val="150"/>
        </w:trPr>
        <w:tc>
          <w:tcPr>
            <w:tcW w:w="23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3"/>
                <w:szCs w:val="13"/>
                <w:color w:val="auto"/>
              </w:rPr>
            </w:pP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1,427,424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5,665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5,666</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58,718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58,718</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(2,043,449)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(92,710)</w:t>
            </w:r>
          </w:p>
        </w:tc>
        <w:tc>
          <w:tcPr>
            <w:tcW w:w="0" w:type="dxa"/>
            <w:vAlign w:val="bottom"/>
          </w:tcPr>
          <w:p>
            <w:pPr>
              <w:spacing w:after="0"/>
              <w:rPr>
                <w:sz w:val="1"/>
                <w:szCs w:val="1"/>
                <w:color w:val="auto"/>
              </w:rPr>
            </w:pPr>
          </w:p>
        </w:tc>
      </w:tr>
      <w:tr>
        <w:trPr>
          <w:trHeight w:val="24"/>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Accelerated share repurchases</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(2,302,556)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50"/>
        </w:trPr>
        <w:tc>
          <w:tcPr>
            <w:tcW w:w="23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190,773</w:t>
            </w:r>
          </w:p>
        </w:tc>
        <w:tc>
          <w:tcPr>
            <w:tcW w:w="0" w:type="dxa"/>
            <w:vAlign w:val="bottom"/>
          </w:tcPr>
          <w:p>
            <w:pPr>
              <w:spacing w:after="0"/>
              <w:rPr>
                <w:sz w:val="1"/>
                <w:szCs w:val="1"/>
                <w:color w:val="auto"/>
              </w:rPr>
            </w:pPr>
          </w:p>
        </w:tc>
      </w:tr>
      <w:tr>
        <w:trPr>
          <w:trHeight w:val="24"/>
        </w:trPr>
        <w:tc>
          <w:tcPr>
            <w:tcW w:w="23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207,938,011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627,966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1,472,733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(168,977)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(49,055,380)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(979,540)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952,389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3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77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200,363</w:t>
            </w:r>
          </w:p>
        </w:tc>
        <w:tc>
          <w:tcPr>
            <w:tcW w:w="100" w:type="dxa"/>
            <w:vAlign w:val="bottom"/>
          </w:tcPr>
          <w:p>
            <w:pPr>
              <w:spacing w:after="0"/>
              <w:rPr>
                <w:sz w:val="19"/>
                <w:szCs w:val="19"/>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190,773</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42,877</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58,718</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Reduction in the carrying amount of operating lease right-of-use assets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18,393</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mark-to-market on investments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foreign currency exchange gain,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(10,978)</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Others,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(45,395)</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employee costs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15,068</w:t>
            </w:r>
          </w:p>
        </w:tc>
      </w:tr>
      <w:tr>
        <w:trPr>
          <w:trHeight w:val="223"/>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(18,895)</w:t>
            </w: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233,336</w:t>
            </w:r>
          </w:p>
        </w:tc>
      </w:tr>
      <w:tr>
        <w:trPr>
          <w:trHeight w:val="33"/>
        </w:trPr>
        <w:tc>
          <w:tcPr>
            <w:tcW w:w="7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(41,727)</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(247,289)</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redemption of investments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207,266</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Business acquisition (net of cash and cash equivalents acquired)</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 equity affiliate</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58"/>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(198,746)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(82,609)</w:t>
            </w:r>
          </w:p>
        </w:tc>
      </w:tr>
      <w:tr>
        <w:trPr>
          <w:trHeight w:val="223"/>
        </w:trPr>
        <w:tc>
          <w:tcPr>
            <w:tcW w:w="7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payments of finance lease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borrowings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Repayments of borrowings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(108,750)</w:t>
            </w:r>
          </w:p>
        </w:tc>
      </w:tr>
      <w:tr>
        <w:trPr>
          <w:trHeight w:val="22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(218,908)</w:t>
            </w: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5,094</w:t>
            </w:r>
          </w:p>
        </w:tc>
      </w:tr>
      <w:tr>
        <w:trPr>
          <w:trHeight w:val="223"/>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by/(used for)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(147,929)</w:t>
            </w:r>
          </w:p>
        </w:tc>
      </w:tr>
      <w:tr>
        <w:trPr>
          <w:trHeight w:val="21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5,637</w:t>
            </w:r>
          </w:p>
        </w:tc>
      </w:tr>
      <w:tr>
        <w:trPr>
          <w:trHeight w:val="22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8,435</w:t>
            </w: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171,398</w:t>
            </w: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period</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175,074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179,833</w:t>
            </w:r>
          </w:p>
        </w:tc>
      </w:tr>
      <w:tr>
        <w:trPr>
          <w:trHeight w:val="21"/>
        </w:trPr>
        <w:tc>
          <w:tcPr>
            <w:tcW w:w="7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12,473</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property and equipment not yet paid</w:t>
            </w: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r>
      <w:tr>
        <w:trPr>
          <w:trHeight w:val="221"/>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Assets acquired under finance lease</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Pr>
          <w:p>
            <w:pPr>
              <w:spacing w:after="0"/>
              <w:rPr>
                <w:sz w:val="19"/>
                <w:szCs w:val="19"/>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34"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is a global data and artificial intelligence (“AI”) company that offers services and solutions to reinvent client business models, drive better outcomes and unlock growth with speed. The Company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clients are located principally in the United States of America (“U.S.”) and the United Kingdom (“U.K.”).</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236" w:lineRule="exact"/>
        <w:rPr>
          <w:sz w:val="20"/>
          <w:szCs w:val="20"/>
          <w:color w:val="auto"/>
        </w:rPr>
      </w:pPr>
    </w:p>
    <w:p>
      <w:pPr>
        <w:jc w:val="both"/>
        <w:ind w:firstLine="399"/>
        <w:spacing w:after="0" w:line="236"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2025.</w:t>
      </w:r>
    </w:p>
    <w:p>
      <w:pPr>
        <w:spacing w:after="0" w:line="210"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04"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All intercompany balances and transactions are eliminated in consolidation. The Company’s investments in equity affiliates are recorded using equity method of accounting.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36" w:lineRule="exact"/>
        <w:rPr>
          <w:sz w:val="20"/>
          <w:szCs w:val="20"/>
          <w:color w:val="auto"/>
        </w:rPr>
      </w:pPr>
    </w:p>
    <w:p>
      <w:pPr>
        <w:jc w:val="both"/>
        <w:ind w:firstLine="399"/>
        <w:spacing w:after="0" w:line="233"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those estimates. The significant estimates that affect the unaudited consolidated financial statements include, but are not limited to, estimates of the fair value of the identifiable intangible assets and contingent consideration, purchase price allocation, including revenue projections and the discount rate applied within the discounted cash flow model for business acquisitions, credit risk of customers, the nature and timing of the satisfaction of performance obligations, the standalone selling price of performance obligations,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pattern of generation of economic benefits to calculate depreciation and amortization for long-lived assets and other intangible assets, and recoverability of long-lived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Recent Accounting Pronouncements</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Accounting Standards Update (“ASU”) No. 2024-03, </w:t>
      </w:r>
      <w:r>
        <w:rPr>
          <w:rFonts w:ascii="Times New Roman" w:cs="Times New Roman" w:eastAsia="Times New Roman" w:hAnsi="Times New Roman"/>
          <w:sz w:val="17"/>
          <w:szCs w:val="17"/>
          <w:i w:val="1"/>
          <w:iCs w:val="1"/>
          <w:color w:val="auto"/>
        </w:rPr>
        <w:t>Income Statement</w:t>
      </w:r>
    </w:p>
    <w:p>
      <w:pPr>
        <w:spacing w:after="0" w:line="26" w:lineRule="exact"/>
        <w:rPr>
          <w:sz w:val="20"/>
          <w:szCs w:val="20"/>
          <w:color w:val="auto"/>
        </w:rPr>
      </w:pPr>
    </w:p>
    <w:p>
      <w:pPr>
        <w:jc w:val="both"/>
        <w:ind w:firstLine="6"/>
        <w:spacing w:after="0" w:line="234" w:lineRule="auto"/>
        <w:tabs>
          <w:tab w:leader="none" w:pos="111"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Reporting Comprehensive Income (“ASC Topic 220”): Expense Disaggregation Disclosures</w:t>
      </w:r>
      <w:r>
        <w:rPr>
          <w:rFonts w:ascii="Times New Roman" w:cs="Times New Roman" w:eastAsia="Times New Roman" w:hAnsi="Times New Roman"/>
          <w:sz w:val="18"/>
          <w:szCs w:val="18"/>
          <w:color w:val="auto"/>
        </w:rPr>
        <w:t>. This ASU improves disclosures relating to the disaggregation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statement expenses, requires additional disclosures about the nature of expenses in commonly presented financial statement captions on an annual and interim basis for all public business entities. The ASU will be effective for annual reporting periods beginning after December 15, 2026, and interim periods within annual reporting periods beginning after December 15, 2027, with early adoption permitted. The Company is currently evaluating the impact of this ASU on its consolidated financial statements.</w:t>
      </w:r>
    </w:p>
    <w:p>
      <w:pPr>
        <w:spacing w:after="0" w:line="205" w:lineRule="exact"/>
        <w:rPr>
          <w:sz w:val="20"/>
          <w:szCs w:val="20"/>
          <w:color w:val="auto"/>
        </w:rPr>
      </w:pPr>
    </w:p>
    <w:p>
      <w:pPr>
        <w:jc w:val="both"/>
        <w:ind w:firstLine="399"/>
        <w:spacing w:after="0" w:line="23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This ASU enhances the guidance for internal-use software development costs by removing references to project stages and simplifying the criteria for when capitalization of software development costs shall begin. The ASU will be effective for annual reporting periods beginning after December 15, 2027, including interim periods within those years, with early adoption permitted. The Company is currently evaluating the impact of this ASU on its consolidated financial statements.</w:t>
      </w:r>
    </w:p>
    <w:p>
      <w:pPr>
        <w:spacing w:after="0" w:line="206"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(“ASC Topic 832”): Accounting for Government Grants Received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Entities</w:t>
      </w:r>
      <w:r>
        <w:rPr>
          <w:rFonts w:ascii="Times New Roman" w:cs="Times New Roman" w:eastAsia="Times New Roman" w:hAnsi="Times New Roman"/>
          <w:sz w:val="18"/>
          <w:szCs w:val="18"/>
          <w:color w:val="auto"/>
        </w:rPr>
        <w:t>. This ASU provides authoritative guidance on the recognition, measurement, presentation, and disclosure of government grants for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creating a framework that previously did not exist under U.S. GAAP. The ASU will be effective for annual reporting periods beginning after December 15, 2028, including interim periods within those years, with early adoption permitted. The Company is currently evaluating the impact of this ASU on its consolidated financial statements.</w:t>
      </w:r>
    </w:p>
    <w:p>
      <w:pPr>
        <w:spacing w:after="0" w:line="206" w:lineRule="exact"/>
        <w:rPr>
          <w:sz w:val="20"/>
          <w:szCs w:val="20"/>
          <w:color w:val="auto"/>
        </w:rPr>
      </w:pPr>
    </w:p>
    <w:p>
      <w:pPr>
        <w:jc w:val="both"/>
        <w:ind w:firstLine="399"/>
        <w:spacing w:after="0" w:line="24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(“ASC Topic 270”): Narrow-Scope Improvements</w:t>
      </w:r>
      <w:r>
        <w:rPr>
          <w:rFonts w:ascii="Times New Roman" w:cs="Times New Roman" w:eastAsia="Times New Roman" w:hAnsi="Times New Roman"/>
          <w:sz w:val="18"/>
          <w:szCs w:val="18"/>
          <w:color w:val="auto"/>
        </w:rPr>
        <w:t>. This ASU provides a comprehensive list of interim disclosures that are required by U.S. GAAP and incorporates disclosure principle of material events or changes occurred since the prior year-end. The ASU will be effective for interim reporting periods within annual reporting periods beginning after December 15, 2027, with early adoption permitted. The Company is currently evaluating the impact of this ASU on its consolidated financial statements.</w:t>
      </w:r>
    </w:p>
    <w:p>
      <w:pPr>
        <w:spacing w:after="0" w:line="177" w:lineRule="exact"/>
        <w:rPr>
          <w:sz w:val="20"/>
          <w:szCs w:val="20"/>
          <w:color w:val="auto"/>
        </w:rPr>
      </w:pPr>
    </w:p>
    <w:p>
      <w:pPr>
        <w:ind w:left="240" w:hanging="234"/>
        <w:spacing w:after="0"/>
        <w:tabs>
          <w:tab w:leader="none" w:pos="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Recently Adopted and Applicable Accounting Pronouncements</w:t>
      </w:r>
    </w:p>
    <w:p>
      <w:pPr>
        <w:spacing w:after="0" w:line="234"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(“ASC Topic 326”): Measurement of Credit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Accounts Receivable and Contract Assets</w:t>
      </w:r>
      <w:r>
        <w:rPr>
          <w:rFonts w:ascii="Times New Roman" w:cs="Times New Roman" w:eastAsia="Times New Roman" w:hAnsi="Times New Roman"/>
          <w:sz w:val="18"/>
          <w:szCs w:val="18"/>
          <w:color w:val="auto"/>
        </w:rPr>
        <w:t>. This ASU provides a practical expedient when estimating expected credit losses for current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contract assets arising from transactions accounted for under ASC Topic 606. The ASU is effective for annual reporting periods beginning after December 15, 2025, including interim periods within those years, with early adoption permitted. The Company has adopted this ASU beginning January 1, 2026. The adoption of this ASU did not have a material impact on the Company’s consolidated financial statements and disclosures.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is a provider of data and AI-led solutions and services and digital operations solutions and services in an integrated manner for clients across industry verticals.</w:t>
      </w:r>
    </w:p>
    <w:p>
      <w:pPr>
        <w:spacing w:after="0" w:line="177"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The Company’s operating model is comprised of Industry Market Units (“IMUs”) to focus on delivering higher value to clients leveraging full suite of capabilities and Strategic Growth Units to focus on rapidly advancing the capabilities specific to various industries and client needs. The Company manages and reports financial information through its four reportable segments that are aligned to its IMUs: Insurance, Healthcare and Life Sciences, Banking, Capital Markets and Diversified Industries, and International Growth Markets, which reflects the manner in which the Company’s Chief Operating Decision Maker (“CODM”) reviews financial information and makes operating decisions.</w:t>
      </w:r>
    </w:p>
    <w:p>
      <w:pPr>
        <w:spacing w:after="0" w:line="210" w:lineRule="exact"/>
        <w:rPr>
          <w:sz w:val="20"/>
          <w:szCs w:val="20"/>
          <w:color w:val="auto"/>
        </w:rPr>
      </w:pPr>
    </w:p>
    <w:p>
      <w:pPr>
        <w:jc w:val="both"/>
        <w:ind w:firstLine="399"/>
        <w:spacing w:after="0" w:line="236"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CODM. The CODM generally reviews and uses financial information such as revenues, cost of revenues, and gross profit predominantly in the annual budgeting and forecasting process to allocate an overall budget, measure segment performance, and evaluate pricing strategy. The CODM considers budget-to-actuals variances on a quarterly basis for making decisions about the allocation of operating and capital resources to each segment.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8"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The acquisition of I Merit Inc. (“iMerit”) is included in the Healthcare and Life Sciences, Banking, Capital Markets and Diversified Industries, and International Growth Markets reportable segments. Refer to Note 10 - Business Combinations, Goodwill and Other Intangible Assets to the unaudited consolidated financial statements for further details.</w:t>
      </w:r>
    </w:p>
    <w:p>
      <w:pPr>
        <w:spacing w:after="0" w:line="204"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Revenues, net and cost of revenues for the three months ended September 30, 2026 and 2025, respectively, for each of the reportable segments, are as follows:</w:t>
      </w: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Healthcare and Life</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Banking, Capital</w:t>
            </w:r>
          </w:p>
        </w:tc>
        <w:tc>
          <w:tcPr>
            <w:tcW w:w="160" w:type="dxa"/>
            <w:vAlign w:val="bottom"/>
            <w:shd w:val="clear" w:color="auto" w:fill="CCEEFF"/>
          </w:tcPr>
          <w:p>
            <w:pPr>
              <w:spacing w:after="0"/>
              <w:rPr>
                <w:sz w:val="20"/>
                <w:szCs w:val="20"/>
                <w:color w:val="auto"/>
              </w:rPr>
            </w:pPr>
          </w:p>
        </w:tc>
        <w:tc>
          <w:tcPr>
            <w:tcW w:w="118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4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380" w:type="dxa"/>
            <w:vAlign w:val="bottom"/>
            <w:gridSpan w:val="3"/>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80" w:type="dxa"/>
            <w:vAlign w:val="bottom"/>
            <w:gridSpan w:val="2"/>
            <w:vMerge w:val="restart"/>
            <w:shd w:val="clear" w:color="auto" w:fill="CCEEFF"/>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Markets and</w:t>
            </w:r>
          </w:p>
        </w:tc>
        <w:tc>
          <w:tcPr>
            <w:tcW w:w="16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vMerge w:val="restart"/>
            <w:shd w:val="clear" w:color="auto" w:fill="CCEEFF"/>
          </w:tcPr>
          <w:p>
            <w:pPr>
              <w:jc w:val="right"/>
              <w:ind w:right="234"/>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2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6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3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Growth Markets</w:t>
            </w:r>
          </w:p>
        </w:tc>
        <w:tc>
          <w:tcPr>
            <w:tcW w:w="22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4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54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Diversified Industries</w:t>
            </w:r>
          </w:p>
        </w:tc>
        <w:tc>
          <w:tcPr>
            <w:tcW w:w="1340" w:type="dxa"/>
            <w:vAlign w:val="bottom"/>
            <w:gridSpan w:val="3"/>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40" w:type="dxa"/>
            <w:vAlign w:val="bottom"/>
            <w:gridSpan w:val="3"/>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43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208,493</w:t>
            </w:r>
          </w:p>
        </w:tc>
        <w:tc>
          <w:tcPr>
            <w:tcW w:w="80" w:type="dxa"/>
            <w:vAlign w:val="bottom"/>
          </w:tcPr>
          <w:p>
            <w:pPr>
              <w:spacing w:after="0"/>
              <w:rPr>
                <w:sz w:val="20"/>
                <w:szCs w:val="20"/>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160,399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153,482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111,585</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633,959</w:t>
            </w:r>
          </w:p>
        </w:tc>
        <w:tc>
          <w:tcPr>
            <w:tcW w:w="0" w:type="dxa"/>
            <w:vAlign w:val="bottom"/>
          </w:tcPr>
          <w:p>
            <w:pPr>
              <w:spacing w:after="0"/>
              <w:rPr>
                <w:sz w:val="1"/>
                <w:szCs w:val="1"/>
                <w:color w:val="auto"/>
              </w:rPr>
            </w:pPr>
          </w:p>
        </w:tc>
      </w:tr>
      <w:tr>
        <w:trPr>
          <w:trHeight w:val="239"/>
        </w:trPr>
        <w:tc>
          <w:tcPr>
            <w:tcW w:w="438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318,134</w:t>
            </w:r>
          </w:p>
        </w:tc>
        <w:tc>
          <w:tcPr>
            <w:tcW w:w="0" w:type="dxa"/>
            <w:vAlign w:val="bottom"/>
          </w:tcPr>
          <w:p>
            <w:pPr>
              <w:spacing w:after="0"/>
              <w:rPr>
                <w:sz w:val="1"/>
                <w:szCs w:val="1"/>
                <w:color w:val="auto"/>
              </w:rPr>
            </w:pPr>
          </w:p>
        </w:tc>
      </w:tr>
      <w:tr>
        <w:trPr>
          <w:trHeight w:val="239"/>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Infrastructure and technology costs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46,530</w:t>
            </w:r>
          </w:p>
        </w:tc>
        <w:tc>
          <w:tcPr>
            <w:tcW w:w="0" w:type="dxa"/>
            <w:vAlign w:val="bottom"/>
          </w:tcPr>
          <w:p>
            <w:pPr>
              <w:spacing w:after="0"/>
              <w:rPr>
                <w:sz w:val="1"/>
                <w:szCs w:val="1"/>
                <w:color w:val="auto"/>
              </w:rPr>
            </w:pPr>
          </w:p>
        </w:tc>
      </w:tr>
      <w:tr>
        <w:trPr>
          <w:trHeight w:val="239"/>
        </w:trPr>
        <w:tc>
          <w:tcPr>
            <w:tcW w:w="4380" w:type="dxa"/>
            <w:vAlign w:val="bottom"/>
            <w:tcBorders>
              <w:bottom w:val="single" w:sz="8" w:color="CCEEFF"/>
            </w:tcBorders>
          </w:tcPr>
          <w:p>
            <w:pPr>
              <w:ind w:left="160"/>
              <w:spacing w:after="0" w:line="24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28,160</w:t>
            </w:r>
          </w:p>
        </w:tc>
        <w:tc>
          <w:tcPr>
            <w:tcW w:w="0" w:type="dxa"/>
            <w:vAlign w:val="bottom"/>
          </w:tcPr>
          <w:p>
            <w:pPr>
              <w:spacing w:after="0"/>
              <w:rPr>
                <w:sz w:val="1"/>
                <w:szCs w:val="1"/>
                <w:color w:val="auto"/>
              </w:rPr>
            </w:pPr>
          </w:p>
        </w:tc>
      </w:tr>
      <w:tr>
        <w:trPr>
          <w:trHeight w:val="258"/>
        </w:trPr>
        <w:tc>
          <w:tcPr>
            <w:tcW w:w="4380" w:type="dxa"/>
            <w:vAlign w:val="bottom"/>
            <w:tcBorders>
              <w:bottom w:val="single" w:sz="8" w:color="CCEEFF"/>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241,135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152,279</w:t>
            </w: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420"/>
        <w:spacing w:after="0" w:line="233" w:lineRule="auto"/>
        <w:rPr>
          <w:sz w:val="20"/>
          <w:szCs w:val="20"/>
          <w:color w:val="auto"/>
        </w:rPr>
      </w:pPr>
      <w:r>
        <w:rPr>
          <w:rFonts w:ascii="Times New Roman" w:cs="Times New Roman" w:eastAsia="Times New Roman" w:hAnsi="Times New Roman"/>
          <w:sz w:val="18"/>
          <w:szCs w:val="18"/>
          <w:color w:val="auto"/>
        </w:rPr>
        <w:t>Foreign exchange gain, net, interest expense and other</w:t>
      </w:r>
    </w:p>
    <w:p>
      <w:pPr>
        <w:ind w:left="420"/>
        <w:spacing w:after="0"/>
        <w:rPr>
          <w:sz w:val="20"/>
          <w:szCs w:val="20"/>
          <w:color w:val="auto"/>
        </w:rPr>
      </w:pPr>
      <w:r>
        <w:rPr>
          <w:rFonts w:ascii="Times New Roman" w:cs="Times New Roman" w:eastAsia="Times New Roman" w:hAnsi="Times New Roman"/>
          <w:sz w:val="18"/>
          <w:szCs w:val="18"/>
          <w:color w:val="auto"/>
        </w:rPr>
        <w:t>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6821805" cy="269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1805" cy="26987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Income before income tax expense and earnings from equity</w:t>
      </w:r>
    </w:p>
    <w:p>
      <w:pPr>
        <w:ind w:left="420"/>
        <w:spacing w:after="0"/>
        <w:rPr>
          <w:sz w:val="20"/>
          <w:szCs w:val="20"/>
          <w:color w:val="auto"/>
        </w:rPr>
      </w:pPr>
      <w:r>
        <w:rPr>
          <w:rFonts w:ascii="Times New Roman" w:cs="Times New Roman" w:eastAsia="Times New Roman" w:hAnsi="Times New Roman"/>
          <w:sz w:val="18"/>
          <w:szCs w:val="18"/>
          <w:color w:val="auto"/>
        </w:rPr>
        <w:t>affiliates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(2,195)</w:t>
      </w:r>
    </w:p>
    <w:p>
      <w:pPr>
        <w:spacing w:after="0" w:line="192" w:lineRule="exact"/>
        <w:rPr>
          <w:sz w:val="20"/>
          <w:szCs w:val="20"/>
          <w:color w:val="auto"/>
        </w:rPr>
      </w:pPr>
    </w:p>
    <w:p>
      <w:pPr>
        <w:ind w:left="404" w:hanging="404"/>
        <w:spacing w:after="0"/>
        <w:tabs>
          <w:tab w:leader="none" w:pos="4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616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6585" cy="825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476" w:space="720"/>
            <w:col w:w="1044"/>
          </w:cols>
          <w:pgMar w:left="320" w:top="119" w:right="339" w:bottom="1440" w:gutter="0" w:footer="0" w:header="0"/>
          <w:type w:val="continuous"/>
        </w:sectPr>
      </w:pPr>
    </w:p>
    <w:p>
      <w:pPr>
        <w:spacing w:after="0" w:line="118" w:lineRule="exact"/>
        <w:rPr>
          <w:sz w:val="20"/>
          <w:szCs w:val="20"/>
          <w:color w:val="auto"/>
        </w:rPr>
      </w:pPr>
    </w:p>
    <w:p>
      <w:pPr>
        <w:ind w:left="660" w:hanging="255"/>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245" w:lineRule="exact"/>
        <w:rPr>
          <w:rFonts w:ascii="Times New Roman" w:cs="Times New Roman" w:eastAsia="Times New Roman" w:hAnsi="Times New Roman"/>
          <w:sz w:val="18"/>
          <w:szCs w:val="18"/>
          <w:color w:val="auto"/>
        </w:rPr>
      </w:pPr>
    </w:p>
    <w:p>
      <w:pPr>
        <w:ind w:firstLine="405"/>
        <w:spacing w:after="0" w:line="275"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Healthcare and</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Banking, Capital</w:t>
            </w: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4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80" w:type="dxa"/>
            <w:vAlign w:val="bottom"/>
            <w:gridSpan w:val="2"/>
            <w:vMerge w:val="restart"/>
            <w:shd w:val="clear" w:color="auto" w:fill="CCEEFF"/>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Markets and</w:t>
            </w:r>
          </w:p>
        </w:tc>
        <w:tc>
          <w:tcPr>
            <w:tcW w:w="16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6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Growth Markets</w:t>
            </w: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4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5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Diversified Industries</w:t>
            </w:r>
          </w:p>
        </w:tc>
        <w:tc>
          <w:tcPr>
            <w:tcW w:w="12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40" w:type="dxa"/>
            <w:vAlign w:val="bottom"/>
            <w:gridSpan w:val="3"/>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180,547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120,996</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92,771</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0" w:type="dxa"/>
            <w:vAlign w:val="bottom"/>
          </w:tcPr>
          <w:p>
            <w:pPr>
              <w:spacing w:after="0"/>
              <w:rPr>
                <w:sz w:val="1"/>
                <w:szCs w:val="1"/>
                <w:color w:val="auto"/>
              </w:rPr>
            </w:pPr>
          </w:p>
        </w:tc>
      </w:tr>
      <w:tr>
        <w:trPr>
          <w:trHeight w:val="239"/>
        </w:trPr>
        <w:tc>
          <w:tcPr>
            <w:tcW w:w="452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274,444</w:t>
            </w:r>
          </w:p>
        </w:tc>
        <w:tc>
          <w:tcPr>
            <w:tcW w:w="0" w:type="dxa"/>
            <w:vAlign w:val="bottom"/>
          </w:tcPr>
          <w:p>
            <w:pPr>
              <w:spacing w:after="0"/>
              <w:rPr>
                <w:sz w:val="1"/>
                <w:szCs w:val="1"/>
                <w:color w:val="auto"/>
              </w:rPr>
            </w:pPr>
          </w:p>
        </w:tc>
      </w:tr>
      <w:tr>
        <w:trPr>
          <w:trHeight w:val="239"/>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Infrastructure and technology costs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36,697</w:t>
            </w:r>
          </w:p>
        </w:tc>
        <w:tc>
          <w:tcPr>
            <w:tcW w:w="0" w:type="dxa"/>
            <w:vAlign w:val="bottom"/>
          </w:tcPr>
          <w:p>
            <w:pPr>
              <w:spacing w:after="0"/>
              <w:rPr>
                <w:sz w:val="1"/>
                <w:szCs w:val="1"/>
                <w:color w:val="auto"/>
              </w:rPr>
            </w:pPr>
          </w:p>
        </w:tc>
      </w:tr>
      <w:tr>
        <w:trPr>
          <w:trHeight w:val="239"/>
        </w:trPr>
        <w:tc>
          <w:tcPr>
            <w:tcW w:w="4520" w:type="dxa"/>
            <w:vAlign w:val="bottom"/>
            <w:tcBorders>
              <w:bottom w:val="single" w:sz="8" w:color="CCEEFF"/>
            </w:tcBorders>
          </w:tcPr>
          <w:p>
            <w:pPr>
              <w:ind w:left="160"/>
              <w:spacing w:after="0" w:line="24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0" w:type="dxa"/>
            <w:vAlign w:val="bottom"/>
          </w:tcPr>
          <w:p>
            <w:pPr>
              <w:spacing w:after="0"/>
              <w:rPr>
                <w:sz w:val="1"/>
                <w:szCs w:val="1"/>
                <w:color w:val="auto"/>
              </w:rPr>
            </w:pPr>
          </w:p>
        </w:tc>
      </w:tr>
      <w:tr>
        <w:trPr>
          <w:trHeight w:val="258"/>
        </w:trPr>
        <w:tc>
          <w:tcPr>
            <w:tcW w:w="4520" w:type="dxa"/>
            <w:vAlign w:val="bottom"/>
            <w:tcBorders>
              <w:bottom w:val="single" w:sz="8" w:color="CCEEFF"/>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127,762</w:t>
            </w:r>
          </w:p>
        </w:tc>
        <w:tc>
          <w:tcPr>
            <w:tcW w:w="0" w:type="dxa"/>
            <w:vAlign w:val="bottom"/>
          </w:tcPr>
          <w:p>
            <w:pPr>
              <w:spacing w:after="0"/>
              <w:rPr>
                <w:sz w:val="1"/>
                <w:szCs w:val="1"/>
                <w:color w:val="auto"/>
              </w:rPr>
            </w:pPr>
          </w:p>
        </w:tc>
      </w:tr>
      <w:tr>
        <w:trPr>
          <w:trHeight w:val="23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76,174</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19" w:right="3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2540</wp:posOffset>
            </wp:positionV>
            <wp:extent cx="6821805" cy="269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1805" cy="26987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Income before income tax expense and earnings from equity</w:t>
      </w:r>
    </w:p>
    <w:p>
      <w:pPr>
        <w:ind w:left="420"/>
        <w:spacing w:after="0"/>
        <w:rPr>
          <w:sz w:val="20"/>
          <w:szCs w:val="20"/>
          <w:color w:val="auto"/>
        </w:rPr>
      </w:pPr>
      <w:r>
        <w:rPr>
          <w:rFonts w:ascii="Times New Roman" w:cs="Times New Roman" w:eastAsia="Times New Roman" w:hAnsi="Times New Roman"/>
          <w:sz w:val="18"/>
          <w:szCs w:val="18"/>
          <w:color w:val="auto"/>
        </w:rPr>
        <w:t>affiliates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(1,477)</w:t>
      </w:r>
    </w:p>
    <w:p>
      <w:pPr>
        <w:spacing w:after="0" w:line="192" w:lineRule="exact"/>
        <w:rPr>
          <w:sz w:val="20"/>
          <w:szCs w:val="20"/>
          <w:color w:val="auto"/>
        </w:rPr>
      </w:pPr>
    </w:p>
    <w:p>
      <w:pPr>
        <w:ind w:left="380" w:hanging="378"/>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40640</wp:posOffset>
            </wp:positionV>
            <wp:extent cx="599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9500" w:space="720"/>
            <w:col w:w="1020"/>
          </w:cols>
          <w:pgMar w:left="320" w:top="119" w:right="339" w:bottom="1440" w:gutter="0" w:footer="0" w:header="0"/>
          <w:type w:val="continuous"/>
        </w:sectPr>
      </w:pP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 Exclusive of depreciation and amortization expense.</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72" w:lineRule="exact"/>
        <w:rPr>
          <w:sz w:val="20"/>
          <w:szCs w:val="20"/>
          <w:color w:val="auto"/>
        </w:rPr>
      </w:pPr>
    </w:p>
    <w:p>
      <w:pPr>
        <w:ind w:firstLine="405"/>
        <w:spacing w:after="0" w:line="275" w:lineRule="auto"/>
        <w:tabs>
          <w:tab w:leader="none" w:pos="6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190" w:lineRule="exact"/>
        <w:rPr>
          <w:sz w:val="20"/>
          <w:szCs w:val="20"/>
          <w:color w:val="auto"/>
        </w:rPr>
      </w:pPr>
    </w:p>
    <w:p>
      <w:pPr>
        <w:ind w:right="580" w:firstLine="399"/>
        <w:spacing w:after="0" w:line="275" w:lineRule="auto"/>
        <w:rPr>
          <w:sz w:val="20"/>
          <w:szCs w:val="20"/>
          <w:color w:val="auto"/>
        </w:rPr>
      </w:pPr>
      <w:r>
        <w:rPr>
          <w:rFonts w:ascii="Times New Roman" w:cs="Times New Roman" w:eastAsia="Times New Roman" w:hAnsi="Times New Roman"/>
          <w:sz w:val="18"/>
          <w:szCs w:val="18"/>
          <w:color w:val="auto"/>
        </w:rPr>
        <w:t>Revenues and cost of revenues for the nine months ended September 30, 2026 and 2025, respectively, for each of the reportable segments, are as follows:</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p>
      <w:pPr>
        <w:spacing w:after="0" w:line="30"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4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Healthcare and</w:t>
            </w: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Banking, Capital</w:t>
            </w: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4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0" w:type="dxa"/>
            <w:vAlign w:val="bottom"/>
            <w:gridSpan w:val="2"/>
            <w:vMerge w:val="restart"/>
            <w:shd w:val="clear" w:color="auto" w:fill="CCEEFF"/>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Markets and</w:t>
            </w: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4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6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2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Growth Markets</w:t>
            </w:r>
          </w:p>
        </w:tc>
        <w:tc>
          <w:tcPr>
            <w:tcW w:w="2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gridSpan w:val="2"/>
            <w:vMerge w:val="continue"/>
            <w:shd w:val="clear" w:color="auto" w:fill="CCEEFF"/>
          </w:tcPr>
          <w:p>
            <w:pPr>
              <w:spacing w:after="0"/>
              <w:rPr>
                <w:sz w:val="9"/>
                <w:szCs w:val="9"/>
                <w:color w:val="auto"/>
              </w:rPr>
            </w:pPr>
          </w:p>
        </w:tc>
        <w:tc>
          <w:tcPr>
            <w:tcW w:w="156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Diversified Industries</w:t>
            </w:r>
          </w:p>
        </w:tc>
        <w:tc>
          <w:tcPr>
            <w:tcW w:w="1280" w:type="dxa"/>
            <w:vAlign w:val="bottom"/>
            <w:gridSpan w:val="3"/>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34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60" w:type="dxa"/>
            <w:vAlign w:val="bottom"/>
            <w:tcBorders>
              <w:bottom w:val="single" w:sz="8" w:color="auto"/>
            </w:tcBorders>
            <w:gridSpan w:val="3"/>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600,206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313,849</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1,799,073</w:t>
            </w:r>
          </w:p>
        </w:tc>
        <w:tc>
          <w:tcPr>
            <w:tcW w:w="0" w:type="dxa"/>
            <w:vAlign w:val="bottom"/>
          </w:tcPr>
          <w:p>
            <w:pPr>
              <w:spacing w:after="0"/>
              <w:rPr>
                <w:sz w:val="1"/>
                <w:szCs w:val="1"/>
                <w:color w:val="auto"/>
              </w:rPr>
            </w:pPr>
          </w:p>
        </w:tc>
      </w:tr>
      <w:tr>
        <w:trPr>
          <w:trHeight w:val="239"/>
        </w:trPr>
        <w:tc>
          <w:tcPr>
            <w:tcW w:w="434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906,814</w:t>
            </w:r>
          </w:p>
        </w:tc>
        <w:tc>
          <w:tcPr>
            <w:tcW w:w="0" w:type="dxa"/>
            <w:vAlign w:val="bottom"/>
          </w:tcPr>
          <w:p>
            <w:pPr>
              <w:spacing w:after="0"/>
              <w:rPr>
                <w:sz w:val="1"/>
                <w:szCs w:val="1"/>
                <w:color w:val="auto"/>
              </w:rPr>
            </w:pPr>
          </w:p>
        </w:tc>
      </w:tr>
      <w:tr>
        <w:trPr>
          <w:trHeight w:val="239"/>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Infrastructure and technology costs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131,454</w:t>
            </w:r>
          </w:p>
        </w:tc>
        <w:tc>
          <w:tcPr>
            <w:tcW w:w="0" w:type="dxa"/>
            <w:vAlign w:val="bottom"/>
          </w:tcPr>
          <w:p>
            <w:pPr>
              <w:spacing w:after="0"/>
              <w:rPr>
                <w:sz w:val="1"/>
                <w:szCs w:val="1"/>
                <w:color w:val="auto"/>
              </w:rPr>
            </w:pPr>
          </w:p>
        </w:tc>
      </w:tr>
      <w:tr>
        <w:trPr>
          <w:trHeight w:val="239"/>
        </w:trPr>
        <w:tc>
          <w:tcPr>
            <w:tcW w:w="4340" w:type="dxa"/>
            <w:vAlign w:val="bottom"/>
            <w:tcBorders>
              <w:bottom w:val="single" w:sz="8" w:color="CCEEFF"/>
            </w:tcBorders>
          </w:tcPr>
          <w:p>
            <w:pPr>
              <w:ind w:left="160"/>
              <w:spacing w:after="0" w:line="24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71,626</w:t>
            </w:r>
          </w:p>
        </w:tc>
        <w:tc>
          <w:tcPr>
            <w:tcW w:w="0" w:type="dxa"/>
            <w:vAlign w:val="bottom"/>
          </w:tcPr>
          <w:p>
            <w:pPr>
              <w:spacing w:after="0"/>
              <w:rPr>
                <w:sz w:val="1"/>
                <w:szCs w:val="1"/>
                <w:color w:val="auto"/>
              </w:rPr>
            </w:pPr>
          </w:p>
        </w:tc>
      </w:tr>
      <w:tr>
        <w:trPr>
          <w:trHeight w:val="258"/>
        </w:trPr>
        <w:tc>
          <w:tcPr>
            <w:tcW w:w="4340" w:type="dxa"/>
            <w:vAlign w:val="bottom"/>
            <w:tcBorders>
              <w:bottom w:val="single" w:sz="8" w:color="CCEEFF"/>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421,202</w:t>
            </w: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267,977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420"/>
        <w:spacing w:after="0" w:line="233" w:lineRule="auto"/>
        <w:rPr>
          <w:sz w:val="20"/>
          <w:szCs w:val="20"/>
          <w:color w:val="auto"/>
        </w:rPr>
      </w:pPr>
      <w:r>
        <w:rPr>
          <w:rFonts w:ascii="Times New Roman" w:cs="Times New Roman" w:eastAsia="Times New Roman" w:hAnsi="Times New Roman"/>
          <w:sz w:val="18"/>
          <w:szCs w:val="18"/>
          <w:color w:val="auto"/>
        </w:rPr>
        <w:t>Foreign exchange gain, net, interest expense and other</w:t>
      </w:r>
    </w:p>
    <w:p>
      <w:pPr>
        <w:ind w:left="420"/>
        <w:spacing w:after="0"/>
        <w:rPr>
          <w:sz w:val="20"/>
          <w:szCs w:val="20"/>
          <w:color w:val="auto"/>
        </w:rPr>
      </w:pPr>
      <w:r>
        <w:rPr>
          <w:rFonts w:ascii="Times New Roman" w:cs="Times New Roman" w:eastAsia="Times New Roman" w:hAnsi="Times New Roman"/>
          <w:sz w:val="18"/>
          <w:szCs w:val="18"/>
          <w:color w:val="auto"/>
        </w:rPr>
        <w:t>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6821805" cy="269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1805" cy="26987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Income before income tax expense and earnings from equity</w:t>
      </w:r>
    </w:p>
    <w:p>
      <w:pPr>
        <w:ind w:left="420"/>
        <w:spacing w:after="0"/>
        <w:rPr>
          <w:sz w:val="20"/>
          <w:szCs w:val="20"/>
          <w:color w:val="auto"/>
        </w:rPr>
      </w:pPr>
      <w:r>
        <w:rPr>
          <w:rFonts w:ascii="Times New Roman" w:cs="Times New Roman" w:eastAsia="Times New Roman" w:hAnsi="Times New Roman"/>
          <w:sz w:val="18"/>
          <w:szCs w:val="18"/>
          <w:color w:val="auto"/>
        </w:rPr>
        <w:t>affiliates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(5,949)</w:t>
      </w:r>
    </w:p>
    <w:p>
      <w:pPr>
        <w:spacing w:after="0" w:line="192" w:lineRule="exact"/>
        <w:rPr>
          <w:sz w:val="20"/>
          <w:szCs w:val="20"/>
          <w:color w:val="auto"/>
        </w:rPr>
      </w:pPr>
    </w:p>
    <w:p>
      <w:pPr>
        <w:ind w:left="460" w:hanging="451"/>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092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295" cy="825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9320" w:space="720"/>
            <w:col w:w="1200"/>
          </w:cols>
          <w:pgMar w:left="320" w:top="119" w:right="339" w:bottom="1440" w:gutter="0" w:footer="0" w:header="0"/>
          <w:type w:val="continuous"/>
        </w:sectPr>
      </w:pPr>
    </w:p>
    <w:p>
      <w:pPr>
        <w:spacing w:after="0" w:line="131" w:lineRule="exact"/>
        <w:rPr>
          <w:sz w:val="20"/>
          <w:szCs w:val="20"/>
          <w:color w:val="auto"/>
        </w:rPr>
      </w:pPr>
    </w:p>
    <w:p>
      <w:pPr>
        <w:ind w:left="660" w:hanging="25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245" w:lineRule="exact"/>
        <w:rPr>
          <w:rFonts w:ascii="Times New Roman" w:cs="Times New Roman" w:eastAsia="Times New Roman" w:hAnsi="Times New Roman"/>
          <w:sz w:val="18"/>
          <w:szCs w:val="18"/>
          <w:color w:val="auto"/>
        </w:rPr>
      </w:pPr>
    </w:p>
    <w:p>
      <w:pPr>
        <w:ind w:firstLine="405"/>
        <w:spacing w:after="0" w:line="275" w:lineRule="auto"/>
        <w:tabs>
          <w:tab w:leader="none" w:pos="6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30" w:lineRule="exact"/>
        <w:rPr>
          <w:sz w:val="20"/>
          <w:szCs w:val="20"/>
          <w:color w:val="auto"/>
        </w:rPr>
      </w:pPr>
    </w:p>
    <w:tbl>
      <w:tblPr>
        <w:tblLayout w:type="fixed"/>
        <w:tblInd w:w="400" w:type="dxa"/>
        <w:tblCellMar>
          <w:top w:w="0" w:type="dxa"/>
          <w:left w:w="0" w:type="dxa"/>
          <w:bottom w:w="0" w:type="dxa"/>
          <w:right w:w="0" w:type="dxa"/>
        </w:tblCellMar>
      </w:tblPr>
      <w:tr>
        <w:trPr>
          <w:trHeight w:val="160"/>
        </w:trPr>
        <w:tc>
          <w:tcPr>
            <w:tcW w:w="4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Healthcare and</w:t>
            </w: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gridSpan w:val="2"/>
            <w:shd w:val="clear" w:color="auto" w:fill="CCEEFF"/>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Banking, Capital</w:t>
            </w: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restart"/>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0" w:type="dxa"/>
            <w:vAlign w:val="bottom"/>
            <w:gridSpan w:val="2"/>
            <w:vMerge w:val="restart"/>
            <w:shd w:val="clear" w:color="auto" w:fill="CCEEFF"/>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Markets and</w:t>
            </w: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80" w:type="dxa"/>
            <w:vAlign w:val="bottom"/>
            <w:vMerge w:val="restart"/>
            <w:shd w:val="clear" w:color="auto" w:fill="CCEEFF"/>
          </w:tcPr>
          <w:p>
            <w:pPr>
              <w:jc w:val="right"/>
              <w:ind w:right="314"/>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60" w:type="dxa"/>
            <w:vAlign w:val="bottom"/>
            <w:shd w:val="clear" w:color="auto" w:fill="CCEEFF"/>
          </w:tcPr>
          <w:p>
            <w:pPr>
              <w:spacing w:after="0"/>
              <w:rPr>
                <w:sz w:val="5"/>
                <w:szCs w:val="5"/>
                <w:color w:val="auto"/>
              </w:rPr>
            </w:pPr>
          </w:p>
        </w:tc>
        <w:tc>
          <w:tcPr>
            <w:tcW w:w="1400" w:type="dxa"/>
            <w:vAlign w:val="bottom"/>
            <w:gridSpan w:val="2"/>
            <w:vMerge w:val="continue"/>
            <w:shd w:val="clear" w:color="auto" w:fill="CCEEFF"/>
          </w:tcPr>
          <w:p>
            <w:pPr>
              <w:spacing w:after="0"/>
              <w:rPr>
                <w:sz w:val="5"/>
                <w:szCs w:val="5"/>
                <w:color w:val="auto"/>
              </w:rPr>
            </w:pPr>
          </w:p>
        </w:tc>
        <w:tc>
          <w:tcPr>
            <w:tcW w:w="12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Growth Markets</w:t>
            </w:r>
          </w:p>
        </w:tc>
        <w:tc>
          <w:tcPr>
            <w:tcW w:w="22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4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56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Diversified Industries</w:t>
            </w:r>
          </w:p>
        </w:tc>
        <w:tc>
          <w:tcPr>
            <w:tcW w:w="1280" w:type="dxa"/>
            <w:vAlign w:val="bottom"/>
            <w:gridSpan w:val="3"/>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3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560" w:type="dxa"/>
            <w:vAlign w:val="bottom"/>
            <w:tcBorders>
              <w:bottom w:val="single" w:sz="8" w:color="CCEEFF"/>
            </w:tcBorders>
            <w:gridSpan w:val="3"/>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524,777</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0" w:type="dxa"/>
            <w:vAlign w:val="bottom"/>
          </w:tcPr>
          <w:p>
            <w:pPr>
              <w:spacing w:after="0"/>
              <w:rPr>
                <w:sz w:val="1"/>
                <w:szCs w:val="1"/>
                <w:color w:val="auto"/>
              </w:rPr>
            </w:pPr>
          </w:p>
        </w:tc>
      </w:tr>
      <w:tr>
        <w:trPr>
          <w:trHeight w:val="239"/>
        </w:trPr>
        <w:tc>
          <w:tcPr>
            <w:tcW w:w="434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805,168</w:t>
            </w:r>
          </w:p>
        </w:tc>
        <w:tc>
          <w:tcPr>
            <w:tcW w:w="0" w:type="dxa"/>
            <w:vAlign w:val="bottom"/>
          </w:tcPr>
          <w:p>
            <w:pPr>
              <w:spacing w:after="0"/>
              <w:rPr>
                <w:sz w:val="1"/>
                <w:szCs w:val="1"/>
                <w:color w:val="auto"/>
              </w:rPr>
            </w:pPr>
          </w:p>
        </w:tc>
      </w:tr>
      <w:tr>
        <w:trPr>
          <w:trHeight w:val="239"/>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Infrastructure and technology costs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106,119</w:t>
            </w:r>
          </w:p>
        </w:tc>
        <w:tc>
          <w:tcPr>
            <w:tcW w:w="0" w:type="dxa"/>
            <w:vAlign w:val="bottom"/>
          </w:tcPr>
          <w:p>
            <w:pPr>
              <w:spacing w:after="0"/>
              <w:rPr>
                <w:sz w:val="1"/>
                <w:szCs w:val="1"/>
                <w:color w:val="auto"/>
              </w:rPr>
            </w:pPr>
          </w:p>
        </w:tc>
      </w:tr>
      <w:tr>
        <w:trPr>
          <w:trHeight w:val="239"/>
        </w:trPr>
        <w:tc>
          <w:tcPr>
            <w:tcW w:w="4340" w:type="dxa"/>
            <w:vAlign w:val="bottom"/>
            <w:tcBorders>
              <w:bottom w:val="single" w:sz="8" w:color="CCEEFF"/>
            </w:tcBorders>
          </w:tcPr>
          <w:p>
            <w:pPr>
              <w:ind w:left="160"/>
              <w:spacing w:after="0" w:line="24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42,339</w:t>
            </w:r>
          </w:p>
        </w:tc>
        <w:tc>
          <w:tcPr>
            <w:tcW w:w="0" w:type="dxa"/>
            <w:vAlign w:val="bottom"/>
          </w:tcPr>
          <w:p>
            <w:pPr>
              <w:spacing w:after="0"/>
              <w:rPr>
                <w:sz w:val="1"/>
                <w:szCs w:val="1"/>
                <w:color w:val="auto"/>
              </w:rPr>
            </w:pPr>
          </w:p>
        </w:tc>
      </w:tr>
      <w:tr>
        <w:trPr>
          <w:trHeight w:val="258"/>
        </w:trPr>
        <w:tc>
          <w:tcPr>
            <w:tcW w:w="4340" w:type="dxa"/>
            <w:vAlign w:val="bottom"/>
            <w:tcBorders>
              <w:bottom w:val="single" w:sz="8" w:color="CCEEFF"/>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591,438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355,711</w:t>
            </w:r>
          </w:p>
        </w:tc>
        <w:tc>
          <w:tcPr>
            <w:tcW w:w="0" w:type="dxa"/>
            <w:vAlign w:val="bottom"/>
          </w:tcPr>
          <w:p>
            <w:pPr>
              <w:spacing w:after="0"/>
              <w:rPr>
                <w:sz w:val="1"/>
                <w:szCs w:val="1"/>
                <w:color w:val="auto"/>
              </w:rPr>
            </w:pPr>
          </w:p>
        </w:tc>
      </w:tr>
      <w:tr>
        <w:trPr>
          <w:trHeight w:val="23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235,727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type w:val="continuous"/>
        </w:sectPr>
      </w:pPr>
    </w:p>
    <w:p>
      <w:pPr>
        <w:ind w:left="420"/>
        <w:spacing w:after="0" w:line="233" w:lineRule="auto"/>
        <w:rPr>
          <w:sz w:val="20"/>
          <w:szCs w:val="20"/>
          <w:color w:val="auto"/>
        </w:rPr>
      </w:pPr>
      <w:r>
        <w:rPr>
          <w:rFonts w:ascii="Times New Roman" w:cs="Times New Roman" w:eastAsia="Times New Roman" w:hAnsi="Times New Roman"/>
          <w:sz w:val="18"/>
          <w:szCs w:val="18"/>
          <w:color w:val="auto"/>
        </w:rPr>
        <w:t>Foreign exchange gain, net, interest expense and other</w:t>
      </w:r>
    </w:p>
    <w:p>
      <w:pPr>
        <w:ind w:left="420"/>
        <w:spacing w:after="0"/>
        <w:rPr>
          <w:sz w:val="20"/>
          <w:szCs w:val="20"/>
          <w:color w:val="auto"/>
        </w:rPr>
      </w:pPr>
      <w:r>
        <w:rPr>
          <w:rFonts w:ascii="Times New Roman" w:cs="Times New Roman" w:eastAsia="Times New Roman" w:hAnsi="Times New Roman"/>
          <w:sz w:val="18"/>
          <w:szCs w:val="18"/>
          <w:color w:val="auto"/>
        </w:rPr>
        <w:t>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6821805" cy="269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1805" cy="26987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Income before income tax expense and earnings from equity</w:t>
      </w:r>
    </w:p>
    <w:p>
      <w:pPr>
        <w:ind w:left="420"/>
        <w:spacing w:after="0"/>
        <w:rPr>
          <w:sz w:val="20"/>
          <w:szCs w:val="20"/>
          <w:color w:val="auto"/>
        </w:rPr>
      </w:pPr>
      <w:r>
        <w:rPr>
          <w:rFonts w:ascii="Times New Roman" w:cs="Times New Roman" w:eastAsia="Times New Roman" w:hAnsi="Times New Roman"/>
          <w:sz w:val="18"/>
          <w:szCs w:val="18"/>
          <w:color w:val="auto"/>
        </w:rPr>
        <w:t>affiliates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3,874</w:t>
      </w:r>
    </w:p>
    <w:p>
      <w:pPr>
        <w:spacing w:after="0" w:line="192" w:lineRule="exact"/>
        <w:rPr>
          <w:sz w:val="20"/>
          <w:szCs w:val="20"/>
          <w:color w:val="auto"/>
        </w:rPr>
      </w:pPr>
    </w:p>
    <w:p>
      <w:pPr>
        <w:ind w:left="460" w:hanging="451"/>
        <w:spacing w:after="0"/>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239,601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092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295" cy="825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9320" w:space="720"/>
            <w:col w:w="1200"/>
          </w:cols>
          <w:pgMar w:left="320" w:top="119" w:right="339" w:bottom="1440" w:gutter="0" w:footer="0" w:header="0"/>
          <w:type w:val="continuous"/>
        </w:sectPr>
      </w:pP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72" w:lineRule="exact"/>
        <w:rPr>
          <w:sz w:val="20"/>
          <w:szCs w:val="20"/>
          <w:color w:val="auto"/>
        </w:rPr>
      </w:pPr>
    </w:p>
    <w:p>
      <w:pPr>
        <w:ind w:firstLine="405"/>
        <w:spacing w:after="0" w:line="275" w:lineRule="auto"/>
        <w:tabs>
          <w:tab w:leader="none" w:pos="6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net by service type, were as follows:</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60" w:type="dxa"/>
            <w:vAlign w:val="bottom"/>
            <w:gridSpan w:val="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4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5"/>
        </w:trPr>
        <w:tc>
          <w:tcPr>
            <w:tcW w:w="44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Data and AI-led</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298,470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845,169</w:t>
            </w:r>
          </w:p>
        </w:tc>
      </w:tr>
      <w:tr>
        <w:trPr>
          <w:trHeight w:val="239"/>
        </w:trPr>
        <w:tc>
          <w:tcPr>
            <w:tcW w:w="4440" w:type="dxa"/>
            <w:vAlign w:val="bottom"/>
            <w:tcBorders>
              <w:bottom w:val="single" w:sz="8" w:color="CCEEFF"/>
            </w:tcBorders>
          </w:tcPr>
          <w:p>
            <w:pPr>
              <w:ind w:left="20"/>
              <w:spacing w:after="0" w:line="240" w:lineRule="exact"/>
              <w:rPr>
                <w:sz w:val="20"/>
                <w:szCs w:val="20"/>
                <w:color w:val="auto"/>
              </w:rPr>
            </w:pPr>
            <w:r>
              <w:rPr>
                <w:rFonts w:ascii="Times New Roman" w:cs="Times New Roman" w:eastAsia="Times New Roman" w:hAnsi="Times New Roman"/>
                <w:sz w:val="18"/>
                <w:szCs w:val="18"/>
                <w:color w:val="auto"/>
              </w:rPr>
              <w:t>Digital operations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227,073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231,115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688,007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699,895</w:t>
            </w:r>
          </w:p>
        </w:tc>
      </w:tr>
      <w:tr>
        <w:trPr>
          <w:trHeight w:val="25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1,545,064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jc w:val="both"/>
        <w:ind w:firstLine="405"/>
        <w:spacing w:after="0" w:line="245" w:lineRule="auto"/>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AI-led revenue is derived from the Company’s Data Management, Analytics, AI services and solutions businesses. It includes revenue from fully integrated business operations like payment integrity services and platform-based solutions and services, which combine operations, technology, data, analytics, and AI. It also includes revenue from operations that embed data and AI within clients’ operational workflows.</w:t>
      </w:r>
    </w:p>
    <w:p>
      <w:pPr>
        <w:spacing w:after="0" w:line="203" w:lineRule="exact"/>
        <w:rPr>
          <w:rFonts w:ascii="Times New Roman" w:cs="Times New Roman" w:eastAsia="Times New Roman" w:hAnsi="Times New Roman"/>
          <w:sz w:val="18"/>
          <w:szCs w:val="18"/>
          <w:color w:val="auto"/>
        </w:rPr>
      </w:pPr>
    </w:p>
    <w:p>
      <w:pPr>
        <w:jc w:val="both"/>
        <w:ind w:firstLine="405"/>
        <w:spacing w:after="0" w:line="245"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operations revenue is derived from managed services that blend Company’s deep domain expertise with industry-specific solutions and services to operate clients’ business functions with enhanced productivity, greater speed and improved accuracy. These digital operations deployments form the foundation for future client transformation opportunities to infuse AI into client workflows and unlock even greater value.</w:t>
      </w:r>
    </w:p>
    <w:p>
      <w:pPr>
        <w:spacing w:after="0" w:line="217"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All four reportable segments of the Company include revenues from both data and AI-led solutions and services and digital operations solutions and services.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attributes revenues based on geographical markets where the customer operations being served by it are located.</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40" w:type="dxa"/>
            <w:vAlign w:val="bottom"/>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1,275,036</w:t>
            </w:r>
          </w:p>
        </w:tc>
        <w:tc>
          <w:tcPr>
            <w:tcW w:w="0" w:type="dxa"/>
            <w:vAlign w:val="bottom"/>
          </w:tcPr>
          <w:p>
            <w:pPr>
              <w:spacing w:after="0"/>
              <w:rPr>
                <w:sz w:val="1"/>
                <w:szCs w:val="1"/>
                <w:color w:val="auto"/>
              </w:rPr>
            </w:pPr>
          </w:p>
        </w:tc>
      </w:tr>
      <w:tr>
        <w:trPr>
          <w:trHeight w:val="23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 &amp; Europe</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228,999</w:t>
            </w:r>
          </w:p>
        </w:tc>
        <w:tc>
          <w:tcPr>
            <w:tcW w:w="0" w:type="dxa"/>
            <w:vAlign w:val="bottom"/>
          </w:tcPr>
          <w:p>
            <w:pPr>
              <w:spacing w:after="0"/>
              <w:rPr>
                <w:sz w:val="1"/>
                <w:szCs w:val="1"/>
                <w:color w:val="auto"/>
              </w:rPr>
            </w:pPr>
          </w:p>
        </w:tc>
      </w:tr>
      <w:tr>
        <w:trPr>
          <w:trHeight w:val="23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0" w:type="dxa"/>
            <w:vAlign w:val="bottom"/>
          </w:tcPr>
          <w:p>
            <w:pPr>
              <w:spacing w:after="0"/>
              <w:rPr>
                <w:sz w:val="1"/>
                <w:szCs w:val="1"/>
                <w:color w:val="auto"/>
              </w:rPr>
            </w:pPr>
          </w:p>
        </w:tc>
      </w:tr>
      <w:tr>
        <w:trPr>
          <w:trHeight w:val="25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Revenues, net by industry verticals, were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254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706,163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614,730</w:t>
            </w:r>
          </w:p>
        </w:tc>
        <w:tc>
          <w:tcPr>
            <w:tcW w:w="0" w:type="dxa"/>
            <w:vAlign w:val="bottom"/>
          </w:tcPr>
          <w:p>
            <w:pPr>
              <w:spacing w:after="0"/>
              <w:rPr>
                <w:sz w:val="1"/>
                <w:szCs w:val="1"/>
                <w:color w:val="auto"/>
              </w:rPr>
            </w:pP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391,066</w:t>
            </w:r>
          </w:p>
        </w:tc>
        <w:tc>
          <w:tcPr>
            <w:tcW w:w="0" w:type="dxa"/>
            <w:vAlign w:val="bottom"/>
          </w:tcPr>
          <w:p>
            <w:pPr>
              <w:spacing w:after="0"/>
              <w:rPr>
                <w:sz w:val="1"/>
                <w:szCs w:val="1"/>
                <w:color w:val="auto"/>
              </w:rPr>
            </w:pPr>
          </w:p>
        </w:tc>
      </w:tr>
      <w:tr>
        <w:trPr>
          <w:trHeight w:val="23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Capital Markets and Diversified Industries</w:t>
            </w: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621,624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539,268</w:t>
            </w: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Long-lived assets by geographic area, which consist of property and equipment, net and operating lease ROU assets were as follows:</w:t>
      </w:r>
    </w:p>
    <w:p>
      <w:pPr>
        <w:spacing w:after="0" w:line="6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19"/>
        </w:trPr>
        <w:tc>
          <w:tcPr>
            <w:tcW w:w="6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9"/>
                <w:szCs w:val="19"/>
                <w:color w:val="auto"/>
              </w:rPr>
            </w:pPr>
          </w:p>
        </w:tc>
        <w:tc>
          <w:tcPr>
            <w:tcW w:w="16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2"/>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8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73,405</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63,999</w:t>
            </w:r>
          </w:p>
        </w:tc>
      </w:tr>
      <w:tr>
        <w:trPr>
          <w:trHeight w:val="23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w:t>
            </w:r>
          </w:p>
        </w:tc>
      </w:tr>
      <w:tr>
        <w:trPr>
          <w:trHeight w:val="23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r>
      <w:tr>
        <w:trPr>
          <w:trHeight w:val="23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28,543</w:t>
            </w:r>
          </w:p>
        </w:tc>
      </w:tr>
      <w:tr>
        <w:trPr>
          <w:trHeight w:val="25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 and Accounts Receivable, net</w:t>
      </w:r>
    </w:p>
    <w:p>
      <w:pPr>
        <w:spacing w:after="0" w:line="234" w:lineRule="exact"/>
        <w:rPr>
          <w:sz w:val="20"/>
          <w:szCs w:val="20"/>
          <w:color w:val="auto"/>
        </w:rPr>
      </w:pPr>
    </w:p>
    <w:p>
      <w:pPr>
        <w:ind w:right="260" w:firstLine="399"/>
        <w:spacing w:after="0" w:line="260" w:lineRule="auto"/>
        <w:rPr>
          <w:sz w:val="20"/>
          <w:szCs w:val="20"/>
          <w:color w:val="auto"/>
        </w:rPr>
      </w:pPr>
      <w:r>
        <w:rPr>
          <w:rFonts w:ascii="Times New Roman" w:cs="Times New Roman" w:eastAsia="Times New Roman" w:hAnsi="Times New Roman"/>
          <w:sz w:val="18"/>
          <w:szCs w:val="18"/>
          <w:color w:val="auto"/>
        </w:rPr>
        <w:t>Refer to Note 3 - Segment Information to the unaudited consolidated financial statements for revenues disaggregated by reportable segments, service type, geography and industry verticals.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r>
      <w:tr>
        <w:trPr>
          <w:trHeight w:val="219"/>
        </w:trPr>
        <w:tc>
          <w:tcPr>
            <w:tcW w:w="6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9"/>
                <w:szCs w:val="19"/>
                <w:color w:val="auto"/>
              </w:rPr>
            </w:pPr>
          </w:p>
        </w:tc>
        <w:tc>
          <w:tcPr>
            <w:tcW w:w="16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5"/>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457,287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343,105</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31,901</w:t>
            </w:r>
          </w:p>
        </w:tc>
      </w:tr>
      <w:tr>
        <w:trPr>
          <w:trHeight w:val="23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r>
      <w:tr>
        <w:trPr>
          <w:trHeight w:val="23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w:t>
            </w:r>
          </w:p>
        </w:tc>
      </w:tr>
    </w:tbl>
    <w:p>
      <w:pPr>
        <w:spacing w:after="0" w:line="287"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Accounts receivable includes $188,494 and $141,653 as of September 30, 2026 and December 31, 2025, respectively, representing unbilled receivables. The Company has accrued the unbilled receivables for work performed in accordance with the terms of contracts with customers and considers no performance risk associated with its unbilled receivables. Contract assets as of September 30, 2026 and December 31, 2025, include receivables of $34,611 and $24,849, respectively, from payment integrity services. There are no performance risks associated with these contract assets.</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significant cumulative catch-up impact or impairment related to contract assets as of September 30, 2026 and December 31, 2025.</w:t>
      </w:r>
    </w:p>
    <w:p>
      <w:pPr>
        <w:spacing w:after="0" w:line="232"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Revenue recognized during the three and nine months ended September 30, 2026 and 2025, which was included in the contract liabilities balance at the beginning of the respective periods:</w:t>
      </w: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2"/>
        </w:trPr>
        <w:tc>
          <w:tcPr>
            <w:tcW w:w="4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acquisition and fulfillment costs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the Company’s contract acquisition and fulfillment costs:</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Contract Acquisition Costs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9"/>
        </w:trPr>
        <w:tc>
          <w:tcPr>
            <w:tcW w:w="3920" w:type="dxa"/>
            <w:vAlign w:val="bottom"/>
          </w:tcPr>
          <w:p>
            <w:pPr>
              <w:spacing w:after="0"/>
              <w:rPr>
                <w:sz w:val="19"/>
                <w:szCs w:val="19"/>
                <w:color w:val="auto"/>
              </w:rPr>
            </w:pPr>
          </w:p>
        </w:tc>
        <w:tc>
          <w:tcPr>
            <w:tcW w:w="350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9"/>
                <w:szCs w:val="19"/>
                <w:color w:val="auto"/>
              </w:rPr>
            </w:pPr>
          </w:p>
        </w:tc>
        <w:tc>
          <w:tcPr>
            <w:tcW w:w="302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39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3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0"/>
        </w:trPr>
        <w:tc>
          <w:tcPr>
            <w:tcW w:w="3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62"/>
        </w:trPr>
        <w:tc>
          <w:tcPr>
            <w:tcW w:w="39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Contract Fulfillment Costs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9"/>
        </w:trPr>
        <w:tc>
          <w:tcPr>
            <w:tcW w:w="3920" w:type="dxa"/>
            <w:vAlign w:val="bottom"/>
          </w:tcPr>
          <w:p>
            <w:pPr>
              <w:spacing w:after="0"/>
              <w:rPr>
                <w:sz w:val="19"/>
                <w:szCs w:val="19"/>
                <w:color w:val="auto"/>
              </w:rPr>
            </w:pPr>
          </w:p>
        </w:tc>
        <w:tc>
          <w:tcPr>
            <w:tcW w:w="350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9"/>
                <w:szCs w:val="19"/>
                <w:color w:val="auto"/>
              </w:rPr>
            </w:pPr>
          </w:p>
        </w:tc>
        <w:tc>
          <w:tcPr>
            <w:tcW w:w="302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39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r>
      <w:tr>
        <w:trPr>
          <w:trHeight w:val="23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r>
      <w:tr>
        <w:trPr>
          <w:trHeight w:val="23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38,540</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39,233</w:t>
            </w:r>
          </w:p>
        </w:tc>
      </w:tr>
      <w:tr>
        <w:trPr>
          <w:trHeight w:val="20"/>
        </w:trPr>
        <w:tc>
          <w:tcPr>
            <w:tcW w:w="3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for contract acquisition and contract fulfillment costs as of September 30, 2026 and December 31,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net of allowance for expected credit losses:</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460,829</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345,980</w:t>
            </w:r>
          </w:p>
        </w:tc>
        <w:tc>
          <w:tcPr>
            <w:tcW w:w="0" w:type="dxa"/>
            <w:vAlign w:val="bottom"/>
          </w:tcPr>
          <w:p>
            <w:pPr>
              <w:spacing w:after="0"/>
              <w:rPr>
                <w:sz w:val="1"/>
                <w:szCs w:val="1"/>
                <w:color w:val="auto"/>
              </w:rPr>
            </w:pPr>
          </w:p>
        </w:tc>
      </w:tr>
      <w:tr>
        <w:trPr>
          <w:trHeight w:val="23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9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457,287</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movement in “Allowance for expected credit losses” was as follows:</w:t>
            </w: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4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4480" w:type="dxa"/>
            <w:vAlign w:val="bottom"/>
          </w:tcPr>
          <w:p>
            <w:pPr>
              <w:spacing w:after="0"/>
              <w:rPr>
                <w:sz w:val="24"/>
                <w:szCs w:val="24"/>
                <w:color w:val="auto"/>
              </w:rPr>
            </w:pPr>
          </w:p>
        </w:tc>
        <w:tc>
          <w:tcPr>
            <w:tcW w:w="31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24"/>
                <w:szCs w:val="24"/>
                <w:color w:val="auto"/>
              </w:rPr>
            </w:pPr>
          </w:p>
        </w:tc>
        <w:tc>
          <w:tcPr>
            <w:tcW w:w="2880" w:type="dxa"/>
            <w:vAlign w:val="bottom"/>
            <w:gridSpan w:val="7"/>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9"/>
        </w:trPr>
        <w:tc>
          <w:tcPr>
            <w:tcW w:w="44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3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write-off of accounts receivable</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and credit risk concentration</w:t>
      </w:r>
    </w:p>
    <w:p>
      <w:pPr>
        <w:spacing w:after="0" w:line="234"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18"/>
          <w:szCs w:val="18"/>
          <w:color w:val="auto"/>
        </w:rPr>
        <w:t>No single customer accounted for more than 10% of the Company's revenues, net during the three and nine months ended September 30, 2026 and 2025. The Company’s management believes that the loss of any of its top ten clients could have a material adverse effect on its financial performance.</w:t>
      </w:r>
    </w:p>
    <w:p>
      <w:pPr>
        <w:spacing w:after="0" w:line="190"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To reduce credit risk, the Company conducts ongoing credit evaluations of its customers. No customer accounted for more than 10% of accounts receivable, net, as of September 30, 2026 and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6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68,771</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200,363</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190,773</w:t>
            </w:r>
          </w:p>
        </w:tc>
      </w:tr>
      <w:tr>
        <w:trPr>
          <w:trHeight w:val="23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151,784,913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160,495,712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153,447,201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161,963,152</w:t>
            </w:r>
          </w:p>
        </w:tc>
      </w:tr>
      <w:tr>
        <w:trPr>
          <w:trHeight w:val="23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785,162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1,218,774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639,270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1,517,901</w:t>
            </w:r>
          </w:p>
        </w:tc>
      </w:tr>
      <w:tr>
        <w:trPr>
          <w:trHeight w:val="233"/>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152,570,075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161,714,486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154,086,471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163,481,053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6"/>
        </w:trPr>
        <w:tc>
          <w:tcPr>
            <w:tcW w:w="520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9"/>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9"/>
        </w:trPr>
        <w:tc>
          <w:tcPr>
            <w:tcW w:w="5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186"/>
        </w:trPr>
        <w:tc>
          <w:tcPr>
            <w:tcW w:w="52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Weighted average potentially dilutive shares considered anti-dilutive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not included in computing diluted earnings per share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1,448,090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831,678</w:t>
            </w:r>
          </w:p>
        </w:tc>
      </w:tr>
    </w:tbl>
    <w:p>
      <w:pPr>
        <w:spacing w:after="0" w:line="15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On March 16, 2026, the Company entered into a fixed dollar accelerated share repurchase transaction pursuant to a confirmation (“2026 ASR Agreement”) with Morgan Stanley &amp; Co. LLC (“Morgan Stanley”). During the nine months ended September 30, 2026, the Company recorded the initial delivery and final settlement of shares in treasury stock, which resulted in an immediate reduction of its outstanding shares used to calculate the weighted average common shares outstanding for basic and diluted earnings per share.</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19 - Capital Structure to the unaudited consolidated financial statements for further details.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Income, net</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8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4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5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w w:val="98"/>
              </w:rPr>
              <w:t>5,997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w w:val="98"/>
              </w:rPr>
              <w:t>4,625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r>
      <w:tr>
        <w:trPr>
          <w:trHeight w:val="239"/>
        </w:trPr>
        <w:tc>
          <w:tcPr>
            <w:tcW w:w="510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Fair value changes of contingent consideration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8"/>
              </w:rPr>
              <w:t>(3,000)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8"/>
                <w:szCs w:val="18"/>
                <w:color w:val="auto"/>
                <w:w w:val="98"/>
              </w:rPr>
              <w:t>(2,462)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5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w w:val="98"/>
              </w:rPr>
              <w:t>5,160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5540" w:right="2520" w:hanging="5135"/>
        <w:spacing w:after="0" w:line="953" w:lineRule="auto"/>
        <w:tabs>
          <w:tab w:leader="none" w:pos="6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-335280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Cash, Cash Equivalents and Restricted Cash</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purposes of unaudited consolidated statements of cash flows, cash, cash equivalents and restricted cash consist of the following:</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
        </w:trPr>
        <w:tc>
          <w:tcPr>
            <w:tcW w:w="5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2"/>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5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146,326</w:t>
            </w:r>
          </w:p>
        </w:tc>
      </w:tr>
      <w:tr>
        <w:trPr>
          <w:trHeight w:val="239"/>
        </w:trPr>
        <w:tc>
          <w:tcPr>
            <w:tcW w:w="578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Restricted cash (current)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39"/>
        </w:trPr>
        <w:tc>
          <w:tcPr>
            <w:tcW w:w="578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Restricted cash (non-current)</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r>
      <w:tr>
        <w:trPr>
          <w:trHeight w:val="2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175,074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179,833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165,969</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405"/>
        <w:spacing w:after="0" w:line="261" w:lineRule="auto"/>
        <w:tabs>
          <w:tab w:leader="none" w:pos="65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spacing w:after="0" w:line="202" w:lineRule="exact"/>
        <w:rPr>
          <w:rFonts w:ascii="Times New Roman" w:cs="Times New Roman" w:eastAsia="Times New Roman" w:hAnsi="Times New Roman"/>
          <w:sz w:val="18"/>
          <w:szCs w:val="18"/>
          <w:color w:val="auto"/>
        </w:rPr>
      </w:pPr>
    </w:p>
    <w:p>
      <w:pPr>
        <w:jc w:val="both"/>
        <w:ind w:firstLine="405"/>
        <w:spacing w:after="0" w:line="261" w:lineRule="auto"/>
        <w:tabs>
          <w:tab w:leader="none" w:pos="65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Due to the associated restrictions, these deposits with banks are anticipated to mature one year after the balance sheet date.</w:t>
      </w:r>
    </w:p>
    <w:p>
      <w:pPr>
        <w:spacing w:after="0" w:line="280"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r>
      <w:tr>
        <w:trPr>
          <w:trHeight w:val="219"/>
        </w:trPr>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2"/>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9"/>
        </w:trPr>
        <w:tc>
          <w:tcPr>
            <w:tcW w:w="7120" w:type="dxa"/>
            <w:vAlign w:val="bottom"/>
          </w:tcPr>
          <w:p>
            <w:pPr>
              <w:ind w:left="120"/>
              <w:spacing w:after="0" w:line="24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129,549</w:t>
            </w:r>
          </w:p>
        </w:tc>
      </w:tr>
      <w:tr>
        <w:trPr>
          <w:trHeight w:val="23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1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52,492</w:t>
            </w:r>
          </w:p>
        </w:tc>
      </w:tr>
      <w:tr>
        <w:trPr>
          <w:trHeight w:val="23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178,612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182,041</w:t>
            </w: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0"/>
        </w:trPr>
        <w:tc>
          <w:tcPr>
            <w:tcW w:w="7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60" w:type="dxa"/>
            <w:vAlign w:val="bottom"/>
          </w:tcPr>
          <w:p>
            <w:pPr>
              <w:spacing w:after="0"/>
              <w:rPr>
                <w:sz w:val="5"/>
                <w:szCs w:val="5"/>
                <w:color w:val="auto"/>
              </w:rPr>
            </w:pPr>
          </w:p>
        </w:tc>
      </w:tr>
      <w:tr>
        <w:trPr>
          <w:trHeight w:val="23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r>
      <w:tr>
        <w:trPr>
          <w:trHeight w:val="23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1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r>
      <w:tr>
        <w:trPr>
          <w:trHeight w:val="23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8,198</w:t>
            </w: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60" w:hanging="255"/>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168"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r>
      <w:tr>
        <w:trPr>
          <w:trHeight w:val="219"/>
        </w:trPr>
        <w:tc>
          <w:tcPr>
            <w:tcW w:w="7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5"/>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w w:val="99"/>
              </w:rPr>
              <w:t>400,268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367,558</w:t>
            </w:r>
          </w:p>
        </w:tc>
      </w:tr>
      <w:tr>
        <w:trPr>
          <w:trHeight w:val="23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(277,384)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(255,737)</w:t>
            </w:r>
          </w:p>
        </w:tc>
      </w:tr>
      <w:tr>
        <w:trPr>
          <w:trHeight w:val="25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w w:val="99"/>
              </w:rPr>
              <w:t>122,884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there were no material changes in estimated useful lives of property and equipment during the ordinary course of operations.</w:t>
      </w:r>
    </w:p>
    <w:p>
      <w:pPr>
        <w:spacing w:after="0" w:line="190" w:lineRule="exact"/>
        <w:rPr>
          <w:sz w:val="20"/>
          <w:szCs w:val="20"/>
          <w:color w:val="auto"/>
        </w:rPr>
      </w:pPr>
    </w:p>
    <w:p>
      <w:pPr>
        <w:jc w:val="both"/>
        <w:ind w:firstLine="399"/>
        <w:spacing w:after="0" w:line="244"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unaudited consolidated statements of income was as follows:</w:t>
      </w: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2780" w:type="dxa"/>
            <w:vAlign w:val="bottom"/>
            <w:gridSpan w:val="8"/>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2"/>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34,691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6"/>
              </w:rPr>
              <w:t>32,907</w:t>
            </w:r>
          </w:p>
        </w:tc>
      </w:tr>
      <w:tr>
        <w:trPr>
          <w:trHeight w:val="546"/>
        </w:trPr>
        <w:tc>
          <w:tcPr>
            <w:tcW w:w="6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Internally developed software costs included in property and equipment were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4"/>
        </w:trPr>
        <w:tc>
          <w:tcPr>
            <w:tcW w:w="5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r>
      <w:tr>
        <w:trPr>
          <w:trHeight w:val="182"/>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5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66,051</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6"/>
              </w:rPr>
              <w:t>59,391</w:t>
            </w:r>
          </w:p>
        </w:tc>
      </w:tr>
      <w:tr>
        <w:trPr>
          <w:trHeight w:val="23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8"/>
                <w:szCs w:val="18"/>
                <w:color w:val="auto"/>
                <w:w w:val="97"/>
              </w:rPr>
              <w:t>(39,332)</w:t>
            </w:r>
          </w:p>
        </w:tc>
      </w:tr>
      <w:tr>
        <w:trPr>
          <w:trHeight w:val="25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18,472</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6"/>
              </w:rPr>
              <w:t>20,059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unaudited consolidated statements of income was as follows:</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5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2026 and 2025, there were no indicators of impairment related to capitalized software.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Combinations, Goodwill and Other Intangible Assets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Merit Inc.</w:t>
      </w:r>
    </w:p>
    <w:p>
      <w:pPr>
        <w:spacing w:after="0" w:line="236"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On July 31, 2026, the Company, through its wholly owned subsidiary Clairvoyant AI, Inc., completed the acquisition of I Merit Inc., a Delaware Corporation (“iMerit”), pursuant to a securities purchase agreement dated June 22, 2026 (the "Purchase Agreement"). The Company purchased 100% of the issued and outstanding equity securities in iMerit.</w:t>
      </w:r>
    </w:p>
    <w:p>
      <w:pPr>
        <w:spacing w:after="0" w:line="204"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iMerit is a recognized leader in AI model training, evaluation and reinforcement learning. It is focused on helping its clients train large language and multimodal models to improve accuracy, precision, and effectiveness. The acquisition strengthens the Company's ability to help enterprises achieve measurable outcomes from AI, builds partnerships with leading foundation model builders and expands its reach into high-growth AI tech sectors.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8" w:lineRule="exact"/>
        <w:rPr>
          <w:sz w:val="20"/>
          <w:szCs w:val="20"/>
          <w:color w:val="auto"/>
        </w:rPr>
      </w:pPr>
    </w:p>
    <w:p>
      <w:pPr>
        <w:jc w:val="both"/>
        <w:ind w:firstLine="399"/>
        <w:spacing w:after="0" w:line="237" w:lineRule="auto"/>
        <w:rPr>
          <w:sz w:val="20"/>
          <w:szCs w:val="20"/>
          <w:color w:val="auto"/>
        </w:rPr>
      </w:pPr>
      <w:r>
        <w:rPr>
          <w:rFonts w:ascii="Times New Roman" w:cs="Times New Roman" w:eastAsia="Times New Roman" w:hAnsi="Times New Roman"/>
          <w:sz w:val="18"/>
          <w:szCs w:val="18"/>
          <w:color w:val="auto"/>
        </w:rPr>
        <w:t>The base purchase consideration payable at the closing was $170,000, excluding cash and cash equivalents acquired, debt and other estimated post-closing adjustments. The Purchase Agreement allows the sellers the ability to earn up to $125,000 of contingent consideration, based on the achievement of certain performance goals by iMerit during the two years ending June 30, 2028. The Purchase Agreement also allows for deferred consideration of $15,000, payable six months following the closing date. A portion of the purchase consideration otherwise payable was placed into escrow as security for the post-closing working capital adjustments and the indemnification obligations under the Purchase Agreement. To finance the acquisition, the Company utilized available cash on hand and borrowing from its credit facility.</w:t>
      </w: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total purchase consideration consisted of the following:</w:t>
            </w: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8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161,779</w:t>
            </w: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8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53,100</w:t>
            </w:r>
          </w:p>
        </w:tc>
      </w:tr>
      <w:tr>
        <w:trPr>
          <w:trHeight w:val="23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8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8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229,879</w:t>
            </w:r>
          </w:p>
        </w:tc>
      </w:tr>
      <w:tr>
        <w:trPr>
          <w:trHeight w:val="20"/>
        </w:trPr>
        <w:tc>
          <w:tcPr>
            <w:tcW w:w="8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 xml:space="preserve">Contingent consideration and deferred consideration are presented under “Accrued expenses and other current liabilities” and “Other non-current liabilities,” as applicable, in the consolidated balance sheets, and are initially classified as non-cash investing activities under ASC Topic 230, </w:t>
      </w:r>
      <w:r>
        <w:rPr>
          <w:rFonts w:ascii="Times New Roman" w:cs="Times New Roman" w:eastAsia="Times New Roman" w:hAnsi="Times New Roman"/>
          <w:sz w:val="18"/>
          <w:szCs w:val="18"/>
          <w:i w:val="1"/>
          <w:iCs w:val="1"/>
          <w:color w:val="auto"/>
        </w:rPr>
        <w:t>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The fair value of assets acquired and liabilities assumed from the acquisition of iMerit is based on a preliminary valuation and, as such, the Company's estimates and assumptions are subject to change within the measurement period. The Company is in the process of finalizing the adjustments related to debt, working capital position, tax and other post-closing adjustments, which, when determined, may result in the recognition of additional assets or liabilities as of the acquisition date, and shall, accordingly, lead to the finalization of the purchase consideration. The measurement period will not exceed one year from the acquisition date.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preliminary purchase price allocation to net tangible and intangible assets of iMerit as of July 31, 2026 is as follows:</w:t>
      </w:r>
    </w:p>
    <w:p>
      <w:pPr>
        <w:spacing w:after="0" w:line="290" w:lineRule="exact"/>
        <w:rPr>
          <w:sz w:val="20"/>
          <w:szCs w:val="20"/>
          <w:color w:val="auto"/>
        </w:rPr>
      </w:pPr>
    </w:p>
    <w:tbl>
      <w:tblPr>
        <w:tblLayout w:type="fixed"/>
        <w:tblInd w:w="400" w:type="dxa"/>
        <w:tblCellMar>
          <w:top w:w="0" w:type="dxa"/>
          <w:left w:w="0" w:type="dxa"/>
          <w:bottom w:w="0" w:type="dxa"/>
          <w:right w:w="0" w:type="dxa"/>
        </w:tblCellMar>
      </w:tblPr>
      <w:tr>
        <w:trPr>
          <w:trHeight w:val="26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r>
      <w:tr>
        <w:trPr>
          <w:trHeight w:val="266"/>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r>
      <w:tr>
        <w:trPr>
          <w:trHeight w:val="246"/>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7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66"/>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Customer-related intangibles</w:t>
            </w:r>
          </w:p>
        </w:tc>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60,100</w:t>
            </w:r>
          </w:p>
        </w:tc>
      </w:tr>
      <w:tr>
        <w:trPr>
          <w:trHeight w:val="266"/>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7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w:t>
            </w:r>
          </w:p>
        </w:tc>
      </w:tr>
      <w:tr>
        <w:trPr>
          <w:trHeight w:val="266"/>
        </w:trPr>
        <w:tc>
          <w:tcPr>
            <w:tcW w:w="8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39"/>
        </w:trPr>
        <w:tc>
          <w:tcPr>
            <w:tcW w:w="880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w:t>
            </w:r>
          </w:p>
        </w:tc>
      </w:tr>
      <w:tr>
        <w:trPr>
          <w:trHeight w:val="23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w:t>
            </w:r>
          </w:p>
        </w:tc>
      </w:tr>
      <w:tr>
        <w:trPr>
          <w:trHeight w:val="23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r>
      <w:tr>
        <w:trPr>
          <w:trHeight w:val="239"/>
        </w:trPr>
        <w:tc>
          <w:tcPr>
            <w:tcW w:w="880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23"/>
                <w:szCs w:val="23"/>
                <w:color w:val="auto"/>
                <w:vertAlign w:val="superscript"/>
              </w:rPr>
              <w:t>(2)</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r>
      <w:tr>
        <w:trPr>
          <w:trHeight w:val="23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163,101</w:t>
            </w:r>
          </w:p>
        </w:tc>
      </w:tr>
      <w:tr>
        <w:trPr>
          <w:trHeight w:val="23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7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229,879</w:t>
            </w:r>
          </w:p>
        </w:tc>
      </w:tr>
      <w:tr>
        <w:trPr>
          <w:trHeight w:val="20"/>
        </w:trPr>
        <w:tc>
          <w:tcPr>
            <w:tcW w:w="8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hanging="255"/>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property and equipment, net, operating lease right-of-use assets, other current assets, and other assets.</w:t>
      </w:r>
    </w:p>
    <w:p>
      <w:pPr>
        <w:spacing w:after="0" w:line="231" w:lineRule="exact"/>
        <w:rPr>
          <w:rFonts w:ascii="Times New Roman" w:cs="Times New Roman" w:eastAsia="Times New Roman" w:hAnsi="Times New Roman"/>
          <w:sz w:val="18"/>
          <w:szCs w:val="18"/>
          <w:color w:val="auto"/>
        </w:rPr>
      </w:pPr>
    </w:p>
    <w:p>
      <w:pPr>
        <w:ind w:left="660" w:hanging="255"/>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accounts payable, current and non-current portion of operating lease liabilities, and other non-current liabilities.</w:t>
      </w:r>
    </w:p>
    <w:p>
      <w:pPr>
        <w:spacing w:after="0" w:line="232"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The fair value of customer-related intangible assets was determined using the multi-period excess earnings method, while the fair value of developed technology was determined using the replacement cost method. These intangible assets are amortized on a straight-line basis, which approximates the economic pattern of benefits, over the estimated weighted average useful lives of 7 years for customer-related intangible assets and 3 years for developed technology assets.</w:t>
      </w:r>
    </w:p>
    <w:p>
      <w:pPr>
        <w:spacing w:after="0" w:line="209"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As of the acquisition date, the Company recognized an indemnification asset of $12,069 related to potential pre-closing income tax and indirect tax obligations, including estimated interest and penalties, as covered under the terms of the Purchase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Agreement. The indemnification asset is presented under “Other assets” and the $12,069 related tax obligations under "Other non-current liabilities" in the consolidated balance sheets.</w:t>
      </w:r>
    </w:p>
    <w:p>
      <w:pPr>
        <w:spacing w:after="0" w:line="190"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17"/>
          <w:szCs w:val="17"/>
          <w:color w:val="auto"/>
        </w:rPr>
        <w:t>The goodwill recognized represents the acquired capabilities, operating synergies and other benefits expected to result from combining the acquired operations with the Company’s existing operations. Goodwill is not deductible for income tax purposes. In connection with the acquisition, goodwill has been allocated to the Company’s Healthcare and Life Sciences, Banking, Capital Markets and Diversified Industries, and International Growth Markets reportable segments based on the Company’s assessment of the nature of services rendered by iMerit and allocated to each segment using a relative fair value method.</w:t>
      </w:r>
    </w:p>
    <w:p>
      <w:pPr>
        <w:spacing w:after="0" w:line="193" w:lineRule="exact"/>
        <w:rPr>
          <w:sz w:val="20"/>
          <w:szCs w:val="20"/>
          <w:color w:val="auto"/>
        </w:rPr>
      </w:pPr>
    </w:p>
    <w:p>
      <w:pPr>
        <w:jc w:val="both"/>
        <w:ind w:right="20" w:firstLine="399"/>
        <w:spacing w:after="0" w:line="273" w:lineRule="auto"/>
        <w:rPr>
          <w:sz w:val="20"/>
          <w:szCs w:val="20"/>
          <w:color w:val="auto"/>
        </w:rPr>
      </w:pPr>
      <w:r>
        <w:rPr>
          <w:rFonts w:ascii="Times New Roman" w:cs="Times New Roman" w:eastAsia="Times New Roman" w:hAnsi="Times New Roman"/>
          <w:sz w:val="17"/>
          <w:szCs w:val="17"/>
          <w:color w:val="auto"/>
        </w:rPr>
        <w:t>Acquisition-related costs are expensed as incurred and are included in “General and administrative expenses” in the unaudited consolidated statements of income. The Company recognized acquisition-related costs of $869 and $2,763 during the three and nine months ended September 30, 2026, respectively.</w:t>
      </w:r>
    </w:p>
    <w:p>
      <w:pPr>
        <w:spacing w:after="0" w:line="180"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The results of operations of the acquired business and the fair value of the acquired assets and assumed liabilities are included in the Company’s unaudited consolidated financial statements with effect from the date of the acquisition. The acquisition did not materially impact the Company's financial position, results of operations or cash flows, and therefore, the Company has not provided unaudited supplemental pro forma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3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Healthcare and Life</w:t>
            </w: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Banking, Capital Markets</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 Growth</w:t>
            </w:r>
          </w:p>
        </w:tc>
        <w:tc>
          <w:tcPr>
            <w:tcW w:w="220" w:type="dxa"/>
            <w:vAlign w:val="bottom"/>
          </w:tcPr>
          <w:p>
            <w:pPr>
              <w:spacing w:after="0"/>
              <w:rPr>
                <w:sz w:val="13"/>
                <w:szCs w:val="13"/>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and Diversified Industries</w:t>
            </w: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Markets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77,269</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189,594</w:t>
            </w: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100,153</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52,638</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419,654</w:t>
            </w:r>
          </w:p>
        </w:tc>
        <w:tc>
          <w:tcPr>
            <w:tcW w:w="0" w:type="dxa"/>
            <w:vAlign w:val="bottom"/>
          </w:tcPr>
          <w:p>
            <w:pPr>
              <w:spacing w:after="0"/>
              <w:rPr>
                <w:sz w:val="1"/>
                <w:szCs w:val="1"/>
                <w:color w:val="auto"/>
              </w:rPr>
            </w:pPr>
          </w:p>
        </w:tc>
      </w:tr>
      <w:tr>
        <w:trPr>
          <w:trHeight w:val="23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163,101</w:t>
            </w:r>
          </w:p>
        </w:tc>
        <w:tc>
          <w:tcPr>
            <w:tcW w:w="0" w:type="dxa"/>
            <w:vAlign w:val="bottom"/>
          </w:tcPr>
          <w:p>
            <w:pPr>
              <w:spacing w:after="0"/>
              <w:rPr>
                <w:sz w:val="1"/>
                <w:szCs w:val="1"/>
                <w:color w:val="auto"/>
              </w:rPr>
            </w:pPr>
          </w:p>
        </w:tc>
      </w:tr>
      <w:tr>
        <w:trPr>
          <w:trHeight w:val="23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(1,160)</w:t>
            </w:r>
          </w:p>
        </w:tc>
        <w:tc>
          <w:tcPr>
            <w:tcW w:w="0" w:type="dxa"/>
            <w:vAlign w:val="bottom"/>
          </w:tcPr>
          <w:p>
            <w:pPr>
              <w:spacing w:after="0"/>
              <w:rPr>
                <w:sz w:val="1"/>
                <w:szCs w:val="1"/>
                <w:color w:val="auto"/>
              </w:rPr>
            </w:pPr>
          </w:p>
        </w:tc>
      </w:tr>
      <w:tr>
        <w:trPr>
          <w:trHeight w:val="23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205,869</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581,595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performed an assessment to determine whether events or circumstances exist that may lead to a determination that it is more likely than not that the fair value of a reporting unit is less than its carrying amount. Based on such assessment, the Company concluded that there was no impairment on goodwill as of September 30, 2026 and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200" w:lineRule="exact"/>
        <w:rPr>
          <w:sz w:val="20"/>
          <w:szCs w:val="20"/>
          <w:color w:val="auto"/>
        </w:rPr>
      </w:pPr>
    </w:p>
    <w:p>
      <w:pPr>
        <w:spacing w:after="0" w:line="313"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3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As of December 31, 2025</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4"/>
                <w:szCs w:val="14"/>
                <w:color w:val="auto"/>
              </w:rPr>
            </w:pPr>
          </w:p>
        </w:tc>
        <w:tc>
          <w:tcPr>
            <w:tcW w:w="7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860" w:type="dxa"/>
            <w:vAlign w:val="bottom"/>
          </w:tcPr>
          <w:p>
            <w:pPr>
              <w:jc w:val="center"/>
              <w:ind w:right="134"/>
              <w:spacing w:after="0" w:line="169"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114"/>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21"/>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Customer-related intangibles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(73,482)</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0" w:type="dxa"/>
            <w:vAlign w:val="bottom"/>
          </w:tcPr>
          <w:p>
            <w:pPr>
              <w:spacing w:after="0"/>
              <w:rPr>
                <w:sz w:val="1"/>
                <w:szCs w:val="1"/>
                <w:color w:val="auto"/>
              </w:rPr>
            </w:pPr>
          </w:p>
        </w:tc>
      </w:tr>
      <w:tr>
        <w:trPr>
          <w:trHeight w:val="23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114,186</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0" w:type="dxa"/>
            <w:vAlign w:val="bottom"/>
          </w:tcPr>
          <w:p>
            <w:pPr>
              <w:spacing w:after="0"/>
              <w:rPr>
                <w:sz w:val="1"/>
                <w:szCs w:val="1"/>
                <w:color w:val="auto"/>
              </w:rPr>
            </w:pPr>
          </w:p>
        </w:tc>
      </w:tr>
      <w:tr>
        <w:trPr>
          <w:trHeight w:val="266"/>
        </w:trPr>
        <w:tc>
          <w:tcPr>
            <w:tcW w:w="3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115,086</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amortization expense recognized in the unaudited consolidated statements of income was as follows:</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24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40" w:type="dxa"/>
            <w:vAlign w:val="bottom"/>
            <w:gridSpan w:val="4"/>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40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2026 and 2025, there were no indicators of impairment related to intangible assets.</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232"/>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as of September 30, 2026 was as follows:</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9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(October 1 - December 31)</w:t>
            </w: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27,431</w:t>
            </w:r>
          </w:p>
        </w:tc>
      </w:tr>
      <w:tr>
        <w:trPr>
          <w:trHeight w:val="23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22,647</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w:t>
            </w:r>
          </w:p>
        </w:tc>
      </w:tr>
      <w:tr>
        <w:trPr>
          <w:trHeight w:val="23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r>
      <w:tr>
        <w:trPr>
          <w:trHeight w:val="23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21,118</w:t>
            </w:r>
          </w:p>
        </w:tc>
      </w:tr>
      <w:tr>
        <w:trPr>
          <w:trHeight w:val="25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98,623</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income tax,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41,167</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155,262</w:t>
            </w:r>
          </w:p>
        </w:tc>
        <w:tc>
          <w:tcPr>
            <w:tcW w:w="100" w:type="dxa"/>
            <w:vAlign w:val="bottom"/>
          </w:tcPr>
          <w:p>
            <w:pPr>
              <w:spacing w:after="0"/>
              <w:rPr>
                <w:sz w:val="20"/>
                <w:szCs w:val="20"/>
                <w:color w:val="auto"/>
              </w:rPr>
            </w:pP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146,093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Other Assets</w:t>
            </w: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73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20" w:type="dxa"/>
            <w:vAlign w:val="bottom"/>
          </w:tcPr>
          <w:p>
            <w:pPr>
              <w:spacing w:after="0"/>
              <w:rPr>
                <w:sz w:val="24"/>
                <w:szCs w:val="24"/>
                <w:color w:val="auto"/>
              </w:rPr>
            </w:pPr>
          </w:p>
        </w:tc>
        <w:tc>
          <w:tcPr>
            <w:tcW w:w="6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30,411</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32,146</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7,859</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7,087</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6,761</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14,518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72,471</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61,771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74,009</w:t>
            </w:r>
          </w:p>
        </w:tc>
        <w:tc>
          <w:tcPr>
            <w:tcW w:w="4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64,220</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20"/>
                <w:szCs w:val="20"/>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6"/>
              </w:rPr>
              <w:t>38,300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33,787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statutory authorities</w:t>
            </w:r>
          </w:p>
        </w:tc>
        <w:tc>
          <w:tcPr>
            <w:tcW w:w="180" w:type="dxa"/>
            <w:vAlign w:val="bottom"/>
          </w:tcPr>
          <w:p>
            <w:pPr>
              <w:spacing w:after="0"/>
              <w:rPr>
                <w:sz w:val="20"/>
                <w:szCs w:val="20"/>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6"/>
              </w:rPr>
              <w:t>30,046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15,511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180" w:type="dxa"/>
            <w:vAlign w:val="bottom"/>
          </w:tcPr>
          <w:p>
            <w:pPr>
              <w:spacing w:after="0"/>
              <w:rPr>
                <w:sz w:val="20"/>
                <w:szCs w:val="20"/>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6"/>
              </w:rPr>
              <w:t>15,000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liabilities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14,271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6"/>
              </w:rPr>
              <w:t>11,476</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0" w:type="dxa"/>
            <w:vAlign w:val="bottom"/>
          </w:tcPr>
          <w:p>
            <w:pPr>
              <w:spacing w:after="0"/>
              <w:rPr>
                <w:sz w:val="1"/>
                <w:szCs w:val="1"/>
                <w:color w:val="auto"/>
              </w:rPr>
            </w:pPr>
          </w:p>
        </w:tc>
      </w:tr>
      <w:tr>
        <w:trPr>
          <w:trHeight w:val="253"/>
        </w:trPr>
        <w:tc>
          <w:tcPr>
            <w:tcW w:w="40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232,400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135,498</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75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35,213</w:t>
            </w:r>
          </w:p>
        </w:tc>
        <w:tc>
          <w:tcPr>
            <w:tcW w:w="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180" w:type="dxa"/>
            <w:vAlign w:val="bottom"/>
          </w:tcPr>
          <w:p>
            <w:pPr>
              <w:spacing w:after="0"/>
              <w:rPr>
                <w:sz w:val="20"/>
                <w:szCs w:val="20"/>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6"/>
              </w:rPr>
              <w:t>24,255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22,800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Pr>
          <w:p>
            <w:pPr>
              <w:spacing w:after="0"/>
              <w:rPr>
                <w:sz w:val="20"/>
                <w:szCs w:val="20"/>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6"/>
              </w:rPr>
              <w:t>13,197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6"/>
              </w:rPr>
              <w:t>14,969</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53"/>
        </w:trPr>
        <w:tc>
          <w:tcPr>
            <w:tcW w:w="400" w:type="dxa"/>
            <w:vAlign w:val="bottom"/>
          </w:tcPr>
          <w:p>
            <w:pPr>
              <w:spacing w:after="0"/>
              <w:rPr>
                <w:sz w:val="21"/>
                <w:szCs w:val="21"/>
                <w:color w:val="auto"/>
              </w:rPr>
            </w:pP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112,990</w:t>
            </w:r>
          </w:p>
        </w:tc>
        <w:tc>
          <w:tcPr>
            <w:tcW w:w="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Income/(Loss)</w:t>
      </w:r>
    </w:p>
    <w:p>
      <w:pPr>
        <w:spacing w:after="0" w:line="234"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changes in Accumulated other comprehensive income/(loss) (“AOCI”) during the nine months ended September 30, 2026 and 2025:</w:t>
      </w: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gridSpan w:val="9"/>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Income/(Loss)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Retirement benefits</w:t>
            </w:r>
          </w:p>
        </w:tc>
        <w:tc>
          <w:tcPr>
            <w:tcW w:w="300" w:type="dxa"/>
            <w:vAlign w:val="bottom"/>
          </w:tcPr>
          <w:p>
            <w:pPr>
              <w:spacing w:after="0"/>
              <w:rPr>
                <w:sz w:val="12"/>
                <w:szCs w:val="12"/>
                <w:color w:val="auto"/>
              </w:rPr>
            </w:pPr>
          </w:p>
        </w:tc>
        <w:tc>
          <w:tcPr>
            <w:tcW w:w="10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gain/(loss) on cash</w:t>
            </w:r>
          </w:p>
        </w:tc>
        <w:tc>
          <w:tcPr>
            <w:tcW w:w="13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(180,727)</w:t>
            </w: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recognized during the period</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(76,726)</w:t>
            </w:r>
          </w:p>
        </w:tc>
        <w:tc>
          <w:tcPr>
            <w:tcW w:w="0" w:type="dxa"/>
            <w:vAlign w:val="bottom"/>
          </w:tcPr>
          <w:p>
            <w:pPr>
              <w:spacing w:after="0"/>
              <w:rPr>
                <w:sz w:val="1"/>
                <w:szCs w:val="1"/>
                <w:color w:val="auto"/>
              </w:rPr>
            </w:pPr>
          </w:p>
        </w:tc>
      </w:tr>
      <w:tr>
        <w:trPr>
          <w:trHeight w:val="239"/>
        </w:trPr>
        <w:tc>
          <w:tcPr>
            <w:tcW w:w="524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Reclassification to net income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Income tax effects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5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(230,031)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(154,722)</w:t>
            </w: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recognized during the period</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0" w:type="dxa"/>
            <w:vAlign w:val="bottom"/>
          </w:tcPr>
          <w:p>
            <w:pPr>
              <w:spacing w:after="0"/>
              <w:rPr>
                <w:sz w:val="1"/>
                <w:szCs w:val="1"/>
                <w:color w:val="auto"/>
              </w:rPr>
            </w:pPr>
          </w:p>
        </w:tc>
      </w:tr>
      <w:tr>
        <w:trPr>
          <w:trHeight w:val="239"/>
        </w:trPr>
        <w:tc>
          <w:tcPr>
            <w:tcW w:w="524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Reclassification to net income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39"/>
        </w:trPr>
        <w:tc>
          <w:tcPr>
            <w:tcW w:w="5240" w:type="dxa"/>
            <w:vAlign w:val="bottom"/>
            <w:tcBorders>
              <w:bottom w:val="single" w:sz="8" w:color="CCEEFF"/>
            </w:tcBorders>
          </w:tcPr>
          <w:p>
            <w:pPr>
              <w:ind w:left="20"/>
              <w:spacing w:after="0" w:line="240" w:lineRule="exact"/>
              <w:rPr>
                <w:sz w:val="20"/>
                <w:szCs w:val="20"/>
                <w:color w:val="auto"/>
              </w:rPr>
            </w:pPr>
            <w:r>
              <w:rPr>
                <w:rFonts w:ascii="Times New Roman" w:cs="Times New Roman" w:eastAsia="Times New Roman" w:hAnsi="Times New Roman"/>
                <w:sz w:val="18"/>
                <w:szCs w:val="18"/>
                <w:color w:val="auto"/>
              </w:rPr>
              <w:t>Income tax effects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5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firstLine="405"/>
        <w:spacing w:after="0" w:line="275" w:lineRule="auto"/>
        <w:tabs>
          <w:tab w:leader="none" w:pos="6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17 - Derivatives and Hedge Accounting and Note 20 - Employee Benefit Plans to the unaudited consolidated financial statements for reclassification to net income.</w:t>
      </w:r>
    </w:p>
    <w:p>
      <w:pPr>
        <w:spacing w:after="0" w:line="177" w:lineRule="exact"/>
        <w:rPr>
          <w:rFonts w:ascii="Times New Roman" w:cs="Times New Roman" w:eastAsia="Times New Roman" w:hAnsi="Times New Roman"/>
          <w:sz w:val="18"/>
          <w:szCs w:val="18"/>
          <w:color w:val="auto"/>
        </w:rPr>
      </w:pPr>
    </w:p>
    <w:p>
      <w:pPr>
        <w:ind w:firstLine="405"/>
        <w:spacing w:after="0" w:line="260"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income tax effects recognized on currency translation adjustments, cash flow hedges and retirement benefits. Refer to Note 22 - Income Taxes to the unaudited consolidated financial statements.</w:t>
      </w:r>
    </w:p>
    <w:p>
      <w:pPr>
        <w:spacing w:after="0" w:line="280"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recognized at fair value: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1"/>
                <w:szCs w:val="11"/>
                <w:color w:val="auto"/>
              </w:rPr>
            </w:pPr>
          </w:p>
        </w:tc>
        <w:tc>
          <w:tcPr>
            <w:tcW w:w="15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1"/>
                <w:szCs w:val="11"/>
                <w:color w:val="auto"/>
              </w:rPr>
            </w:pPr>
          </w:p>
        </w:tc>
        <w:tc>
          <w:tcPr>
            <w:tcW w:w="15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8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00" w:type="dxa"/>
            <w:vAlign w:val="bottom"/>
          </w:tcPr>
          <w:p>
            <w:pPr>
              <w:spacing w:after="0"/>
              <w:rPr>
                <w:sz w:val="23"/>
                <w:szCs w:val="23"/>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100" w:type="dxa"/>
            <w:vAlign w:val="bottom"/>
          </w:tcPr>
          <w:p>
            <w:pPr>
              <w:spacing w:after="0"/>
              <w:rPr>
                <w:sz w:val="23"/>
                <w:szCs w:val="23"/>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400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 w:type="dxa"/>
            <w:vAlign w:val="bottom"/>
          </w:tcPr>
          <w:p>
            <w:pPr>
              <w:spacing w:after="0"/>
              <w:rPr>
                <w:sz w:val="21"/>
                <w:szCs w:val="21"/>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0" w:type="dxa"/>
            <w:vAlign w:val="bottom"/>
          </w:tcPr>
          <w:p>
            <w:pPr>
              <w:spacing w:after="0"/>
              <w:rPr>
                <w:sz w:val="23"/>
                <w:szCs w:val="23"/>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0" w:type="dxa"/>
            <w:vAlign w:val="bottom"/>
          </w:tcPr>
          <w:p>
            <w:pPr>
              <w:spacing w:after="0"/>
              <w:rPr>
                <w:sz w:val="21"/>
                <w:szCs w:val="21"/>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391795</wp:posOffset>
            </wp:positionV>
            <wp:extent cx="4288790"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879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80" w:type="dxa"/>
            <w:vAlign w:val="bottom"/>
          </w:tcPr>
          <w:p>
            <w:pPr>
              <w:spacing w:after="0"/>
              <w:rPr>
                <w:sz w:val="18"/>
                <w:szCs w:val="18"/>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100" w:type="dxa"/>
            <w:vAlign w:val="bottom"/>
          </w:tcPr>
          <w:p>
            <w:pPr>
              <w:spacing w:after="0"/>
              <w:rPr>
                <w:sz w:val="23"/>
                <w:szCs w:val="23"/>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0" w:type="dxa"/>
            <w:vAlign w:val="bottom"/>
          </w:tcPr>
          <w:p>
            <w:pPr>
              <w:spacing w:after="0"/>
              <w:rPr>
                <w:sz w:val="1"/>
                <w:szCs w:val="1"/>
                <w:color w:val="auto"/>
              </w:rPr>
            </w:pPr>
          </w:p>
        </w:tc>
      </w:tr>
      <w:tr>
        <w:trPr>
          <w:trHeight w:val="239"/>
        </w:trPr>
        <w:tc>
          <w:tcPr>
            <w:tcW w:w="400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129,549</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0" w:type="dxa"/>
            <w:vAlign w:val="bottom"/>
          </w:tcPr>
          <w:p>
            <w:pPr>
              <w:spacing w:after="0"/>
              <w:rPr>
                <w:sz w:val="1"/>
                <w:szCs w:val="1"/>
                <w:color w:val="auto"/>
              </w:rPr>
            </w:pPr>
          </w:p>
        </w:tc>
      </w:tr>
      <w:tr>
        <w:trPr>
          <w:trHeight w:val="266"/>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660" w:hanging="255"/>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Represents money market funds and short-term investments which are carried at the fair value option under ASC Topic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w:t>
      </w:r>
    </w:p>
    <w:p>
      <w:pPr>
        <w:spacing w:after="0" w:line="258" w:lineRule="exact"/>
        <w:rPr>
          <w:rFonts w:ascii="Times New Roman" w:cs="Times New Roman" w:eastAsia="Times New Roman" w:hAnsi="Times New Roman"/>
          <w:sz w:val="17"/>
          <w:szCs w:val="17"/>
          <w:color w:val="auto"/>
        </w:rPr>
      </w:pPr>
    </w:p>
    <w:p>
      <w:pPr>
        <w:ind w:firstLine="405"/>
        <w:spacing w:after="0" w:line="257"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is presented under “Accrued expenses and other current liabilities” and “Other non-current liabilities,” as applicable, in the consolidated balance sheets.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Derivative Financial Instruments:</w:t>
      </w:r>
    </w:p>
    <w:p>
      <w:pPr>
        <w:spacing w:after="0" w:line="199" w:lineRule="exact"/>
        <w:rPr>
          <w:sz w:val="20"/>
          <w:szCs w:val="20"/>
          <w:color w:val="auto"/>
        </w:rPr>
      </w:pPr>
    </w:p>
    <w:p>
      <w:pPr>
        <w:jc w:val="both"/>
        <w:ind w:right="20" w:firstLine="399"/>
        <w:spacing w:after="0" w:line="260" w:lineRule="auto"/>
        <w:rPr>
          <w:sz w:val="20"/>
          <w:szCs w:val="20"/>
          <w:color w:val="auto"/>
        </w:rPr>
      </w:pPr>
      <w:r>
        <w:rPr>
          <w:rFonts w:ascii="Times New Roman" w:cs="Times New Roman" w:eastAsia="Times New Roman" w:hAnsi="Times New Roman"/>
          <w:sz w:val="18"/>
          <w:szCs w:val="18"/>
          <w:color w:val="auto"/>
        </w:rPr>
        <w:t>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contingent consideration:</w:t>
      </w:r>
    </w:p>
    <w:p>
      <w:pPr>
        <w:spacing w:after="0" w:line="6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36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w:t>
            </w:r>
          </w:p>
        </w:tc>
        <w:tc>
          <w:tcPr>
            <w:tcW w:w="1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10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2026 and 2025, there were no transfers among Level 1, Level 2 and Level 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cash and cash equivalents (except investments in money market funds, as disclosed above), short-term investments (except investments in mutual funds, as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and term loan facility approximates its fair value because the Company’s interest rate yield is near current market rates for comparable debt instruments.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234" w:lineRule="exact"/>
        <w:rPr>
          <w:sz w:val="20"/>
          <w:szCs w:val="20"/>
          <w:color w:val="auto"/>
        </w:rPr>
      </w:pPr>
    </w:p>
    <w:p>
      <w:pPr>
        <w:jc w:val="both"/>
        <w:ind w:firstLine="399"/>
        <w:spacing w:after="0" w:line="236" w:lineRule="auto"/>
        <w:rPr>
          <w:sz w:val="20"/>
          <w:szCs w:val="20"/>
          <w:color w:val="auto"/>
        </w:rPr>
      </w:pPr>
      <w:r>
        <w:rPr>
          <w:rFonts w:ascii="Times New Roman" w:cs="Times New Roman" w:eastAsia="Times New Roman" w:hAnsi="Times New Roman"/>
          <w:sz w:val="18"/>
          <w:szCs w:val="18"/>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revenues and other transactions denominated in certain foreign currencies. These contracts qualify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are with counterparties that are highly rated financial institutions.</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aggregate notional amount of derivatives in cash flow hedging relationship:</w:t>
      </w:r>
    </w:p>
    <w:p>
      <w:pPr>
        <w:spacing w:after="0" w:line="6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2460" w:type="dxa"/>
            <w:vAlign w:val="bottom"/>
            <w:tcBorders>
              <w:bottom w:val="single" w:sz="8" w:color="auto"/>
            </w:tcBorders>
            <w:gridSpan w:val="3"/>
          </w:tcPr>
          <w:p>
            <w:pPr>
              <w:ind w:left="19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20" w:type="dxa"/>
            <w:vAlign w:val="bottom"/>
            <w:tcBorders>
              <w:bottom w:val="single" w:sz="8" w:color="auto"/>
            </w:tcBorders>
          </w:tcPr>
          <w:p>
            <w:pPr>
              <w:spacing w:after="0"/>
              <w:rPr>
                <w:sz w:val="18"/>
                <w:szCs w:val="18"/>
                <w:color w:val="auto"/>
              </w:rPr>
            </w:pPr>
          </w:p>
        </w:tc>
      </w:tr>
      <w:tr>
        <w:trPr>
          <w:trHeight w:val="219"/>
        </w:trPr>
        <w:tc>
          <w:tcPr>
            <w:tcW w:w="6460" w:type="dxa"/>
            <w:vAlign w:val="bottom"/>
          </w:tcPr>
          <w:p>
            <w:pPr>
              <w:spacing w:after="0"/>
              <w:rPr>
                <w:sz w:val="19"/>
                <w:szCs w:val="19"/>
                <w:color w:val="auto"/>
              </w:rPr>
            </w:pPr>
          </w:p>
        </w:tc>
        <w:tc>
          <w:tcPr>
            <w:tcW w:w="246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2"/>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forward contracts denominated in:</w:t>
            </w:r>
          </w:p>
        </w:tc>
        <w:tc>
          <w:tcPr>
            <w:tcW w:w="2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r>
      <w:tr>
        <w:trPr>
          <w:trHeight w:val="239"/>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 U.S. dollar (USD)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1,134,800</w:t>
            </w:r>
          </w:p>
        </w:tc>
      </w:tr>
      <w:tr>
        <w:trPr>
          <w:trHeight w:val="239"/>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Buy U.S. dollar (USD)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w:t>
            </w:r>
          </w:p>
        </w:tc>
      </w:tr>
    </w:tbl>
    <w:p>
      <w:pPr>
        <w:spacing w:after="0" w:line="341"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The Company estimates that approximately $30,660 of derivative loss, net, excluding tax effects, included in AOCI, representing changes in the value of cash flow hedges based on exchange rates prevailing as of September 30, 2026, could be reclassified into earnings within the next twelve months. As of September 30, 2026, the maximum outstanding term of the cash flow hedges was approximately 33 months.</w:t>
      </w:r>
    </w:p>
    <w:p>
      <w:pPr>
        <w:spacing w:after="0" w:line="204"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Changes in the fair value of these financial instruments are recognized in the unaudited consolidated statements of income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foreign exchange gain/(loss), net line item.</w:t>
      </w:r>
    </w:p>
    <w:p>
      <w:pPr>
        <w:spacing w:after="0" w:line="210"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aggregate notional principal amounts of outstanding foreign currency forward contracts for derivatives not designated as hedging instruments:</w:t>
      </w:r>
    </w:p>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2460" w:type="dxa"/>
            <w:vAlign w:val="bottom"/>
            <w:tcBorders>
              <w:bottom w:val="single" w:sz="8" w:color="auto"/>
            </w:tcBorders>
            <w:gridSpan w:val="3"/>
          </w:tcPr>
          <w:p>
            <w:pPr>
              <w:ind w:left="19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20" w:type="dxa"/>
            <w:vAlign w:val="bottom"/>
            <w:tcBorders>
              <w:bottom w:val="single" w:sz="8" w:color="auto"/>
            </w:tcBorders>
          </w:tcPr>
          <w:p>
            <w:pPr>
              <w:spacing w:after="0"/>
              <w:rPr>
                <w:sz w:val="18"/>
                <w:szCs w:val="18"/>
                <w:color w:val="auto"/>
              </w:rPr>
            </w:pPr>
          </w:p>
        </w:tc>
      </w:tr>
      <w:tr>
        <w:trPr>
          <w:trHeight w:val="219"/>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forward contracts denominated in:</w:t>
            </w:r>
          </w:p>
        </w:tc>
        <w:tc>
          <w:tcPr>
            <w:tcW w:w="246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5"/>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USD</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262,105</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217,040</w:t>
            </w:r>
          </w:p>
        </w:tc>
      </w:tr>
      <w:tr>
        <w:trPr>
          <w:trHeight w:val="23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 GBP</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35,962</w:t>
            </w:r>
          </w:p>
        </w:tc>
      </w:tr>
      <w:tr>
        <w:trPr>
          <w:trHeight w:val="23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EUR</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r>
      <w:tr>
        <w:trPr>
          <w:trHeight w:val="23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 AUD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r>
      <w:tr>
        <w:trPr>
          <w:trHeight w:val="23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USD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fair value of the foreign currency forward contracts and their location on the consolidated balance sheets:</w:t>
      </w:r>
    </w:p>
    <w:p>
      <w:pPr>
        <w:spacing w:after="0" w:line="4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Derivatives in cash flow hedging</w:t>
            </w:r>
          </w:p>
        </w:tc>
        <w:tc>
          <w:tcPr>
            <w:tcW w:w="160" w:type="dxa"/>
            <w:vAlign w:val="bottom"/>
          </w:tcPr>
          <w:p>
            <w:pPr>
              <w:spacing w:after="0"/>
              <w:rPr>
                <w:sz w:val="16"/>
                <w:szCs w:val="16"/>
                <w:color w:val="auto"/>
              </w:rPr>
            </w:pPr>
          </w:p>
        </w:tc>
        <w:tc>
          <w:tcPr>
            <w:tcW w:w="3480" w:type="dxa"/>
            <w:vAlign w:val="bottom"/>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Derivatives not designated as hedging</w:t>
            </w:r>
          </w:p>
        </w:tc>
      </w:tr>
      <w:tr>
        <w:trPr>
          <w:trHeight w:val="211"/>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relationships</w:t>
            </w:r>
          </w:p>
        </w:tc>
        <w:tc>
          <w:tcPr>
            <w:tcW w:w="160" w:type="dxa"/>
            <w:vAlign w:val="bottom"/>
          </w:tcPr>
          <w:p>
            <w:pPr>
              <w:spacing w:after="0"/>
              <w:rPr>
                <w:sz w:val="18"/>
                <w:szCs w:val="18"/>
                <w:color w:val="auto"/>
              </w:rPr>
            </w:pPr>
          </w:p>
        </w:tc>
        <w:tc>
          <w:tcPr>
            <w:tcW w:w="3480" w:type="dxa"/>
            <w:vAlign w:val="bottom"/>
            <w:gridSpan w:val="4"/>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r>
      <w:tr>
        <w:trPr>
          <w:trHeight w:val="218"/>
        </w:trPr>
        <w:tc>
          <w:tcPr>
            <w:tcW w:w="34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3"/>
          </w:tcPr>
          <w:p>
            <w:pPr>
              <w:jc w:val="center"/>
              <w:ind w:left="1316"/>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gridSpan w:val="3"/>
          </w:tcPr>
          <w:p>
            <w:pPr>
              <w:jc w:val="center"/>
              <w:ind w:left="1336"/>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top w:val="single" w:sz="8" w:color="auto"/>
              <w:bottom w:val="single" w:sz="8" w:color="auto"/>
            </w:tcBorders>
          </w:tcPr>
          <w:p>
            <w:pPr>
              <w:spacing w:after="0"/>
              <w:rPr>
                <w:sz w:val="18"/>
                <w:szCs w:val="18"/>
                <w:color w:val="auto"/>
              </w:rPr>
            </w:pPr>
          </w:p>
        </w:tc>
      </w:tr>
      <w:tr>
        <w:trPr>
          <w:trHeight w:val="219"/>
        </w:trPr>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9"/>
                <w:szCs w:val="19"/>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2"/>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9"/>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9"/>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86"/>
        </w:trPr>
        <w:tc>
          <w:tcPr>
            <w:tcW w:w="344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33,443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15,383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60</w:t>
            </w:r>
          </w:p>
        </w:tc>
      </w:tr>
      <w:tr>
        <w:trPr>
          <w:trHeight w:val="239"/>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40"/>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effect of foreign currency forward contracts on AOCI and the unaudited consolidated statements of income:</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2"/>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69"/>
        </w:trPr>
        <w:tc>
          <w:tcPr>
            <w:tcW w:w="45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 loss recognized in other comprehensive</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(“OCI”)</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2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(10,392)</w:t>
            </w:r>
          </w:p>
        </w:tc>
      </w:tr>
      <w:tr>
        <w:trPr>
          <w:trHeight w:val="186"/>
        </w:trPr>
        <w:tc>
          <w:tcPr>
            <w:tcW w:w="45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Loss recognized in unaudited consolidated statements of</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r>
    </w:tbl>
    <w:p>
      <w:pPr>
        <w:spacing w:after="0" w:line="200" w:lineRule="exact"/>
        <w:rPr>
          <w:sz w:val="20"/>
          <w:szCs w:val="20"/>
          <w:color w:val="auto"/>
        </w:rPr>
      </w:pPr>
    </w:p>
    <w:p>
      <w:pPr>
        <w:sectPr>
          <w:pgSz w:w="11900" w:h="16838" w:orient="portrait"/>
          <w:cols w:equalWidth="0" w:num="1">
            <w:col w:w="11140"/>
          </w:cols>
          <w:pgMar w:left="320" w:top="11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312"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9"/>
        </w:trPr>
        <w:tc>
          <w:tcPr>
            <w:tcW w:w="5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60" w:type="dxa"/>
            <w:vAlign w:val="bottom"/>
            <w:tcBorders>
              <w:bottom w:val="single" w:sz="8" w:color="auto"/>
            </w:tcBorders>
          </w:tcPr>
          <w:p>
            <w:pPr>
              <w:spacing w:after="0"/>
              <w:rPr>
                <w:sz w:val="19"/>
                <w:szCs w:val="19"/>
                <w:color w:val="auto"/>
              </w:rPr>
            </w:pPr>
          </w:p>
        </w:tc>
      </w:tr>
      <w:tr>
        <w:trPr>
          <w:trHeight w:val="169"/>
        </w:trPr>
        <w:tc>
          <w:tcPr>
            <w:tcW w:w="5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b w:val="1"/>
                <w:bCs w:val="1"/>
                <w:color w:val="auto"/>
                <w:w w:val="99"/>
              </w:rPr>
              <w:t>As per unaudited</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right="35"/>
              <w:spacing w:after="0" w:line="169" w:lineRule="exact"/>
              <w:rPr>
                <w:sz w:val="20"/>
                <w:szCs w:val="20"/>
                <w:color w:val="auto"/>
              </w:rPr>
            </w:pPr>
            <w:r>
              <w:rPr>
                <w:rFonts w:ascii="Times New Roman" w:cs="Times New Roman" w:eastAsia="Times New Roman" w:hAnsi="Times New Roman"/>
                <w:sz w:val="16"/>
                <w:szCs w:val="16"/>
                <w:b w:val="1"/>
                <w:bCs w:val="1"/>
                <w:color w:val="auto"/>
              </w:rPr>
              <w:t>Gain/(loss) on</w:t>
            </w:r>
          </w:p>
        </w:tc>
        <w:tc>
          <w:tcPr>
            <w:tcW w:w="12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6"/>
                <w:szCs w:val="16"/>
                <w:b w:val="1"/>
                <w:bCs w:val="1"/>
                <w:color w:val="auto"/>
                <w:w w:val="99"/>
              </w:rPr>
              <w:t>As per unaudited</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right="54"/>
              <w:spacing w:after="0" w:line="169" w:lineRule="exact"/>
              <w:rPr>
                <w:sz w:val="20"/>
                <w:szCs w:val="20"/>
                <w:color w:val="auto"/>
              </w:rPr>
            </w:pPr>
            <w:r>
              <w:rPr>
                <w:rFonts w:ascii="Times New Roman" w:cs="Times New Roman" w:eastAsia="Times New Roman" w:hAnsi="Times New Roman"/>
                <w:sz w:val="16"/>
                <w:szCs w:val="16"/>
                <w:b w:val="1"/>
                <w:bCs w:val="1"/>
                <w:color w:val="auto"/>
                <w:w w:val="99"/>
              </w:rPr>
              <w:t>Gain/(loss) on</w:t>
            </w:r>
          </w:p>
        </w:tc>
      </w:tr>
      <w:tr>
        <w:trPr>
          <w:trHeight w:val="160"/>
        </w:trPr>
        <w:tc>
          <w:tcPr>
            <w:tcW w:w="5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35"/>
              <w:spacing w:after="0" w:line="160" w:lineRule="exact"/>
              <w:rPr>
                <w:sz w:val="20"/>
                <w:szCs w:val="20"/>
                <w:color w:val="auto"/>
              </w:rPr>
            </w:pPr>
            <w:r>
              <w:rPr>
                <w:rFonts w:ascii="Times New Roman" w:cs="Times New Roman" w:eastAsia="Times New Roman" w:hAnsi="Times New Roman"/>
                <w:sz w:val="16"/>
                <w:szCs w:val="16"/>
                <w:b w:val="1"/>
                <w:bCs w:val="1"/>
                <w:color w:val="auto"/>
                <w:w w:val="99"/>
              </w:rPr>
              <w:t>derivative</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34"/>
              <w:spacing w:after="0" w:line="160" w:lineRule="exact"/>
              <w:rPr>
                <w:sz w:val="20"/>
                <w:szCs w:val="20"/>
                <w:color w:val="auto"/>
              </w:rPr>
            </w:pPr>
            <w:r>
              <w:rPr>
                <w:rFonts w:ascii="Times New Roman" w:cs="Times New Roman" w:eastAsia="Times New Roman" w:hAnsi="Times New Roman"/>
                <w:sz w:val="16"/>
                <w:szCs w:val="16"/>
                <w:b w:val="1"/>
                <w:bCs w:val="1"/>
                <w:color w:val="auto"/>
                <w:w w:val="99"/>
              </w:rPr>
              <w:t>derivative</w:t>
            </w:r>
          </w:p>
        </w:tc>
      </w:tr>
      <w:tr>
        <w:trPr>
          <w:trHeight w:val="160"/>
        </w:trPr>
        <w:tc>
          <w:tcPr>
            <w:tcW w:w="5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35"/>
              <w:spacing w:after="0" w:line="160"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34"/>
              <w:spacing w:after="0" w:line="160" w:lineRule="exact"/>
              <w:rPr>
                <w:sz w:val="20"/>
                <w:szCs w:val="20"/>
                <w:color w:val="auto"/>
              </w:rPr>
            </w:pPr>
            <w:r>
              <w:rPr>
                <w:rFonts w:ascii="Times New Roman" w:cs="Times New Roman" w:eastAsia="Times New Roman" w:hAnsi="Times New Roman"/>
                <w:sz w:val="16"/>
                <w:szCs w:val="16"/>
                <w:b w:val="1"/>
                <w:bCs w:val="1"/>
                <w:color w:val="auto"/>
              </w:rPr>
              <w:t>financial</w:t>
            </w:r>
          </w:p>
        </w:tc>
      </w:tr>
      <w:tr>
        <w:trPr>
          <w:trHeight w:val="211"/>
        </w:trPr>
        <w:tc>
          <w:tcPr>
            <w:tcW w:w="5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instruments</w:t>
            </w: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6"/>
        </w:trPr>
        <w:tc>
          <w:tcPr>
            <w:tcW w:w="522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gain/(loss) was reclassified from AOCI</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3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5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186"/>
        </w:trPr>
        <w:tc>
          <w:tcPr>
            <w:tcW w:w="522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3"/>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gain/(loss) was recognized</w:t>
            </w:r>
          </w:p>
        </w:tc>
        <w:tc>
          <w:tcPr>
            <w:tcW w:w="16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r>
      <w:tr>
        <w:trPr>
          <w:trHeight w:val="24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firstLine="399"/>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gridSpan w:val="7"/>
            <w:shd w:val="clear" w:color="auto" w:fill="CCEEFF"/>
          </w:tcPr>
          <w:p>
            <w:pPr>
              <w:jc w:val="center"/>
              <w:ind w:right="140"/>
              <w:spacing w:after="0" w:line="169" w:lineRule="exact"/>
              <w:rPr>
                <w:sz w:val="20"/>
                <w:szCs w:val="20"/>
                <w:color w:val="auto"/>
              </w:rPr>
            </w:pPr>
            <w:r>
              <w:rPr>
                <w:rFonts w:ascii="Times New Roman" w:cs="Times New Roman" w:eastAsia="Times New Roman" w:hAnsi="Times New Roman"/>
                <w:sz w:val="16"/>
                <w:szCs w:val="16"/>
                <w:b w:val="1"/>
                <w:bCs w:val="1"/>
                <w:color w:val="auto"/>
                <w:w w:val="99"/>
              </w:rPr>
              <w:t>As per unaudited</w:t>
            </w:r>
          </w:p>
        </w:tc>
        <w:tc>
          <w:tcPr>
            <w:tcW w:w="1060" w:type="dxa"/>
            <w:vAlign w:val="bottom"/>
            <w:gridSpan w:val="3"/>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Gain/(loss) on</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6"/>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As per unaudited</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right="33"/>
              <w:spacing w:after="0" w:line="169" w:lineRule="exact"/>
              <w:rPr>
                <w:sz w:val="20"/>
                <w:szCs w:val="20"/>
                <w:color w:val="auto"/>
              </w:rPr>
            </w:pPr>
            <w:r>
              <w:rPr>
                <w:rFonts w:ascii="Times New Roman" w:cs="Times New Roman" w:eastAsia="Times New Roman" w:hAnsi="Times New Roman"/>
                <w:sz w:val="16"/>
                <w:szCs w:val="16"/>
                <w:b w:val="1"/>
                <w:bCs w:val="1"/>
                <w:color w:val="auto"/>
                <w:w w:val="99"/>
              </w:rPr>
              <w:t>Gain/(loss) 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derivative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w w:val="99"/>
              </w:rPr>
              <w:t>derivative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2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4560" w:type="dxa"/>
            <w:vAlign w:val="bottom"/>
            <w:gridSpan w:val="5"/>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w w:val="98"/>
              </w:rPr>
              <w:t>Location in unaudited consolidated statements of income where</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gain/(loss) was reclassified from AOCI</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1,799,073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1,545,064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953,626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223,359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185,217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127,754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42,740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0" w:type="dxa"/>
            <w:vAlign w:val="bottom"/>
          </w:tcPr>
          <w:p>
            <w:pPr>
              <w:spacing w:after="0"/>
              <w:rPr>
                <w:sz w:val="20"/>
                <w:szCs w:val="20"/>
                <w:color w:val="auto"/>
              </w:rPr>
            </w:pPr>
          </w:p>
        </w:tc>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4560" w:type="dxa"/>
            <w:vAlign w:val="bottom"/>
            <w:gridSpan w:val="5"/>
          </w:tcPr>
          <w:p>
            <w:pPr>
              <w:ind w:left="20"/>
              <w:spacing w:after="0" w:line="195" w:lineRule="exact"/>
              <w:rPr>
                <w:sz w:val="20"/>
                <w:szCs w:val="20"/>
                <w:color w:val="auto"/>
              </w:rPr>
            </w:pPr>
            <w:r>
              <w:rPr>
                <w:rFonts w:ascii="Times New Roman" w:cs="Times New Roman" w:eastAsia="Times New Roman" w:hAnsi="Times New Roman"/>
                <w:sz w:val="18"/>
                <w:szCs w:val="18"/>
                <w:color w:val="auto"/>
                <w:w w:val="98"/>
              </w:rPr>
              <w:t>Location in unaudited consolidated statements of income where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gain/(loss) was recognized</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Borrowings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496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debt position: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Revolving credit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9" w:lineRule="exact"/>
              <w:rPr>
                <w:sz w:val="20"/>
                <w:szCs w:val="20"/>
                <w:color w:val="auto"/>
              </w:rPr>
            </w:pPr>
            <w:r>
              <w:rPr>
                <w:rFonts w:ascii="Times New Roman" w:cs="Times New Roman" w:eastAsia="Times New Roman" w:hAnsi="Times New Roman"/>
                <w:sz w:val="16"/>
                <w:szCs w:val="16"/>
                <w:b w:val="1"/>
                <w:bCs w:val="1"/>
                <w:color w:val="auto"/>
                <w:w w:val="94"/>
              </w:rPr>
              <w:t>Term loan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shd w:val="clear" w:color="auto" w:fill="CCEEFF"/>
          </w:tcPr>
          <w:p>
            <w:pPr>
              <w:spacing w:after="0"/>
              <w:rPr>
                <w:sz w:val="14"/>
                <w:szCs w:val="14"/>
                <w:color w:val="auto"/>
              </w:rPr>
            </w:pPr>
          </w:p>
        </w:tc>
        <w:tc>
          <w:tcPr>
            <w:tcW w:w="1340" w:type="dxa"/>
            <w:vAlign w:val="bottom"/>
            <w:gridSpan w:val="5"/>
            <w:shd w:val="clear" w:color="auto" w:fill="CCEEFF"/>
          </w:tcPr>
          <w:p>
            <w:pPr>
              <w:ind w:left="80"/>
              <w:spacing w:after="0" w:line="169" w:lineRule="exact"/>
              <w:rPr>
                <w:sz w:val="20"/>
                <w:szCs w:val="20"/>
                <w:color w:val="auto"/>
              </w:rPr>
            </w:pPr>
            <w:r>
              <w:rPr>
                <w:rFonts w:ascii="Times New Roman" w:cs="Times New Roman" w:eastAsia="Times New Roman" w:hAnsi="Times New Roman"/>
                <w:sz w:val="16"/>
                <w:szCs w:val="16"/>
                <w:b w:val="1"/>
                <w:bCs w:val="1"/>
                <w:color w:val="auto"/>
              </w:rPr>
              <w:t>Revolving credit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80" w:type="dxa"/>
            <w:vAlign w:val="bottom"/>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w w:val="93"/>
              </w:rPr>
              <w:t>facility</w:t>
            </w:r>
          </w:p>
        </w:tc>
        <w:tc>
          <w:tcPr>
            <w:tcW w:w="80" w:type="dxa"/>
            <w:vAlign w:val="bottom"/>
            <w:vMerge w:val="restart"/>
            <w:shd w:val="clear" w:color="auto" w:fill="CCEEFF"/>
          </w:tcPr>
          <w:p>
            <w:pPr>
              <w:spacing w:after="0"/>
              <w:rPr>
                <w:sz w:val="11"/>
                <w:szCs w:val="11"/>
                <w:color w:val="auto"/>
              </w:rPr>
            </w:pPr>
          </w:p>
        </w:tc>
        <w:tc>
          <w:tcPr>
            <w:tcW w:w="126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7"/>
              </w:rPr>
              <w:t>Term loan facility</w:t>
            </w:r>
          </w:p>
        </w:tc>
        <w:tc>
          <w:tcPr>
            <w:tcW w:w="60" w:type="dxa"/>
            <w:vAlign w:val="bottom"/>
            <w:vMerge w:val="restart"/>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294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gridSpan w:val="2"/>
            <w:vMerge w:val="continue"/>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1260" w:type="dxa"/>
            <w:vAlign w:val="bottom"/>
            <w:tcBorders>
              <w:bottom w:val="single" w:sz="8" w:color="auto"/>
            </w:tcBorders>
            <w:gridSpan w:val="4"/>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Current portion of long-term borrowings $</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20"/>
                <w:szCs w:val="20"/>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2940" w:type="dxa"/>
            <w:vAlign w:val="bottom"/>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rPr>
              <w:t>Current portion of long-term</w:t>
            </w: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400" w:type="dxa"/>
            <w:vAlign w:val="bottom"/>
          </w:tcPr>
          <w:p>
            <w:pPr>
              <w:spacing w:after="0"/>
              <w:rPr>
                <w:sz w:val="23"/>
                <w:szCs w:val="23"/>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9,703</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0" w:type="dxa"/>
            <w:vAlign w:val="bottom"/>
          </w:tcPr>
          <w:p>
            <w:pPr>
              <w:spacing w:after="0"/>
              <w:rPr>
                <w:sz w:val="23"/>
                <w:szCs w:val="23"/>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387,500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293,750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0" w:type="dxa"/>
            <w:vAlign w:val="bottom"/>
          </w:tcPr>
          <w:p>
            <w:pPr>
              <w:spacing w:after="0"/>
              <w:rPr>
                <w:sz w:val="23"/>
                <w:szCs w:val="23"/>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386,346</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501,346</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88,712</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0" w:type="dxa"/>
            <w:vAlign w:val="bottom"/>
          </w:tcPr>
          <w:p>
            <w:pPr>
              <w:spacing w:after="0"/>
              <w:rPr>
                <w:sz w:val="21"/>
                <w:szCs w:val="21"/>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396,049</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511,049</w:t>
            </w: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93,598</w:t>
            </w:r>
          </w:p>
        </w:tc>
        <w:tc>
          <w:tcPr>
            <w:tcW w:w="6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Unamortized debt issuance costs for the Company’s revolving credit facility of $2,317 and $507 as of September 30, 2026 and December 31, 2025, respectively, are presented under “Other current assets” and “Other assets,” as applicable in the consolidated balance sheets.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0"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On August 18, 2026, the Company entered into a Revolving Credit and Term Loan Credit Agreement (the “2026 Credit Agreement”) with certain lenders and PNC Bank, National Association, as administrative agent. The 2026 Credit Agreement provides for (i) a $600,000 revolving credit facility (the “Revolving Credit Facility”), and (ii) a $400,000 term loan facility (the “Term Loan Facility,” and together with the Revolving Credit Facility, the “Credit Facilities”). Each of the Credit Facilities matures on August 18, 2031.</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Subject to specified approvals and conditions, the 2026 Credit Agreement permits the Company to increase the aggregate revolving commitments and/or obtain incremental term loans, in an aggregate amount not to exceed the greater of $470,000 and 100% of the Company's EBITDA, less prior increases, plus additional amounts subject to compliance with certain leverage requirements.</w:t>
      </w:r>
    </w:p>
    <w:p>
      <w:pPr>
        <w:spacing w:after="0" w:line="20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Borrowings under the 2026 Credit Agreement bear interest, at the Company’s option, at (a) Term SOFR plus an applicable margin ranging from 1.00% to 1.75% per annum, (b) Daily Simple SOFR plus an applicable margin ranging from 1.00% to 1.75% per annum, or (c) the Alternate Base Rate plus an applicable margin ranging from 0.00% to 0.75% per annum. In each case, the applicable margin is determined based on the Company’s total net leverage ratio. The Company is also required to pay a commitment fee ranging from 0.125% to 0.25% per annum on the unused portion of the Revolving Credit Facility, based on the Company’s total net leverage ratio.</w:t>
      </w:r>
    </w:p>
    <w:p>
      <w:pPr>
        <w:spacing w:after="0" w:line="212"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The Company used proceeds from the Credit Facilities to repay all outstanding obligations under its First Amendment to Amended and Restated Credit Agreement entered into in August 2024 (the “2024 Credit Agreement”) with Citibank, N.A., in an aggregate principal amount and accrued interest of $532,678. The 2024 Credit Agreement was terminated, and no early termination penalties or prepayment fees were paid in connection with the termination. The Company also expects to use the proceeds from the Credit Facilities for working capital, general corporate purposes, permitted acquisitions and share buybacks. The Term Loan Facility amortizes in quarterly installments through maturity, with the remaining outstanding balance due on August 18, 2031.</w:t>
      </w:r>
    </w:p>
    <w:p>
      <w:pPr>
        <w:spacing w:after="0" w:line="195"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obligations under the 2026 Credit Agreement are guaranteed by the Company's wholly owned material domestic subsidiaries and are secured by liens on substantially all of the assets of the Company and the guarantors and pledges of the equity interests in certain subsidiaries, in each case subject to certain exceptions and exclusions. The 2026 Credit Agreement contains customary affirmative and negative covenants, including, but not limited to, restrictions on the Company's ability to incur indebtedness, create liens, make certain investments, pay dividends and other distributions, enter into certain mergers, consolidations, liquidations or acquisitions, dispose of certain assets or subsidiaries, and requires the Company to maintain a minimum interest coverage ratio of 3.00 to 1.00 and a maximum total net leverage ratio of 3.50 to 1.00, in each case measured as of the last day of each fiscal quarter for the four consecutive fiscal quarters then ended. The maximum total net leverage ratio may be increased to 4.00 to 1.00 for four consecutive fiscal quarters following certain qualifying material acquisitions. The 2026 Credit Agreement also contains customary events of default.</w:t>
      </w: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effective interest rates of the revolving credit facility and the term loan facility are as follows:</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5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1560" w:type="dxa"/>
            <w:vAlign w:val="bottom"/>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4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287" w:lineRule="exact"/>
        <w:rPr>
          <w:sz w:val="20"/>
          <w:szCs w:val="20"/>
          <w:color w:val="auto"/>
        </w:rPr>
      </w:pPr>
    </w:p>
    <w:p>
      <w:pPr>
        <w:ind w:right="20" w:firstLine="399"/>
        <w:spacing w:after="0" w:line="260" w:lineRule="auto"/>
        <w:rPr>
          <w:sz w:val="20"/>
          <w:szCs w:val="20"/>
          <w:color w:val="auto"/>
        </w:rPr>
      </w:pPr>
      <w:r>
        <w:rPr>
          <w:rFonts w:ascii="Times New Roman" w:cs="Times New Roman" w:eastAsia="Times New Roman" w:hAnsi="Times New Roman"/>
          <w:sz w:val="18"/>
          <w:szCs w:val="18"/>
          <w:color w:val="auto"/>
        </w:rPr>
        <w:t>As of September 30, 2026 and December 31, 2025, the Company was in compliance with the financial covenants under the 2026 Credit Agreement and the 2024 Credit Agreement,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maturity profile of the Company’s long-term borrowings, excluding debt issuance costs, outstanding as of September 30, 2026 was as follows:</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6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Term loan facility</w:t>
            </w:r>
          </w:p>
        </w:tc>
      </w:tr>
      <w:tr>
        <w:trPr>
          <w:trHeight w:val="23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(October 1 - December 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20"/>
                <w:szCs w:val="20"/>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330,000</w:t>
            </w:r>
          </w:p>
        </w:tc>
      </w:tr>
      <w:tr>
        <w:trPr>
          <w:trHeight w:val="25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34"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to third parties primarily for facility leases. As of September 30, 2026 and December 31, 2025, the Company had outstanding letters of credit of $1,137 and $1,598, respectively, that were not recognized in the consolidated balance sheets.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36"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The Company purchased shares of its common stock from certain employees in connection with withholding tax payments related to the vesting of restricted stock units and performance-based restricted stock units, as below:</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Shares repurchased</w:t>
            </w:r>
          </w:p>
        </w:tc>
        <w:tc>
          <w:tcPr>
            <w:tcW w:w="100" w:type="dxa"/>
            <w:vAlign w:val="bottom"/>
            <w:vMerge w:val="restart"/>
          </w:tcPr>
          <w:p>
            <w:pPr>
              <w:spacing w:after="0"/>
              <w:rPr>
                <w:sz w:val="16"/>
                <w:szCs w:val="16"/>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vMerge w:val="restart"/>
          </w:tcPr>
          <w:p>
            <w:pPr>
              <w:spacing w:after="0"/>
              <w:rPr>
                <w:sz w:val="16"/>
                <w:szCs w:val="16"/>
                <w:color w:val="auto"/>
              </w:rPr>
            </w:pPr>
          </w:p>
        </w:tc>
        <w:tc>
          <w:tcPr>
            <w:tcW w:w="244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Weighted average purchase price</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733"/>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per share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2026</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6"/>
        </w:trPr>
        <w:tc>
          <w:tcPr>
            <w:tcW w:w="5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129,695</w:t>
            </w:r>
          </w:p>
        </w:tc>
        <w:tc>
          <w:tcPr>
            <w:tcW w:w="100" w:type="dxa"/>
            <w:vAlign w:val="bottom"/>
          </w:tcPr>
          <w:p>
            <w:pPr>
              <w:spacing w:after="0"/>
              <w:rPr>
                <w:sz w:val="20"/>
                <w:szCs w:val="20"/>
                <w:color w:val="auto"/>
              </w:rPr>
            </w:pP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3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firstLine="405"/>
        <w:spacing w:after="0" w:line="260"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purchase price per share is based on the closing price of the Company’s common stock on the Nasdaq Global Select Market on the trading day prior to the applicable vesting date of the restricted stock units.</w:t>
      </w:r>
    </w:p>
    <w:p>
      <w:pPr>
        <w:spacing w:after="0" w:line="190"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$500,000 (excluding excise tax) common stock repurchase program beginning March 1, 2024 (the “2024 Repurchase Program”), which was terminated effective February 28, 2026.</w:t>
      </w:r>
    </w:p>
    <w:p>
      <w:pPr>
        <w:spacing w:after="0" w:line="190"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On February 19, 2026, the Company’s board of directors authorized a $500,000 (excluding excise tax) common stock repurchase program effective February 28, 2026 (the “2026 Repurchase Program”), which replaced the 2024 repurchase program.</w:t>
      </w:r>
    </w:p>
    <w:p>
      <w:pPr>
        <w:spacing w:after="0" w:line="190" w:lineRule="exact"/>
        <w:rPr>
          <w:sz w:val="20"/>
          <w:szCs w:val="20"/>
          <w:color w:val="auto"/>
        </w:rPr>
      </w:pPr>
    </w:p>
    <w:p>
      <w:pPr>
        <w:jc w:val="both"/>
        <w:ind w:firstLine="399"/>
        <w:spacing w:after="0" w:line="235" w:lineRule="auto"/>
        <w:rPr>
          <w:sz w:val="20"/>
          <w:szCs w:val="20"/>
          <w:color w:val="auto"/>
        </w:rPr>
      </w:pPr>
      <w:r>
        <w:rPr>
          <w:rFonts w:ascii="Times New Roman" w:cs="Times New Roman" w:eastAsia="Times New Roman" w:hAnsi="Times New Roman"/>
          <w:sz w:val="18"/>
          <w:szCs w:val="18"/>
          <w:color w:val="auto"/>
        </w:rPr>
        <w:t>On March 16, 2026, the Company entered into the 2026 ASR Agreement with Morgan Stanley to repurchase shares of its common stock for an aggregate purchase price of $125,000, as part of the Company’s 2026 Repurchase Program. Upon payment of the aggregate purchase price of $125,000, the Company received an initial delivery of 3,346,720 shares of its common stock at an initial price of $29.88 per share, representing 80% of the aggregate purchase price. The Company funded the repurchase with available cash on hand and borrowing from its revolving credit facility. The 2026 ASR Agreement was accounted for as a treasury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stock transaction and forward stock purchase agreement indexed to the Company’s common stock. The forward stock purchase agreement was classified as an equity instrument under ASC Topic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and deemed to have a fair value of zero at the effective date. The prepayment of $25,000 was initially recorded in additional paid-in capital, which reflected the pending settlement of the 2026 ASR Agreement. Under the terms of the 2026 ASR Agreement, the ultimate number of shares of common stock that the Company repurchased was based on the average of the daily volume-weighted average prices of the common stock during the term of the 2026 ASR Agreement, less a discount and subject to adjustments pursuant to the terms and conditions of the 2026 ASR Agreement.</w:t>
      </w:r>
    </w:p>
    <w:p>
      <w:pPr>
        <w:spacing w:after="0" w:line="210"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On May 13, 2026, upon final settlement of the 2026 ASR Agreement, the Company received 799,960 additional shares of its common stock based on a daily volume-weighted average price of $30.14 per share during the term of the 2026 ASR Agreement. The additional shares received were recorded as treasury stock at a fair market value of $27.16 per share.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Under the Company’s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89"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The Company purchased shares of its common stock, for a total consideration including commissions but excluding excise tax, under its repurchase programs, as below:</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60" w:type="dxa"/>
            <w:vAlign w:val="bottom"/>
          </w:tcPr>
          <w:p>
            <w:pPr>
              <w:spacing w:after="0"/>
              <w:rPr>
                <w:sz w:val="16"/>
                <w:szCs w:val="16"/>
                <w:color w:val="auto"/>
              </w:rPr>
            </w:pPr>
          </w:p>
        </w:tc>
        <w:tc>
          <w:tcPr>
            <w:tcW w:w="21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w w:val="99"/>
              </w:rPr>
              <w:t>Weighted average purchase</w:t>
            </w: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vMerge w:val="restart"/>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0" w:type="dxa"/>
            <w:vAlign w:val="bottom"/>
          </w:tcPr>
          <w:p>
            <w:pPr>
              <w:spacing w:after="0"/>
              <w:rPr>
                <w:sz w:val="1"/>
                <w:szCs w:val="1"/>
                <w:color w:val="auto"/>
              </w:rPr>
            </w:pPr>
          </w:p>
        </w:tc>
      </w:tr>
      <w:tr>
        <w:trPr>
          <w:trHeight w:val="84"/>
        </w:trPr>
        <w:tc>
          <w:tcPr>
            <w:tcW w:w="540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764,015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3,074,076</w:t>
            </w:r>
          </w:p>
        </w:tc>
        <w:tc>
          <w:tcPr>
            <w:tcW w:w="100" w:type="dxa"/>
            <w:vAlign w:val="bottom"/>
          </w:tcPr>
          <w:p>
            <w:pPr>
              <w:spacing w:after="0"/>
              <w:rPr>
                <w:sz w:val="20"/>
                <w:szCs w:val="20"/>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160"/>
        </w:trPr>
        <w:tc>
          <w:tcPr>
            <w:tcW w:w="5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6,565,595</w:t>
            </w:r>
          </w:p>
        </w:tc>
        <w:tc>
          <w:tcPr>
            <w:tcW w:w="100" w:type="dxa"/>
            <w:vAlign w:val="bottom"/>
          </w:tcPr>
          <w:p>
            <w:pPr>
              <w:spacing w:after="0"/>
              <w:rPr>
                <w:sz w:val="20"/>
                <w:szCs w:val="20"/>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3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4,155,289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Company’s board of directors designates that these shares be retired or used for other purposes.</w:t>
      </w:r>
    </w:p>
    <w:p>
      <w:pPr>
        <w:spacing w:after="0" w:line="190"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 xml:space="preserve">Pursuant to the Inflation Reduction Act, the Company is required to pay a 1% excise tax on the fair market value of each share of common stock repurchased, net of stock issuances. The Company recognized excise tax of $245 and $694, during the three months ended September 30, 2026 and 2025, </w:t>
      </w:r>
      <w:r>
        <w:rPr>
          <w:rFonts w:ascii="Times New Roman" w:cs="Times New Roman" w:eastAsia="Times New Roman" w:hAnsi="Times New Roman"/>
          <w:sz w:val="16"/>
          <w:szCs w:val="16"/>
          <w:color w:val="auto"/>
        </w:rPr>
        <w:t xml:space="preserve">respectively, and </w:t>
      </w:r>
      <w:r>
        <w:rPr>
          <w:rFonts w:ascii="Times New Roman" w:cs="Times New Roman" w:eastAsia="Times New Roman" w:hAnsi="Times New Roman"/>
          <w:sz w:val="17"/>
          <w:szCs w:val="17"/>
          <w:color w:val="auto"/>
        </w:rPr>
        <w:t>$1,388 and $665, during the nine months ended September 30, 2026 and 2025,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234"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The Company maintains a Gratuity Plan in India (the “India Plan”) and a retirement benefit plan in the Philippines (the “Philippines Plan”). The India Plan is partially funded whereas the Philippines Plan is unfunded. The Company expects to earn a return of approximately 7.5% per annum on the India Plan for the year ending on December 31, 2026.</w:t>
      </w:r>
    </w:p>
    <w:p>
      <w:pPr>
        <w:spacing w:after="0" w:line="268"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as of December 31, 2025</w:t>
            </w: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w:t>
            </w:r>
          </w:p>
        </w:tc>
      </w:tr>
      <w:tr>
        <w:trPr>
          <w:trHeight w:val="239"/>
        </w:trPr>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Actual return</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9"/>
        </w:trPr>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adjustments</w:t>
            </w: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13,566</w:t>
            </w:r>
          </w:p>
        </w:tc>
      </w:tr>
      <w:tr>
        <w:trPr>
          <w:trHeight w:val="239"/>
        </w:trPr>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39"/>
        </w:trPr>
        <w:tc>
          <w:tcPr>
            <w:tcW w:w="9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58"/>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as of September 30, 2026</w:t>
            </w: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2025, the implementation of the new Labor Codes in India resulted in the recognition of prior service cost in OCI. During March 2026, following the implementation of a revised salary structure, the Company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performed an updated actuarial valuation and recognized additional prior service cost of $1,177 in OCI. The prior service cost recognized is being amortized over the estimated remaining service period of the defined benefit obligation.</w:t>
      </w:r>
    </w:p>
    <w:p>
      <w:pPr>
        <w:spacing w:after="0" w:line="190" w:lineRule="exact"/>
        <w:rPr>
          <w:sz w:val="20"/>
          <w:szCs w:val="20"/>
          <w:color w:val="auto"/>
        </w:rPr>
      </w:pPr>
    </w:p>
    <w:p>
      <w:pPr>
        <w:jc w:val="both"/>
        <w:ind w:right="20" w:firstLine="399"/>
        <w:spacing w:after="0" w:line="273" w:lineRule="auto"/>
        <w:rPr>
          <w:sz w:val="20"/>
          <w:szCs w:val="20"/>
          <w:color w:val="auto"/>
        </w:rPr>
      </w:pPr>
      <w:r>
        <w:rPr>
          <w:rFonts w:ascii="Times New Roman" w:cs="Times New Roman" w:eastAsia="Times New Roman" w:hAnsi="Times New Roman"/>
          <w:sz w:val="18"/>
          <w:szCs w:val="18"/>
          <w:color w:val="auto"/>
        </w:rPr>
        <w:t>Components of net periodic benefit costs recognized in unaudited consolidated statements of income and retirement benefits reclassified from AOCI, were as follows:</w:t>
      </w:r>
    </w:p>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8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50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retirement benefits from AOCI:</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4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5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retirement benefits from AOCI, gross of tax</w:t>
            </w:r>
          </w:p>
        </w:tc>
        <w:tc>
          <w:tcPr>
            <w:tcW w:w="84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w:t>
            </w: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retirement benefits from AOCI, net of tax</w:t>
            </w:r>
          </w:p>
        </w:tc>
        <w:tc>
          <w:tcPr>
            <w:tcW w:w="84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contributions to various defined contribution plans were as follows:</w:t>
      </w:r>
    </w:p>
    <w:p>
      <w:pPr>
        <w:spacing w:after="0" w:line="53"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00" w:type="dxa"/>
            <w:vAlign w:val="bottom"/>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2"/>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the 401(k) Plans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186"/>
        </w:trPr>
        <w:tc>
          <w:tcPr>
            <w:tcW w:w="5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Contributions to the defined contribution plans in foreign subsidiaries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Company</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8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247"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with options to extend or terminate before expiration date. The Company finances its use of certain motor vehicles, leasehold improvements and other equipment under various lease arrangements provided by financial institutions. The lease agreements do not contain any covenants to impose any restrictions except for market-standard practice for similar lease arrangements.</w:t>
      </w:r>
    </w:p>
    <w:p>
      <w:pPr>
        <w:spacing w:after="0" w:line="200"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18"/>
          <w:szCs w:val="18"/>
          <w:color w:val="auto"/>
        </w:rPr>
        <w:t xml:space="preserve">The Company had performed an evaluation of its contracts with suppliers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had determined that, except for leases for office facilities, motor vehicles and other equipment as described above, none of the Company’s contracts contain a lease.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unaudited consolidated statements of income, are as follows:</w:t>
      </w: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40" w:type="dxa"/>
            <w:vAlign w:val="bottom"/>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44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on underlying ROU assets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9"/>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3"/>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9"/>
        </w:trPr>
        <w:tc>
          <w:tcPr>
            <w:tcW w:w="448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Operating lease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3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26,499</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22,962</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Includes short-term leases, which are immaterial.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p>
      <w:pPr>
        <w:spacing w:after="0" w:line="14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5027930</wp:posOffset>
            </wp:positionH>
            <wp:positionV relativeFrom="paragraph">
              <wp:posOffset>19685</wp:posOffset>
            </wp:positionV>
            <wp:extent cx="2043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spacing w:after="0" w:line="35" w:lineRule="exact"/>
        <w:rPr>
          <w:sz w:val="20"/>
          <w:szCs w:val="20"/>
          <w:color w:val="auto"/>
        </w:rPr>
      </w:pPr>
    </w:p>
    <w:p>
      <w:pPr>
        <w:ind w:left="8520"/>
        <w:spacing w:after="0"/>
        <w:tabs>
          <w:tab w:leader="none" w:pos="1016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6"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amounts included in the measurement of lease liabilities:</w:t>
            </w:r>
          </w:p>
        </w:tc>
        <w:tc>
          <w:tcPr>
            <w:tcW w:w="4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18,865</w:t>
            </w:r>
          </w:p>
        </w:tc>
        <w:tc>
          <w:tcPr>
            <w:tcW w:w="100" w:type="dxa"/>
            <w:vAlign w:val="bottom"/>
          </w:tcPr>
          <w:p>
            <w:pPr>
              <w:spacing w:after="0"/>
              <w:rPr>
                <w:sz w:val="20"/>
                <w:szCs w:val="20"/>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18,895</w:t>
            </w:r>
          </w:p>
        </w:tc>
      </w:tr>
      <w:tr>
        <w:trPr>
          <w:trHeight w:val="23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r>
      <w:tr>
        <w:trPr>
          <w:trHeight w:val="23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14,197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14,996</w:t>
            </w: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0"/>
                <w:szCs w:val="20"/>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733</w:t>
            </w:r>
          </w:p>
        </w:tc>
      </w:tr>
      <w:tr>
        <w:trPr>
          <w:trHeight w:val="23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w:t>
            </w:r>
          </w:p>
        </w:tc>
        <w:tc>
          <w:tcPr>
            <w:tcW w:w="480" w:type="dxa"/>
            <w:vAlign w:val="bottom"/>
          </w:tcPr>
          <w:p>
            <w:pPr>
              <w:spacing w:after="0"/>
              <w:rPr>
                <w:sz w:val="20"/>
                <w:szCs w:val="20"/>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2.6 years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years</w:t>
            </w:r>
          </w:p>
        </w:tc>
      </w:tr>
      <w:tr>
        <w:trPr>
          <w:trHeight w:val="23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w:t>
            </w:r>
          </w:p>
        </w:tc>
        <w:tc>
          <w:tcPr>
            <w:tcW w:w="4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6.4 years</w:t>
            </w: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years</w:t>
            </w: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w:t>
            </w: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393"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in lease liabilities by $4,797 and $5,766, during the nine months ended September 30, 2026 and 2025, respectively, with a corresponding adjustment to ROU assets.</w:t>
      </w:r>
    </w:p>
    <w:p>
      <w:pPr>
        <w:spacing w:after="0" w:line="209"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As of September 30, 2026 and December 31, 2025, the Company did not have any significant leases that have not yet commenced but that create significant rights and obligations for the Company.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September 30, 2026 were as follows:</w:t>
      </w:r>
    </w:p>
    <w:p>
      <w:pPr>
        <w:spacing w:after="0" w:line="200" w:lineRule="exact"/>
        <w:rPr>
          <w:sz w:val="20"/>
          <w:szCs w:val="20"/>
          <w:color w:val="auto"/>
        </w:rPr>
      </w:pPr>
    </w:p>
    <w:p>
      <w:pPr>
        <w:spacing w:after="0" w:line="315"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18"/>
                <w:szCs w:val="18"/>
                <w:color w:val="auto"/>
              </w:rPr>
            </w:pPr>
          </w:p>
        </w:tc>
        <w:tc>
          <w:tcPr>
            <w:tcW w:w="15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3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(October 1 - December 31)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3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3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5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234"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76"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The effective tax rate for the three months ended September 30, 2026 was 20.7%, a decrease from 22.1% for the three months ended September 30, 2025. The Company recorded income tax expense of $17,939 and $16,456 for the three months ended September 30, 2026 and 2025, respectively. The increase in income tax expense for the three months ended September 30, 2026 was primarily a result of higher profit, compared to the three months ended September 30, 2025.</w:t>
      </w:r>
    </w:p>
    <w:p>
      <w:pPr>
        <w:spacing w:after="0" w:line="209"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17"/>
          <w:szCs w:val="17"/>
          <w:color w:val="auto"/>
        </w:rPr>
        <w:t>The effective tax rate for the nine months ended September 30, 2026 was 23.5%, an increase from 20.3% for the nine months ended September 30, 2025. The Company recorded income tax expense of $61,683 and $48,498 for the nine months ended September 30, 2026 and 2025, respectively. The increase in income tax expense for the nine months ended September 30, 2026 was primarily a result of higher profit and lower excess tax benefits related to stock-based compensation, partially offset by a decrease in non-deductible compensation expenses, compared to the nine months ended September 30, 2025.</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income taxes recognized in OCI were as follows:</w:t>
      </w:r>
    </w:p>
    <w:p>
      <w:pPr>
        <w:spacing w:after="0" w:line="274"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31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00" w:type="dxa"/>
            <w:vAlign w:val="bottom"/>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426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 benefit / (expense) recognized 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0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3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cash flow hedges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8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retirement benefits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5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Stock-based compensation expense by function, as below, are included in the unaudited consolidated statements of income:</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22,840</w:t>
            </w:r>
          </w:p>
        </w:tc>
      </w:tr>
      <w:tr>
        <w:trPr>
          <w:trHeight w:val="23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w:t>
            </w:r>
          </w:p>
        </w:tc>
      </w:tr>
      <w:tr>
        <w:trPr>
          <w:trHeight w:val="20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58,718</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3"/>
        </w:trPr>
        <w:tc>
          <w:tcPr>
            <w:tcW w:w="532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Income tax benefit related to share-based compensation</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r>
    </w:tbl>
    <w:p>
      <w:pPr>
        <w:spacing w:after="0" w:line="200" w:lineRule="exact"/>
        <w:rPr>
          <w:sz w:val="20"/>
          <w:szCs w:val="20"/>
          <w:color w:val="auto"/>
        </w:rPr>
      </w:pPr>
    </w:p>
    <w:p>
      <w:pPr>
        <w:spacing w:after="0" w:line="287" w:lineRule="exact"/>
        <w:rPr>
          <w:sz w:val="20"/>
          <w:szCs w:val="20"/>
          <w:color w:val="auto"/>
        </w:rPr>
      </w:pPr>
    </w:p>
    <w:p>
      <w:pPr>
        <w:jc w:val="both"/>
        <w:ind w:firstLine="405"/>
        <w:spacing w:after="0" w:line="261"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 and $64 during the three months ended September 30, 2026 and 2025, respectively, and $1,208 and $14,792 during the nine months ended September 30, 2026 and 2025, respectively, related to discrete benefits recognized in income tax expense in accordance with ASU No. 2016-09, Compensation - Stock Compensation.</w:t>
      </w:r>
    </w:p>
    <w:p>
      <w:pPr>
        <w:spacing w:after="0" w:line="56"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3,058,467 and 5,919,466 shares, respectively, available for future grants under the 2025 Omnibus Incentive Plan (the “2025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30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0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1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Contractual Life (Years)</w:t>
            </w:r>
          </w:p>
        </w:tc>
        <w:tc>
          <w:tcPr>
            <w:tcW w:w="0" w:type="dxa"/>
            <w:vAlign w:val="bottom"/>
          </w:tcPr>
          <w:p>
            <w:pPr>
              <w:spacing w:after="0"/>
              <w:rPr>
                <w:sz w:val="1"/>
                <w:szCs w:val="1"/>
                <w:color w:val="auto"/>
              </w:rPr>
            </w:pPr>
          </w:p>
        </w:tc>
      </w:tr>
      <w:tr>
        <w:trPr>
          <w:trHeight w:val="24"/>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21,344</w:t>
            </w: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97"/>
              </w:rPr>
              <w:t>7.5</w:t>
            </w:r>
          </w:p>
        </w:tc>
        <w:tc>
          <w:tcPr>
            <w:tcW w:w="0" w:type="dxa"/>
            <w:vAlign w:val="bottom"/>
          </w:tcPr>
          <w:p>
            <w:pPr>
              <w:spacing w:after="0"/>
              <w:rPr>
                <w:sz w:val="1"/>
                <w:szCs w:val="1"/>
                <w:color w:val="auto"/>
              </w:rPr>
            </w:pPr>
          </w:p>
        </w:tc>
      </w:tr>
      <w:tr>
        <w:trPr>
          <w:trHeight w:val="26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3"/>
                <w:szCs w:val="23"/>
                <w:color w:val="auto"/>
              </w:rPr>
            </w:pPr>
          </w:p>
        </w:tc>
        <w:tc>
          <w:tcPr>
            <w:tcW w:w="21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100" w:type="dxa"/>
            <w:vAlign w:val="bottom"/>
            <w:tcBorders>
              <w:top w:val="single" w:sz="8" w:color="auto"/>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September 30, 2026</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18"/>
                <w:szCs w:val="18"/>
                <w:color w:val="auto"/>
              </w:rPr>
            </w:pPr>
          </w:p>
        </w:tc>
        <w:tc>
          <w:tcPr>
            <w:tcW w:w="21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6"/>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unit of stock</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granted during the period</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740" w:firstLine="399"/>
        <w:spacing w:after="0" w:line="385" w:lineRule="auto"/>
        <w:rPr>
          <w:sz w:val="20"/>
          <w:szCs w:val="20"/>
          <w:color w:val="auto"/>
        </w:rPr>
      </w:pPr>
      <w:r>
        <w:rPr>
          <w:rFonts w:ascii="Times New Roman" w:cs="Times New Roman" w:eastAsia="Times New Roman" w:hAnsi="Times New Roman"/>
          <w:sz w:val="18"/>
          <w:szCs w:val="18"/>
          <w:color w:val="auto"/>
        </w:rPr>
        <w:t xml:space="preserve">As of September 30, 2026, unrecognized compensation cost of $3,818 is expected to be expensed over a weighted average period of 0.8 years. </w:t>
      </w:r>
      <w:r>
        <w:rPr>
          <w:rFonts w:ascii="Times New Roman" w:cs="Times New Roman" w:eastAsia="Times New Roman" w:hAnsi="Times New Roman"/>
          <w:sz w:val="18"/>
          <w:szCs w:val="18"/>
          <w:b w:val="1"/>
          <w:bCs w:val="1"/>
          <w:color w:val="auto"/>
        </w:rPr>
        <w:t>Share Matching Program</w:t>
      </w:r>
    </w:p>
    <w:p>
      <w:pPr>
        <w:spacing w:after="0" w:line="1"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spacing w:after="0" w:line="84"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As of September 30, 2026 and December 31, 2025, restricted stock units vested for which the underlying common stock is yet to be issued are nil and 31,662,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Company’s stock-based compensation plans is shown below:</w:t>
      </w:r>
    </w:p>
    <w:p>
      <w:pPr>
        <w:spacing w:after="0" w:line="146"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54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8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1520" w:type="dxa"/>
            <w:vAlign w:val="bottom"/>
          </w:tcPr>
          <w:p>
            <w:pPr>
              <w:jc w:val="right"/>
              <w:ind w:right="216"/>
              <w:spacing w:after="0" w:line="14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7"/>
        </w:trPr>
        <w:tc>
          <w:tcPr>
            <w:tcW w:w="720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5"/>
        </w:trPr>
        <w:tc>
          <w:tcPr>
            <w:tcW w:w="7200" w:type="dxa"/>
            <w:vAlign w:val="bottom"/>
            <w:tcBorders>
              <w:bottom w:val="single" w:sz="8" w:color="CCEEFF"/>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720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Outstanding as of December 31, 2025</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2,789,601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39"/>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1,840,408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39"/>
        </w:trPr>
        <w:tc>
          <w:tcPr>
            <w:tcW w:w="7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9"/>
        </w:trPr>
        <w:tc>
          <w:tcPr>
            <w:tcW w:w="7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58"/>
        </w:trPr>
        <w:tc>
          <w:tcPr>
            <w:tcW w:w="7200" w:type="dxa"/>
            <w:vAlign w:val="bottom"/>
            <w:tcBorders>
              <w:bottom w:val="single" w:sz="8" w:color="CCEEFF"/>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Outstanding as of September 30, 2026</w:t>
            </w:r>
            <w:r>
              <w:rPr>
                <w:rFonts w:ascii="Times New Roman" w:cs="Times New Roman" w:eastAsia="Times New Roman" w:hAnsi="Times New Roman"/>
                <w:sz w:val="23"/>
                <w:szCs w:val="23"/>
                <w:color w:val="auto"/>
                <w:vertAlign w:val="superscript"/>
              </w:rPr>
              <w:t>(1)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firstLine="405"/>
        <w:spacing w:after="0" w:line="244" w:lineRule="auto"/>
        <w:tabs>
          <w:tab w:leader="none" w:pos="6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restricted stock units vested for which the underlying common stock is yet to be issued are 328,139 and 348,636, respectively.</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2026, unrecognized compensation cost of $87,921 is expected to be expensed over a weighted average period of 2.7 years.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Stock Awards</w:t>
      </w:r>
    </w:p>
    <w:p>
      <w:pPr>
        <w:spacing w:after="0" w:line="234"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Under the Company’s equity incentive plans, the Company grants performance-based restricted stock units (“PRSUs”) to executive officers and other specified employees. The Company generally grants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PRSU agreements, and are measured over a three-year performance period (“MU”).</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PRSU activity under the Company’s stock plans is shown below:</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30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 Based PRSUs</w:t>
            </w: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340" w:type="dxa"/>
            <w:vAlign w:val="bottom"/>
          </w:tcPr>
          <w:p>
            <w:pPr>
              <w:jc w:val="right"/>
              <w:ind w:right="116"/>
              <w:spacing w:after="0" w:line="14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7"/>
        </w:trPr>
        <w:tc>
          <w:tcPr>
            <w:tcW w:w="48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5"/>
        </w:trPr>
        <w:tc>
          <w:tcPr>
            <w:tcW w:w="4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696,439</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841,966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0" w:type="dxa"/>
            <w:vAlign w:val="bottom"/>
          </w:tcPr>
          <w:p>
            <w:pPr>
              <w:spacing w:after="0"/>
              <w:rPr>
                <w:sz w:val="1"/>
                <w:szCs w:val="1"/>
                <w:color w:val="auto"/>
              </w:rPr>
            </w:pPr>
          </w:p>
        </w:tc>
      </w:tr>
      <w:tr>
        <w:trPr>
          <w:trHeight w:val="239"/>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3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5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640" w:firstLine="399"/>
        <w:spacing w:after="0" w:line="398" w:lineRule="auto"/>
        <w:rPr>
          <w:sz w:val="20"/>
          <w:szCs w:val="20"/>
          <w:color w:val="auto"/>
        </w:rPr>
      </w:pPr>
      <w:r>
        <w:rPr>
          <w:rFonts w:ascii="Times New Roman" w:cs="Times New Roman" w:eastAsia="Times New Roman" w:hAnsi="Times New Roman"/>
          <w:sz w:val="18"/>
          <w:szCs w:val="18"/>
          <w:color w:val="auto"/>
        </w:rPr>
        <w:t xml:space="preserve">As of September 30, 2026, unrecognized compensation cost of $58,553 is expected to be expensed over a weighted average period of 1.8 years. </w:t>
      </w:r>
      <w:r>
        <w:rPr>
          <w:rFonts w:ascii="Times New Roman" w:cs="Times New Roman" w:eastAsia="Times New Roman" w:hAnsi="Times New Roman"/>
          <w:sz w:val="18"/>
          <w:szCs w:val="18"/>
          <w:b w:val="1"/>
          <w:bCs w:val="1"/>
          <w:color w:val="auto"/>
        </w:rPr>
        <w:t>Employee Stock Purchase Plan</w:t>
      </w:r>
    </w:p>
    <w:p>
      <w:pPr>
        <w:spacing w:after="0" w:line="71"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On June 21, 2022, at the annual meeting of stockholders of the Company, the Company’s stockholders approved the ExlService Holdings, Inc. 2022 Employee Stock Purchase Plan (the “2022 ESPP”).</w:t>
      </w:r>
    </w:p>
    <w:p>
      <w:pPr>
        <w:spacing w:after="0" w:line="190"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The 2022 ESPP allows eligible employees to purchase the Company’s shares of common stock through payroll deductions at a pre-specified discount to the lower of the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ninth offering period under the 2022 ESPP commenced on July 1, 2026 with a term of six months.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under the Company’s 2022 ESPP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184150</wp:posOffset>
            </wp:positionV>
            <wp:extent cx="1933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272"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48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Total Proceeds</w:t>
            </w:r>
          </w:p>
        </w:tc>
        <w:tc>
          <w:tcPr>
            <w:tcW w:w="0" w:type="dxa"/>
            <w:vAlign w:val="bottom"/>
          </w:tcPr>
          <w:p>
            <w:pPr>
              <w:spacing w:after="0"/>
              <w:rPr>
                <w:sz w:val="1"/>
                <w:szCs w:val="1"/>
                <w:color w:val="auto"/>
              </w:rPr>
            </w:pPr>
          </w:p>
        </w:tc>
      </w:tr>
      <w:tr>
        <w:trPr>
          <w:trHeight w:val="211"/>
        </w:trPr>
        <w:tc>
          <w:tcPr>
            <w:tcW w:w="77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0" w:type="dxa"/>
            <w:vAlign w:val="bottom"/>
          </w:tcPr>
          <w:p>
            <w:pPr>
              <w:spacing w:after="0"/>
              <w:rPr>
                <w:sz w:val="1"/>
                <w:szCs w:val="1"/>
                <w:color w:val="auto"/>
              </w:rPr>
            </w:pPr>
          </w:p>
        </w:tc>
      </w:tr>
      <w:tr>
        <w:trPr>
          <w:trHeight w:val="23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related to the:</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Seventh offering period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39"/>
        </w:trPr>
        <w:tc>
          <w:tcPr>
            <w:tcW w:w="7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Eighth offering period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146,650</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5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received for the ninth offering period up to September 30,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Disclosures</w:t>
      </w:r>
    </w:p>
    <w:p>
      <w:pPr>
        <w:spacing w:after="0" w:line="247"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The Company provides data and AI-led solutions and services to Corridor Platforms, Inc., which is an equity affiliate of the Company. The Company recognized revenues, net of $121 and $42, during the three months ended September 30, 2026 and 2025 respectively, and $302 and $126, during the nine months ended September 30, 2026 and 2025 respectively. The Company had outstanding accounts receivable, net of $128 and $28, related to this service contract as of September 30, 2026 and December 31, 2025,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236"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committed to spend approximately $13,300 and $8,700, respectively, net of capital advances, under agreements to purchase property and equipment.</w:t>
      </w:r>
    </w:p>
    <w:p>
      <w:pPr>
        <w:spacing w:after="0" w:line="190"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The Company committed to make an aggregate investment of $4,000 in the Partnership. As of September 30, 2026, the Company has invested $3,000 in the Partnership and is committed to make further investments up to an amount of $1,000.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36"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10"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9"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review the Company’s transfer pricing. If the Company’s transfer pricing is challenged by the authorities, they could assess additional tax, interest and penalties, thereby impacting the Company’s profitability and cash flows.</w:t>
      </w:r>
    </w:p>
    <w:p>
      <w:pPr>
        <w:spacing w:after="0" w:line="190" w:lineRule="exact"/>
        <w:rPr>
          <w:sz w:val="20"/>
          <w:szCs w:val="20"/>
          <w:color w:val="auto"/>
        </w:rPr>
      </w:pPr>
    </w:p>
    <w:p>
      <w:pPr>
        <w:jc w:val="both"/>
        <w:ind w:firstLine="399"/>
        <w:spacing w:after="0" w:line="235" w:lineRule="auto"/>
        <w:rPr>
          <w:sz w:val="20"/>
          <w:szCs w:val="20"/>
          <w:color w:val="auto"/>
        </w:rPr>
      </w:pPr>
      <w:r>
        <w:rPr>
          <w:rFonts w:ascii="Times New Roman" w:cs="Times New Roman" w:eastAsia="Times New Roman" w:hAnsi="Times New Roman"/>
          <w:sz w:val="18"/>
          <w:szCs w:val="18"/>
          <w:color w:val="auto"/>
        </w:rPr>
        <w:t>The Company is currently involved in transfer pricing and related income tax disputes with Indian tax authorities. The aggregate amount demanded by Indian tax authorities (net of advance payments) as of September 30, 2026 and December 31, 2025 is $39,525 and $42,205, respectively. The Company has made payments and/or provided bank guarantees against these demands in the amounts of $7,428 and $7,684, as of September 30, 2026 and December 31, 2025,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22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Pursuant to reviewing the Company’s annual VAT and service tax filings, the Indian tax authorities raised aggregate demands for tax years 2015 and 2017, in the amounts of $4,863 and $5,186, as of September 30, 2026 and December 31, 2025, respectively. The Company has made payments and/or provided bank guarantees against these demands in the amounts of $4,773 and $5,090, as of September 30, 2026 and December 31, 2025, respectively. The Company has filed appeals against these matters and believes that it is more likely than not that upon final examination its position will be sustained based on technical merits.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Indian Goods and Services Tax (“GST”) authorities rejected the Company’s refund claims in the amounts of $5,119 and $5,494 as of September 30, 2026 and December 31, 2025, respectively. The Company has filed appeals against these matters and believes that it is more likely than not that upon final examination its position will be sustained based on its technical merits. Accordingly, no allowances were recorded against these GST receivables as of September 30, 2026 and December 31, 2025, respectively.</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Some of the Company’s subsidiaries in India have undergone assessments with the statutory authority with respect to defined contribution plan. Except for some components of the assessments for which the Company has recognized a provision in the unaudited consolidated financial statements, the Company believes that the amount demanded by such authority is not a meaningful indicator of the potential liabilities of the Company, and that these matters are without merit. The Company is defending against the assessment orders and in two cases,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spacing w:after="0" w:line="200"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210" w:lineRule="exact"/>
        <w:rPr>
          <w:sz w:val="20"/>
          <w:szCs w:val="20"/>
          <w:color w:val="auto"/>
        </w:rPr>
      </w:pPr>
    </w:p>
    <w:p>
      <w:pPr>
        <w:jc w:val="both"/>
        <w:ind w:firstLine="399"/>
        <w:spacing w:after="0" w:line="234"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5"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2025. Some of the statements in the following discussion are forward looking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7"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66" w:lineRule="exact"/>
        <w:rPr>
          <w:sz w:val="20"/>
          <w:szCs w:val="20"/>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client demand for our services and solutions, including anticipating and incorporating the latest technologies, for instance, artificial intelligence (“AI”), including generative AI and agentic AI into our offerings;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AI technology presents competitive, operational, reputational and legal risks, and our use of AI technology may not be successful;</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client demand by the selling cycle and terms of our client contracts; including for our AI-related offerings;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enough sufficiently trained employees to support our operations or any changes in the senior management team;</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costs;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pricing terms or effectively manage our asset utilization levels to meet the changing demands of our clients and potential clients;</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additional cybersecurity and privacy risks from growing use of AI, or other unauthorized disclosure of sensitive or confidential client and employee data;</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to deliver services and infrastructure for client critical services, and on third party data use rights for certain of our offerings;</w:t>
      </w:r>
    </w:p>
    <w:p>
      <w:pPr>
        <w:spacing w:after="0" w:line="70" w:lineRule="exact"/>
        <w:rPr>
          <w:rFonts w:ascii="Times New Roman" w:cs="Times New Roman" w:eastAsia="Times New Roman" w:hAnsi="Times New Roman"/>
          <w:sz w:val="17"/>
          <w:szCs w:val="17"/>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wage increases;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and our ability to withstand the loss of a significant client;</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infrastructure and personnel growth across countries, including losing key talent to competitors;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announced or future strategic acquisitions, including the impact from the impairment of goodwill and other intangible assets, if any;</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and third party contracts;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 including from other providers and from internal resources of our clients;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upgrading our enterprise resource planning system;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fluctuations in the market values of our investment and derivatives portfolios;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medical epidemics or pandemics, or acts of violence or war;</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applicable tax authorities to transfer pricing determinations or the introduction of new or unfavorable tax legislation, tariffs, including legal restrictions on repatriation of funds held abroad;</w:t>
      </w:r>
    </w:p>
    <w:p>
      <w:pPr>
        <w:spacing w:after="0" w:line="4"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exchange rate fluctuations in the various currencies in which we do business including rising inflation, high interest rates and economic recessionary trends on currency exchange rates;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 and work permits;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our ability to adhere to regulations or accreditation or licensing standards that govern our business;</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debt or obtain additional financing on competitive terms, or exposure to interest rate fluctuations that are not fully hedged through interest rate swaps; and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United States or elsewhere to offshore outsourcing.</w:t>
      </w:r>
    </w:p>
    <w:p>
      <w:pPr>
        <w:spacing w:after="0" w:line="35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2025. These and other risks could cause actual results to differ materially from those implied by forward-looking statements in this Quarterly Report on Form 10-Q.</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34"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We are a global data and artificial intelligence (“AI”) company that offers services and solutions to reinvent client business models, drive better outcomes and unlock growth with speed. We harness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One of our key assets is our global delivery network, which includes highly trained industry and process specialists across the United States, the United Kingdom, Latin America, South Africa, Europe and Asia (primarily India and the Philippines). We have operations centers in India, the United States, the Philippines, South Africa, Colombia, Bulgaria, Romania, the United Kingdom, the Czech Republic, Mexico and the Republic of Ireland.</w:t>
      </w:r>
    </w:p>
    <w:p>
      <w:pPr>
        <w:spacing w:after="0" w:line="1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manage and report financial information through four reportable segments, aligned to our Industry Market Units (“IMUs”): Insurance, Healthcare and Life Sciences, Banking, Capital Markets and Diversified Industries, and International Growth Markets, which reflects the manner in which our management reviews financial information and makes operating decisions.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On July 31, 2026, we completed the acquisition of I Merit Inc., a Delaware Corporation (“iMerit”), a recognized leader in AI model training, evaluation and reinforcement learning, through our wholly owned subsidiary Clairvoyant AI, Inc. pursuant to a securities purchase agreement dated June 22, 2026. It is focused on helping its clients train large language and multimodal models to improve accuracy, precision, and effectiveness. The acquisition strengthens our ability to help enterprises achieve measurable outcomes from AI, build partnerships with leading foundation model builders and expands our reach into high-growth AI tech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2026, we generated revenues of $634.0 million compared to revenues of $529.6 million for the three months ended September 30, 2025, an increase of $104.4 million, or 19.7%. For the nine months ended September 30, 2026, we generated revenues of $1,799.1 million compared to revenues of $1,545.1 million for the nine months ended September 30, 2025, an increase of $254.0 million, or 16.4%.</w:t>
      </w:r>
    </w:p>
    <w:p>
      <w:pPr>
        <w:spacing w:after="0" w:line="196"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We serve clients mainly in North America, and the United Kingdom &amp; Europe, with these two regions generating 82.2% and 15.0%, respectively, of our total revenues for the three months ended September 30, 2026, and 82.5% and 14.9%, respectively, of our total revenues for the three months ended September 30, 2025. For the nine months ended September 30, 2026, these two regions generated 82.5% and 14.9%, respectively, of our total revenues and 82.5% and 14.8%, respectively, of our total revenues for the nine months ended September 30, 2025.</w:t>
      </w:r>
    </w:p>
    <w:p>
      <w:pPr>
        <w:spacing w:after="0" w:line="202"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2026 and 2025, our total revenues from our top ten clients accounted for 33.3% and 34.5% of our total revenues, respectively. For the nine months ended September 30, 2026 and 2025, our total revenues from our top ten clients accounted for 34.0% and 33.8%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provide data and AI-led solutions and services and digital operations solutions and services to our clients. We market and sell our solutions and services to existing and prospective clients through our sales and client management teams, which are aligned by our IMUs. Our sales and client management teams operate primarily from the United States, India, the United Kingdom, Ireland and Australia.</w:t>
      </w:r>
    </w:p>
    <w:p>
      <w:pPr>
        <w:spacing w:after="0" w:line="187"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Data and AI-led: </w:t>
      </w:r>
      <w:r>
        <w:rPr>
          <w:rFonts w:ascii="Times New Roman" w:cs="Times New Roman" w:eastAsia="Times New Roman" w:hAnsi="Times New Roman"/>
          <w:sz w:val="18"/>
          <w:szCs w:val="18"/>
          <w:color w:val="auto"/>
        </w:rPr>
        <w:t>Data and AI-led revenue is derived from our Data Management, Analytics, AI services and solutions businesses. It includes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fully integrated business operations like payment integrity services and platform-based solutions and services, which combine operations, technology, data, analytics, and AI. It also includes revenue from operations that embed data and AI within clients’ operational workflows.</w:t>
      </w:r>
    </w:p>
    <w:p>
      <w:pPr>
        <w:spacing w:after="0" w:line="206"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Digital operations: </w:t>
      </w:r>
      <w:r>
        <w:rPr>
          <w:rFonts w:ascii="Times New Roman" w:cs="Times New Roman" w:eastAsia="Times New Roman" w:hAnsi="Times New Roman"/>
          <w:sz w:val="18"/>
          <w:szCs w:val="18"/>
          <w:color w:val="auto"/>
        </w:rPr>
        <w:t>Digital operations revenue is derived from managed services that blend our deep domain expertise with industry-specific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services to operate clients’ business functions with enhanced productivity, greater speed and improved accuracy. These digital operations deployments form the foundation for future client transformation opportunities to infuse AI into client workflows and unlock even greater value.</w:t>
      </w:r>
    </w:p>
    <w:p>
      <w:pPr>
        <w:spacing w:after="0" w:line="21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Our reportable segments, aligned to our IMUs, which provide data and AI-led solutions and services and digital operations solutions and services, are described below:</w:t>
      </w:r>
    </w:p>
    <w:p>
      <w:pPr>
        <w:spacing w:after="0" w:line="188"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We serve insurance brokers, reinsurers, and insurtech companies and provide services to insurers in the areas of property and casualty,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annuity, and retirement services.</w:t>
      </w:r>
    </w:p>
    <w:p>
      <w:pPr>
        <w:spacing w:after="0" w:line="18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Our offerings include claims management, premium and benefit administration, agency management, account reconciliation, actuarial and risk analytics, policy research, digital marketing, new business acquisition, underwriting support, policy servicing, premium audit, surveys, billing and collection, commercial and residential survey, finance and accounting, and customer service using digital technology, AI, including agentic AI, generative AI, machine learning (“ML”) and advanced automation. We also combine our cloud-first digital insurance software solutions and industry expertise with agentic AI, generative AI, machine learning, advanced analytics, and platforms. This includes our Insurance Large Language Model (“LLM”), a specialized generative AI platform for claims, underwriting and subrogation, developed leveraging our deep experience and proprietary data in the insurance industry. Additionally, we provide third-party administration for life and annuity insurance through our LifePRO® and Life Digital Suite SaaS platforms and also offer subrogation services to property and casualty insurers using our Subrosource® BPaaS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Healthcare and Life Sciences: </w:t>
      </w:r>
      <w:r>
        <w:rPr>
          <w:rFonts w:ascii="Times New Roman" w:cs="Times New Roman" w:eastAsia="Times New Roman" w:hAnsi="Times New Roman"/>
          <w:sz w:val="18"/>
          <w:szCs w:val="18"/>
          <w:color w:val="auto"/>
        </w:rPr>
        <w:t>We serve U.S.-based healthcare payers, providers, pharmacy benefit managers (“PBMs”), and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by combining deep healthcare and life sciences domain expertise with data, analytics and AI-led insights and technology-enabled services that transform how care is delivered, managed and paid.</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provide care management, utilization management, disease management, payment integrity, revenue optimization and customer engagement, commercial analytics and regulatory support services to improve healthcare outcomes, enhance patient and provider experience, optimize healthcare spending and streamline healthcare administration processes by simplifying complex workflows.</w:t>
      </w:r>
    </w:p>
    <w:p>
      <w:pPr>
        <w:spacing w:after="0" w:line="20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For healthcare payers, we offer payment integrity services, pre and post-pay auditing services, payment analytics, subrogation and claims recovery, care management and patient navigation solutions. For healthcare providers, we offer revenue cycle management, digital transformation, data-driven analytics and contact center solutions. For PBMs, we provide digital transformation, data and analytics and call center modernization. Our life sciences offerings combine domain expertise, data engineering, AI-driven insight generation, and digital operations to deliver outcomes across commercial, clinical, regulatory, and patient support functions. Our AI capabilities also include specialized model training, evaluation and reinforcement learning, supported by a global network of domain specialists, including physicians, scientists and other subject matter experts. We leverage AI, analytics, and cloud-based solutions to enhance value-based care, optimize claims, and ensure regulatory compliance.</w:t>
      </w:r>
    </w:p>
    <w:p>
      <w:pPr>
        <w:spacing w:after="0" w:line="211"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Banking, Capital Markets and Diversified Industries: </w:t>
      </w:r>
      <w:r>
        <w:rPr>
          <w:rFonts w:ascii="Times New Roman" w:cs="Times New Roman" w:eastAsia="Times New Roman" w:hAnsi="Times New Roman"/>
          <w:sz w:val="18"/>
          <w:szCs w:val="18"/>
          <w:color w:val="auto"/>
        </w:rPr>
        <w:t>Our Banking and Capital Markets and Diversified Industries group delivers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across retail and commercial banking, credit card and payment services, fintech, wealth and retirement services, capital markets, utilities, retail and consumer packaged goods, communications, media and entertainment, travel and leisure, transportation and logistics, infrastructure and other business services industries.</w:t>
      </w:r>
    </w:p>
    <w:p>
      <w:pPr>
        <w:spacing w:after="0" w:line="20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By integrating deep domain expertise with AI-driven decision-making, we enable financial institutions to innovate, enhance operational agility, and adapt to evolving market demands. We provide risk management solutions, marketing and customer analytics solutions to our clients, along with our integrated operations services that encompass the full range of banking operations, including digital lending solutions that improve underwriting and compliance, omni-channel marketing, digital onboarding, know your customer (“KYC”)/anti-money laundering (“AML”) compliance, collections, fraud prevention, and customer servicing, among others. Our industry-leading AI and automation-driven service offerings drive operational efficiency and foster innovation across the financial services and other industries. Our AI capabilities also encompass multimodal data across text, image, video, voice and light detection and ranging (“LiDAR”), providing a strong foundation for AI solutions across high-tech, mobility, autonomous systems and physical AI, including robotics, autonomous vehicles and intelligent real-world environments.</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Our enterprise services and solutions include domain-specific operations, integrated finance and accounting services, customer experience management, back-office operations, and revenue enhancement, such as pricing and billing, enabling our clients to deliver enhanced operational efficiency, and high-quality customer experiences. For example, in the retail and consumer packaged goods sectors, we enable advanced supply chain performance through AI-driven analytics services supporting smarter merchandising, dynamic pricing, and accurate demand forecasting and for our clients in the utilities sector, we offer AI-enabled operations and solutions related to end-to-end customer life cycle management, including onboarding and terminations, engineering field operations, billing, and debt management.</w:t>
      </w:r>
    </w:p>
    <w:p>
      <w:pPr>
        <w:spacing w:after="0" w:line="21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International Growth Markets: </w:t>
      </w:r>
      <w:r>
        <w:rPr>
          <w:rFonts w:ascii="Times New Roman" w:cs="Times New Roman" w:eastAsia="Times New Roman" w:hAnsi="Times New Roman"/>
          <w:sz w:val="18"/>
          <w:szCs w:val="18"/>
          <w:color w:val="auto"/>
        </w:rPr>
        <w:t>Our International Growth Markets (“IGM”) IMU is focused on strengthening our global footprint outside of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We ensure customized delivery while leveraging EXL’s global capabilities in data, AI, and digital operations to drive differentiated business outcomes for our clients in growth markets. This provides us with opportunities to leverage our investments, experience, and expertise from the North America market to expand our global client base, drive further growth, and bring us closer to our clients and partners across the world. IGM consists of dedicated teams servicing clients and localizing our global capabilities in insurance, life sciences, banking and capital markets, energy and infrastructure, retail, consumer goods, and travel industries in growth markets. Across all regions in which we operate, we combine deep domain experience with our data and AI expertise to help clients innovate, enhance operational agility, adapt to changing market demands, and drive better business transformation.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99"/>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Pricing: </w:t>
      </w:r>
      <w:r>
        <w:rPr>
          <w:rFonts w:ascii="Times New Roman" w:cs="Times New Roman" w:eastAsia="Times New Roman" w:hAnsi="Times New Roman"/>
          <w:sz w:val="17"/>
          <w:szCs w:val="17"/>
          <w:color w:val="auto"/>
        </w:rPr>
        <w:t>We charge for our services using various pricing models like time-and-material pricing, full-time-equivalent pricing, transaction-based pricing,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outcome-based pricing, subscription-based pricing and other alternative or emerging pricing models. Outcome-based pricing arrangements are an example of a non-linear pricing model where our revenues from platforms and solutions and the services we provide are compensated based on our clients’ usage or savings rather than the efforts we deploy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3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nine months ended September 30, 2026, as compared to the critical accounting policies and estimates referred in Part II, Item 7, “Management’s Discussion and Analysis of Financial Condition and Results of Operations” under “Critical Accounting Estimates” and Note 2 - Summary of Significant Accounting Policies to our consolidated financial statements included in our Annual Report on Form 10-K for the fiscal year ended December 31,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2026 and 2025:</w:t>
      </w:r>
    </w:p>
    <w:p>
      <w:pPr>
        <w:spacing w:after="0" w:line="168"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353"/>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22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30, 2026</w:t>
            </w: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30, 2025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t>
            </w:r>
          </w:p>
        </w:tc>
        <w:tc>
          <w:tcPr>
            <w:tcW w:w="10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0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(C=A-B)</w:t>
            </w:r>
          </w:p>
        </w:tc>
        <w:tc>
          <w:tcPr>
            <w:tcW w:w="9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80" w:type="dxa"/>
            <w:vAlign w:val="bottom"/>
            <w:tcBorders>
              <w:bottom w:val="single" w:sz="8" w:color="CCEEFF"/>
            </w:tcBorders>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241.2</w:t>
            </w:r>
          </w:p>
        </w:tc>
        <w:tc>
          <w:tcPr>
            <w:tcW w:w="100" w:type="dxa"/>
            <w:vAlign w:val="bottom"/>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38.0 %</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100" w:type="dxa"/>
            <w:vAlign w:val="bottom"/>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38.5 %</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80" w:type="dxa"/>
            <w:vAlign w:val="bottom"/>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18.2 %</w:t>
            </w:r>
          </w:p>
        </w:tc>
        <w:tc>
          <w:tcPr>
            <w:tcW w:w="0" w:type="dxa"/>
            <w:vAlign w:val="bottom"/>
          </w:tcPr>
          <w:p>
            <w:pPr>
              <w:spacing w:after="0"/>
              <w:rPr>
                <w:sz w:val="1"/>
                <w:szCs w:val="1"/>
                <w:color w:val="auto"/>
              </w:rPr>
            </w:pPr>
          </w:p>
        </w:tc>
      </w:tr>
      <w:tr>
        <w:trPr>
          <w:trHeight w:val="21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16.6 %</w:t>
            </w:r>
          </w:p>
        </w:tc>
        <w:tc>
          <w:tcPr>
            <w:tcW w:w="0" w:type="dxa"/>
            <w:vAlign w:val="bottom"/>
          </w:tcPr>
          <w:p>
            <w:pPr>
              <w:spacing w:after="0"/>
              <w:rPr>
                <w:sz w:val="1"/>
                <w:szCs w:val="1"/>
                <w:color w:val="auto"/>
              </w:rPr>
            </w:pPr>
          </w:p>
        </w:tc>
      </w:tr>
      <w:tr>
        <w:trPr>
          <w:trHeight w:val="23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(248.3) %</w:t>
            </w:r>
          </w:p>
        </w:tc>
        <w:tc>
          <w:tcPr>
            <w:tcW w:w="0" w:type="dxa"/>
            <w:vAlign w:val="bottom"/>
          </w:tcPr>
          <w:p>
            <w:pPr>
              <w:spacing w:after="0"/>
              <w:rPr>
                <w:sz w:val="1"/>
                <w:szCs w:val="1"/>
                <w:color w:val="auto"/>
              </w:rPr>
            </w:pPr>
          </w:p>
        </w:tc>
      </w:tr>
      <w:tr>
        <w:trPr>
          <w:trHeight w:val="23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Income before income tax expense and</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8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16.0 %</w:t>
            </w: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equity affiliates</w:t>
            </w:r>
          </w:p>
        </w:tc>
        <w:tc>
          <w:tcPr>
            <w:tcW w:w="1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18.0 %</w:t>
            </w:r>
          </w:p>
        </w:tc>
        <w:tc>
          <w:tcPr>
            <w:tcW w:w="0" w:type="dxa"/>
            <w:vAlign w:val="bottom"/>
          </w:tcPr>
          <w:p>
            <w:pPr>
              <w:spacing w:after="0"/>
              <w:rPr>
                <w:sz w:val="1"/>
                <w:szCs w:val="1"/>
                <w:color w:val="auto"/>
              </w:rPr>
            </w:pPr>
          </w:p>
        </w:tc>
      </w:tr>
      <w:tr>
        <w:trPr>
          <w:trHeight w:val="23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equity-method investment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18.2 %</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55" w:lineRule="exact"/>
        <w:rPr>
          <w:sz w:val="20"/>
          <w:szCs w:val="20"/>
          <w:color w:val="auto"/>
        </w:rPr>
      </w:pPr>
    </w:p>
    <w:p>
      <w:pPr>
        <w:ind w:firstLine="399"/>
        <w:spacing w:after="0" w:line="276"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summarizes our revenues by reportable segments:</w:t>
      </w:r>
    </w:p>
    <w:p>
      <w:pPr>
        <w:spacing w:after="0" w:line="200" w:lineRule="exact"/>
        <w:rPr>
          <w:sz w:val="20"/>
          <w:szCs w:val="20"/>
          <w:color w:val="auto"/>
        </w:rPr>
      </w:pPr>
    </w:p>
    <w:p>
      <w:pPr>
        <w:spacing w:after="0" w:line="32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2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Total Revenues for the three months</w:t>
            </w:r>
          </w:p>
        </w:tc>
      </w:tr>
      <w:tr>
        <w:trPr>
          <w:trHeight w:val="192"/>
        </w:trPr>
        <w:tc>
          <w:tcPr>
            <w:tcW w:w="2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8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920" w:type="dxa"/>
            <w:vAlign w:val="bottom"/>
            <w:tcBorders>
              <w:bottom w:val="single" w:sz="8" w:color="auto"/>
            </w:tcBorders>
          </w:tcPr>
          <w:p>
            <w:pPr>
              <w:spacing w:after="0"/>
              <w:rPr>
                <w:sz w:val="16"/>
                <w:szCs w:val="16"/>
                <w:color w:val="auto"/>
              </w:rPr>
            </w:pPr>
          </w:p>
        </w:tc>
      </w:tr>
      <w:tr>
        <w:trPr>
          <w:trHeight w:val="206"/>
        </w:trPr>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7"/>
        </w:trPr>
        <w:tc>
          <w:tcPr>
            <w:tcW w:w="27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4"/>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r>
      <w:tr>
        <w:trPr>
          <w:trHeight w:val="23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186"/>
        </w:trPr>
        <w:tc>
          <w:tcPr>
            <w:tcW w:w="27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Banking, Capital Markets and</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Industries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39"/>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5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Revenues for the three months ended September 30, 2026 were up by $104.4 million, or 19.7%, compared to the three months ended September 30, 2025, driven by 13.9% growth from the expansion of business with existing clients across all reportable segments and 6.0% growth from new client wins, including 2.9% growth from our acquisition of iMerit, partially offset by 0.2% foreign exchange loss, net of hedging during the three months ended September 30, 2026.</w:t>
      </w:r>
    </w:p>
    <w:p>
      <w:pPr>
        <w:spacing w:after="0" w:line="194"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Revenue growth in Insurance by 15.5% was driven by 14.7% growth from the expansion of business with existing clients and 0.8% growth from new clients during the three months ended September 30, 2026, compared to the three months ended September 30, 2025.</w:t>
      </w:r>
    </w:p>
    <w:p>
      <w:pPr>
        <w:spacing w:after="0" w:line="190"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Revenue growth in Healthcare and Life Sciences by 18.6% was driven by 16.5% growth from the expansion of business with existing clients and 2.1% growth from new clients, including 1.4% growth from our acquisition of iMerit during the three months ended September 30, 2026, compared to the three months ended September 30, 2025.</w:t>
      </w:r>
    </w:p>
    <w:p>
      <w:pPr>
        <w:spacing w:after="0" w:line="209"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Revenue growth in Banking, Capital Markets and Diversified Industries by 26.8% was driven by 19.2% growth from new clients, including 10.2% growth from our acquisition of iMerit, and 7.6% growth from the expansion of business with existing clients during the three months ended September 30, 2026, compared to the three months ended September 30, 2025.</w:t>
      </w:r>
    </w:p>
    <w:p>
      <w:pPr>
        <w:spacing w:after="0" w:line="204"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Revenue growth in International Growth Markets of 20.3% was driven by 16.6% growth from the expansion of business with existing clients and 4.6% growth from new clients, including 1.1% growth from our acquisition of iMerit, partially offset by 0.9% foreign exchange loss, net of hedging during the three months ended September 30, 2026, compared to the three months ended September 30, 2025.</w:t>
      </w:r>
    </w:p>
    <w:p>
      <w:pPr>
        <w:spacing w:after="0" w:line="3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96"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238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5"/>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00" w:type="dxa"/>
            <w:vAlign w:val="bottom"/>
          </w:tcPr>
          <w:p>
            <w:pPr>
              <w:spacing w:after="0"/>
              <w:rPr>
                <w:sz w:val="16"/>
                <w:szCs w:val="16"/>
                <w:color w:val="auto"/>
              </w:rPr>
            </w:pPr>
          </w:p>
        </w:tc>
        <w:tc>
          <w:tcPr>
            <w:tcW w:w="238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980" w:type="dxa"/>
            <w:vAlign w:val="bottom"/>
            <w:tcBorders>
              <w:top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86"/>
        </w:trPr>
        <w:tc>
          <w:tcPr>
            <w:tcW w:w="29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Banking, Capital Markets and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Industries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58"/>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399"/>
        <w:spacing w:after="0" w:line="237"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2026 increased by $67.2 million, or 20.6% compared to the three months ended September 30, 2025. The increase in cost of revenues was due to increases in employee-related costs of $56.1 million on account of higher headcount and wage inflation, including incremental cost related to our acquisition of iMerit, higher technology costs of $8.1 million, and higher facilities and other operating costs of $8.3 million, partially offset by a foreign exchange gain, net of hedging of $5.3 million. Our gross margin for the three months ended September 30, 2026 was 38.0%, compared to 38.5% for the three months ended September 30, 2025, a decrease of 50 basis points (“bps”), primarily driven by investments in ramp-ups in certain existing clients and higher operating expenses.</w:t>
      </w:r>
    </w:p>
    <w:p>
      <w:pPr>
        <w:spacing w:after="0" w:line="210" w:lineRule="exact"/>
        <w:rPr>
          <w:sz w:val="20"/>
          <w:szCs w:val="20"/>
          <w:color w:val="auto"/>
        </w:rPr>
      </w:pPr>
    </w:p>
    <w:p>
      <w:pPr>
        <w:jc w:val="both"/>
        <w:ind w:firstLine="399"/>
        <w:spacing w:after="0" w:line="235" w:lineRule="auto"/>
        <w:rPr>
          <w:sz w:val="20"/>
          <w:szCs w:val="20"/>
          <w:color w:val="auto"/>
        </w:rPr>
      </w:pPr>
      <w:r>
        <w:rPr>
          <w:rFonts w:ascii="Times New Roman" w:cs="Times New Roman" w:eastAsia="Times New Roman" w:hAnsi="Times New Roman"/>
          <w:sz w:val="18"/>
          <w:szCs w:val="18"/>
          <w:color w:val="auto"/>
        </w:rPr>
        <w:t>The increase in cost of revenues in Insurance by $18.7 million for the three months ended September 30, 2026 was due to increases in employee-related costs of $15.6 million on account of higher headcount and wage inflation, higher technology costs of $2.3 million, and higher other operating costs of $1.8 million, partially offset by foreign exchange gain, net of hedging of $1.0 million. Gross margin in Insurance decreased by 40 bps, primarily due to investments in ramp-ups in certain existing clients during the three months ended September 30, 2026, compared to the three months ended September 30, 2025.</w:t>
      </w:r>
    </w:p>
    <w:p>
      <w:pPr>
        <w:spacing w:after="0" w:line="210"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The increase in cost of revenues in Healthcare and Life Sciences by $10.7 million for the three months ended September 30, 2026 was due to increases in employee-related costs of $8.7 million on account of higher headcount and wage inflation, including incremental cost related to our acquisition of iMerit, higher technology costs of $1.7 million, and higher other operating costs of $1.6 million, partially offset by foreign exchange gain, net of hedging of $1.3 million. Gross margin in Healthcare and Life Sciences increased by 220 bps, primarily due to higher volumes from certain existing clients during the three months ended September 30, 2026, compared to the three months ended September 30, 2025.</w:t>
      </w:r>
    </w:p>
    <w:p>
      <w:pPr>
        <w:spacing w:after="0" w:line="210" w:lineRule="exact"/>
        <w:rPr>
          <w:sz w:val="20"/>
          <w:szCs w:val="20"/>
          <w:color w:val="auto"/>
        </w:rPr>
      </w:pPr>
    </w:p>
    <w:p>
      <w:pPr>
        <w:jc w:val="both"/>
        <w:ind w:firstLine="399"/>
        <w:spacing w:after="0" w:line="234" w:lineRule="auto"/>
        <w:rPr>
          <w:sz w:val="20"/>
          <w:szCs w:val="20"/>
          <w:color w:val="auto"/>
        </w:rPr>
      </w:pPr>
      <w:r>
        <w:rPr>
          <w:rFonts w:ascii="Times New Roman" w:cs="Times New Roman" w:eastAsia="Times New Roman" w:hAnsi="Times New Roman"/>
          <w:sz w:val="18"/>
          <w:szCs w:val="18"/>
          <w:color w:val="auto"/>
        </w:rPr>
        <w:t>The increase in cost of revenues in Banking, Capital Markets and Diversified Industries by $26.1 million for the three months ended September 30, 2026 was due to increases in employee-related costs of $21.6 million on account of higher headcount and wage inflation, including incremental cost related to our acquisition of iMerit, higher technology costs of $2.1 million, and higher other operating costs of $3.7 million, partially offset by foreign exchange gain, net of hedging of $1.3 million. Gross margin in Banking, Capital Markets and Diversified Industries decreased by 390 bps, primarily due to investments in ramp-ups, lower volumes from certain existing clients, and higher operating expenses during the three months ended September 30, 2026, compared to the three months ended September 30, 2025.</w:t>
      </w:r>
    </w:p>
    <w:p>
      <w:pPr>
        <w:spacing w:after="0" w:line="212"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The increase in cost of revenues in International Growth Markets by $11.7 million for the three months ended September 30, 2026 was due to increases in employee-related costs of $10.2 million on account of higher headcount and wage inflation, including incremental cost related to our acquisition of iMerit, higher technology costs of $2.0 million, and higher facilities and other operating costs $1.2 million, partially offset by a foreign exchange gain, net of hedging of $1.7 million. Gross margin in International Growth Markets increased by 40 bps primarily due to foreign exchange gain, net of hedging during the three months ended September 30, 2026, compared to the three months ended September 30, 2025.</w:t>
      </w:r>
    </w:p>
    <w:p>
      <w:pPr>
        <w:spacing w:after="0" w:line="220" w:lineRule="exact"/>
        <w:rPr>
          <w:sz w:val="20"/>
          <w:szCs w:val="20"/>
          <w:color w:val="auto"/>
        </w:rPr>
      </w:pPr>
    </w:p>
    <w:p>
      <w:pPr>
        <w:jc w:val="both"/>
        <w:ind w:firstLine="39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as a percentage of net revenues decreased from 21.3% during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2025 to 21.0% during the three months ended September 30, 2026.</w:t>
      </w:r>
    </w:p>
    <w:p>
      <w:pPr>
        <w:spacing w:after="0" w:line="173"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The increase in SG&amp;A expenses by $20.7 million during the three months ended September 30, 2026, compared to the three months ended September 30, 2025 was primarily due to increases in employee-related costs of $14.1 million on account of higher headcount and wage inflation, including incremental cost related to our acquisition of iMerit, increased investments in digital and generative AI capabilities of $3.9 million, acquisition related expenses of $1.8 million and higher sales and marketing costs of $0.9 million.</w:t>
      </w:r>
    </w:p>
    <w:p>
      <w:pPr>
        <w:spacing w:after="0" w:line="298"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as a percentage of net revenues increased by 0.1% during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2026, compared to the three months ended September 30, 2025.</w:t>
      </w:r>
    </w:p>
    <w:p>
      <w:pPr>
        <w:spacing w:after="0" w:line="18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increase in depreciation and amortization expense by $3.8 million during the three months ended September 30, 2026, compared to the three months ended September 30, 2025 was primarily due to an increase in amortization of intangibles of $3.0 million related to our acquisition of iMerit.</w:t>
      </w:r>
    </w:p>
    <w:p>
      <w:pPr>
        <w:spacing w:after="0" w:line="280"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The increase in income from operations by 16.6% during the three months ended September 30, 2026, compared to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2025 was primarily due to higher revenues and gross profit, partially offset by higher SG&amp;A expenses.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We recorded a foreign exchange gain, net of $1.5 million for the three months ended September 30, 2026,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exchange loss, net of $1.0 million for the three months ended September 30, 2025. Foreign exchange gains and losses are primarily attributable to the movement of the U.S. dollar against the Indian rupee, the Philippine peso, the U.K. pound sterling and the South African rand during the three months ended September 30, 2026, compared to the three months ended September 30, 2025.</w:t>
      </w:r>
    </w:p>
    <w:p>
      <w:pPr>
        <w:spacing w:after="0" w:line="190" w:lineRule="exact"/>
        <w:rPr>
          <w:sz w:val="20"/>
          <w:szCs w:val="20"/>
          <w:color w:val="auto"/>
        </w:rPr>
      </w:pPr>
    </w:p>
    <w:p>
      <w:pPr>
        <w:jc w:val="both"/>
        <w:ind w:right="20" w:firstLine="399"/>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Interest expens</w:t>
      </w:r>
      <w:r>
        <w:rPr>
          <w:rFonts w:ascii="Times New Roman" w:cs="Times New Roman" w:eastAsia="Times New Roman" w:hAnsi="Times New Roman"/>
          <w:sz w:val="18"/>
          <w:szCs w:val="18"/>
          <w:color w:val="auto"/>
        </w:rPr>
        <w:t>e. The increase in interest expense by $1.4 million during the three months ended September 30, 2026, compared to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2025 was primarily due to higher average borrowings.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69"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2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759"/>
              <w:spacing w:after="0"/>
              <w:rPr>
                <w:sz w:val="20"/>
                <w:szCs w:val="20"/>
                <w:color w:val="auto"/>
              </w:rPr>
            </w:pPr>
            <w:r>
              <w:rPr>
                <w:rFonts w:ascii="Times New Roman" w:cs="Times New Roman" w:eastAsia="Times New Roman" w:hAnsi="Times New Roman"/>
                <w:sz w:val="18"/>
                <w:szCs w:val="18"/>
                <w:color w:val="auto"/>
                <w:w w:val="97"/>
              </w:rPr>
              <w:t>2.0</w:t>
            </w:r>
          </w:p>
        </w:tc>
        <w:tc>
          <w:tcPr>
            <w:tcW w:w="12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280" w:type="dxa"/>
            <w:vAlign w:val="bottom"/>
          </w:tcPr>
          <w:p>
            <w:pPr>
              <w:spacing w:after="0"/>
              <w:rPr>
                <w:sz w:val="20"/>
                <w:szCs w:val="20"/>
                <w:color w:val="auto"/>
              </w:rPr>
            </w:pPr>
          </w:p>
        </w:tc>
        <w:tc>
          <w:tcPr>
            <w:tcW w:w="1180" w:type="dxa"/>
            <w:vAlign w:val="bottom"/>
          </w:tcPr>
          <w:p>
            <w:pPr>
              <w:jc w:val="center"/>
              <w:ind w:left="759"/>
              <w:spacing w:after="0"/>
              <w:rPr>
                <w:sz w:val="20"/>
                <w:szCs w:val="20"/>
                <w:color w:val="auto"/>
              </w:rPr>
            </w:pPr>
            <w:r>
              <w:rPr>
                <w:rFonts w:ascii="Times New Roman" w:cs="Times New Roman" w:eastAsia="Times New Roman" w:hAnsi="Times New Roman"/>
                <w:sz w:val="18"/>
                <w:szCs w:val="18"/>
                <w:color w:val="auto"/>
                <w:w w:val="97"/>
              </w:rPr>
              <w:t>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left="719"/>
              <w:spacing w:after="0"/>
              <w:rPr>
                <w:sz w:val="20"/>
                <w:szCs w:val="20"/>
                <w:color w:val="auto"/>
              </w:rPr>
            </w:pPr>
            <w:r>
              <w:rPr>
                <w:rFonts w:ascii="Times New Roman" w:cs="Times New Roman" w:eastAsia="Times New Roman" w:hAnsi="Times New Roman"/>
                <w:sz w:val="18"/>
                <w:szCs w:val="18"/>
                <w:color w:val="auto"/>
                <w:w w:val="98"/>
              </w:rPr>
              <w:t>(1.0)</w:t>
            </w: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40"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3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8"/>
                <w:szCs w:val="18"/>
                <w:color w:val="auto"/>
                <w:w w:val="97"/>
              </w:rPr>
              <w:t>2.6</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Not Meaningful</w:t>
      </w:r>
    </w:p>
    <w:p>
      <w:pPr>
        <w:spacing w:after="0" w:line="378" w:lineRule="exact"/>
        <w:rPr>
          <w:sz w:val="20"/>
          <w:szCs w:val="20"/>
          <w:color w:val="auto"/>
        </w:rPr>
      </w:pPr>
    </w:p>
    <w:p>
      <w:pPr>
        <w:ind w:firstLine="399"/>
        <w:spacing w:after="0" w:line="260" w:lineRule="auto"/>
        <w:rPr>
          <w:sz w:val="20"/>
          <w:szCs w:val="20"/>
          <w:color w:val="auto"/>
        </w:rPr>
      </w:pPr>
      <w:r>
        <w:rPr>
          <w:rFonts w:ascii="Times New Roman" w:cs="Times New Roman" w:eastAsia="Times New Roman" w:hAnsi="Times New Roman"/>
          <w:sz w:val="18"/>
          <w:szCs w:val="18"/>
          <w:color w:val="auto"/>
        </w:rPr>
        <w:t>Other income, net decreased by $1.9 million during the three months ended September 30, 2026, compared to the three months ended September 30, 2025 primarily due to lower yield on our investments and higher other expenses, net.</w:t>
      </w:r>
    </w:p>
    <w:p>
      <w:pPr>
        <w:spacing w:after="0" w:line="18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The effective tax rate for the three months ended September 30, 2026 was 20.7%, a decrease from 22.1%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2025. We recorded income tax expense of $17.9 million and $16.5 million for the three months ended September 30, 2026 and 2025, respectively. The increase in income tax expense was primarily as a result of higher profit, compared to the three months ended September 30, 2025.</w:t>
      </w:r>
    </w:p>
    <w:p>
      <w:pPr>
        <w:spacing w:after="0" w:line="183"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The increase in net income by 18.2% during the three months ended September 30, 2026, compared to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2025 was attributable to the aforementioned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2026 and 2025:</w:t>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372"/>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0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vMerge w:val="restart"/>
          </w:tcPr>
          <w:p>
            <w:pPr>
              <w:spacing w:after="0"/>
              <w:rPr>
                <w:sz w:val="3"/>
                <w:szCs w:val="3"/>
                <w:color w:val="auto"/>
              </w:rPr>
            </w:pPr>
          </w:p>
        </w:tc>
        <w:tc>
          <w:tcPr>
            <w:tcW w:w="10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00" w:type="dxa"/>
            <w:vAlign w:val="bottom"/>
            <w:vMerge w:val="restart"/>
          </w:tcPr>
          <w:p>
            <w:pPr>
              <w:spacing w:after="0"/>
              <w:rPr>
                <w:sz w:val="3"/>
                <w:szCs w:val="3"/>
                <w:color w:val="auto"/>
              </w:rPr>
            </w:pPr>
          </w:p>
        </w:tc>
        <w:tc>
          <w:tcPr>
            <w:tcW w:w="9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(C=A-B)</w:t>
            </w: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Borders>
              <w:bottom w:val="single" w:sz="8" w:color="CCEEFF"/>
            </w:tcBorders>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591.5</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16.5 %</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13.7 %</w:t>
            </w: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r>
        <w:trPr>
          <w:trHeight w:val="166"/>
        </w:trPr>
        <w:tc>
          <w:tcPr>
            <w:tcW w:w="370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w w:val="99"/>
              </w:rPr>
              <w:t>Income before income tax expense and earnings</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262.1</w:t>
            </w:r>
          </w:p>
        </w:tc>
        <w:tc>
          <w:tcPr>
            <w:tcW w:w="10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0" w:type="dxa"/>
            <w:vAlign w:val="bottom"/>
          </w:tcPr>
          <w:p>
            <w:pPr>
              <w:spacing w:after="0"/>
              <w:rPr>
                <w:sz w:val="1"/>
                <w:szCs w:val="1"/>
                <w:color w:val="auto"/>
              </w:rPr>
            </w:pPr>
          </w:p>
        </w:tc>
      </w:tr>
      <w:tr>
        <w:trPr>
          <w:trHeight w:val="23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from equity affiliates</w:t>
            </w:r>
          </w:p>
        </w:tc>
        <w:tc>
          <w:tcPr>
            <w:tcW w:w="1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0" w:type="dxa"/>
            <w:vAlign w:val="bottom"/>
          </w:tcPr>
          <w:p>
            <w:pPr>
              <w:spacing w:after="0"/>
              <w:rPr>
                <w:sz w:val="1"/>
                <w:szCs w:val="1"/>
                <w:color w:val="auto"/>
              </w:rPr>
            </w:pPr>
          </w:p>
        </w:tc>
      </w:tr>
      <w:tr>
        <w:trPr>
          <w:trHeight w:val="23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from equity-method investment</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(105.5) %</w:t>
            </w:r>
          </w:p>
        </w:tc>
        <w:tc>
          <w:tcPr>
            <w:tcW w:w="0" w:type="dxa"/>
            <w:vAlign w:val="bottom"/>
          </w:tcPr>
          <w:p>
            <w:pPr>
              <w:spacing w:after="0"/>
              <w:rPr>
                <w:sz w:val="1"/>
                <w:szCs w:val="1"/>
                <w:color w:val="auto"/>
              </w:rPr>
            </w:pPr>
          </w:p>
        </w:tc>
      </w:tr>
      <w:tr>
        <w:trPr>
          <w:trHeight w:val="25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190.8</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41" w:lineRule="exact"/>
        <w:rPr>
          <w:sz w:val="20"/>
          <w:szCs w:val="20"/>
          <w:color w:val="auto"/>
        </w:rPr>
      </w:pPr>
    </w:p>
    <w:p>
      <w:pPr>
        <w:ind w:firstLine="399"/>
        <w:spacing w:after="0" w:line="276"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September 30, 2026 Compared to Nine Months Ended September 30, 2025</w:t>
      </w:r>
    </w:p>
    <w:p>
      <w:pPr>
        <w:spacing w:after="0" w:line="2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summarizes our revenues by reportable segments:</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Total Revenues for the nine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66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900" w:type="dxa"/>
            <w:vAlign w:val="bottom"/>
            <w:tcBorders>
              <w:top w:val="single" w:sz="8" w:color="auto"/>
            </w:tcBorders>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4"/>
                <w:szCs w:val="4"/>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00" w:type="dxa"/>
            <w:vAlign w:val="bottom"/>
            <w:gridSpan w:val="2"/>
            <w:vMerge w:val="continue"/>
          </w:tcPr>
          <w:p>
            <w:pPr>
              <w:spacing w:after="0"/>
              <w:rPr>
                <w:sz w:val="4"/>
                <w:szCs w:val="4"/>
                <w:color w:val="auto"/>
              </w:rPr>
            </w:pPr>
          </w:p>
        </w:tc>
        <w:tc>
          <w:tcPr>
            <w:tcW w:w="1380" w:type="dxa"/>
            <w:vAlign w:val="bottom"/>
            <w:tcBorders>
              <w:top w:val="single" w:sz="8" w:color="auto"/>
            </w:tcBorders>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186"/>
        </w:trPr>
        <w:tc>
          <w:tcPr>
            <w:tcW w:w="332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Banking, Capital Markets and Diversified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39"/>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5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Revenues for the nine months ended September 30, 2026 were up by $254.0 million, or 16.4%, compared to the nine months ended September 30, 2025, driven by 12.9% growth from the expansion of business with existing clients across all reportable segments and 3.5% growth from new client wins, including 1.0% growth from our acquisition of iMerit during the nine months ended September 30, 2026.</w:t>
      </w:r>
    </w:p>
    <w:p>
      <w:pPr>
        <w:spacing w:after="0" w:line="202"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Revenue growth in Insurance by 14.4% was driven by 13.4% growth from the expansion of business with existing clients and 1.0% growth from new clients during the nine months ended September 30, 2026, compared to the nine months ended September 30, 2025.</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Revenue growth in Healthcare and Life Sciences by 20.5% was driven by 19.4% growth from the expansion of business with existing clients and 1.1% growth from new clients, including growth from our acquisition of iMerit during the nine months ended September 30, 2026, compared to the nine months ended September 30, 2025.</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Revenue growth in Banking, Capital Markets and Diversified Industries by 15.3% was driven by 9.5% growth from new clients, including 3.4% growth from our acquisition of iMerit, and 5.8% growth from the expansion of business with existing clients during the nine months ended September 30, 2026, compared to the nine months ended September 30, 2025.</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Revenue growth in International Growth Markets of 16.2% was driven by 12.3% growth from the expansion of business with existing clients and 4.0% growth from new clients, including growth from our acquisition of iMerit, partially offset by 0.1% foreign exchange loss, net of hedging during the nine months ended September 30, 2026, compared to the nine months ended September 30, 2025.</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2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24"/>
                <w:szCs w:val="2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4"/>
                <w:szCs w:val="4"/>
                <w:color w:val="auto"/>
              </w:rPr>
            </w:pPr>
          </w:p>
        </w:tc>
        <w:tc>
          <w:tcPr>
            <w:tcW w:w="110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5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00" w:type="dxa"/>
            <w:vAlign w:val="bottom"/>
          </w:tcPr>
          <w:p>
            <w:pPr>
              <w:spacing w:after="0"/>
              <w:rPr>
                <w:sz w:val="20"/>
                <w:szCs w:val="20"/>
                <w:color w:val="auto"/>
              </w:rPr>
            </w:pP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4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Banking, Capital Markets and</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Industries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Cost of revenues for the nine months ended September 30, 2026 increased by $156.3 million, or 16.4%, compared to the nine months ended September 30, 2025. The increase in cost of revenues was due to increases in employee-related costs of $136.7 million on account of higher headcount and wage inflation, including incremental cost related to our acquisition of iMerit, higher technology costs of $22.7 million, and higher facilities and other operating costs of $15.3 million, partially offset by a foreign exchange gain, net of hedging of $18.4 million. Our gross margin remained flat during the nine months ended September 30, 2026, compared to the nine months ended September 30, 2025.</w:t>
      </w:r>
    </w:p>
    <w:p>
      <w:pPr>
        <w:spacing w:after="0" w:line="199" w:lineRule="exact"/>
        <w:rPr>
          <w:sz w:val="20"/>
          <w:szCs w:val="20"/>
          <w:color w:val="auto"/>
        </w:rPr>
      </w:pPr>
    </w:p>
    <w:p>
      <w:pPr>
        <w:jc w:val="both"/>
        <w:ind w:firstLine="399"/>
        <w:spacing w:after="0" w:line="236" w:lineRule="auto"/>
        <w:rPr>
          <w:sz w:val="20"/>
          <w:szCs w:val="20"/>
          <w:color w:val="auto"/>
        </w:rPr>
      </w:pPr>
      <w:r>
        <w:rPr>
          <w:rFonts w:ascii="Times New Roman" w:cs="Times New Roman" w:eastAsia="Times New Roman" w:hAnsi="Times New Roman"/>
          <w:sz w:val="18"/>
          <w:szCs w:val="18"/>
          <w:color w:val="auto"/>
        </w:rPr>
        <w:t>The increase in cost of revenues in Insurance by $47.4 million for the nine months ended September 30, 2026 was due to increases in employee-related costs of $42.5 million on account of higher headcount and wage inflation, higher technology costs of $6.6 million, and higher other operating costs of $2.7 million, partially offset by foreign exchange gain, net of hedging of $4.4 million. Gross margin in Insurance increased by 10 bps, primarily due to higher revenues and operational efficiencies during the nine months ended September 30, 2026, compared to the nine months ended September 30, 2025.</w:t>
      </w:r>
    </w:p>
    <w:p>
      <w:pPr>
        <w:spacing w:after="0" w:line="210"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The increase in cost of revenues in Healthcare and Life Sciences by $34.2 million for the nine months ended September 30, 2026 was due to increases in employee-related costs of $27.3 million on account of higher headcount and wage inflation, including incremental cost related to our acquisition of iMerit, higher technology costs of $5.2 million, and higher other operating costs of $6.2 million, partially offset by foreign exchange gain, net of hedging of $4.5 million. Gross margin in Healthcare and Life Sciences increased by 230 bps, primarily due to higher revenues and operational efficiencies during the nine months ended September 30, 2026, compared to the nine months ended September 30, 2025.</w:t>
      </w:r>
    </w:p>
    <w:p>
      <w:pPr>
        <w:spacing w:after="0" w:line="210" w:lineRule="exact"/>
        <w:rPr>
          <w:sz w:val="20"/>
          <w:szCs w:val="20"/>
          <w:color w:val="auto"/>
        </w:rPr>
      </w:pPr>
    </w:p>
    <w:p>
      <w:pPr>
        <w:jc w:val="both"/>
        <w:ind w:firstLine="399"/>
        <w:spacing w:after="0" w:line="237" w:lineRule="auto"/>
        <w:rPr>
          <w:sz w:val="20"/>
          <w:szCs w:val="20"/>
          <w:color w:val="auto"/>
        </w:rPr>
      </w:pPr>
      <w:r>
        <w:rPr>
          <w:rFonts w:ascii="Times New Roman" w:cs="Times New Roman" w:eastAsia="Times New Roman" w:hAnsi="Times New Roman"/>
          <w:sz w:val="18"/>
          <w:szCs w:val="18"/>
          <w:color w:val="auto"/>
        </w:rPr>
        <w:t>The increase in cost of revenues in Banking, Capital Markets and Diversified Industries by $44.6 million for the nine months ended September 30, 2026 was due to increases in employee-related costs of $40.0 million on account of higher headcount and wage inflation, including incremental cost related to our acquisition of iMerit, higher technology costs of $5.0 million, and higher facilities and other operating costs of $4.2 million, partially offset by a foreign exchange gain, net of hedging of $4.6 million. Gross margin in Banking, Capital Markets and Diversified Industries decreased by 250 bps, primarily due to investments in ramp-ups, lower volumes from certain existing clients, and higher operating expenses during the nine months ended September 30, 2026, compared to the nine months ended September 30, 2025.</w:t>
      </w:r>
    </w:p>
    <w:p>
      <w:pPr>
        <w:spacing w:after="0" w:line="19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7"/>
          <w:szCs w:val="17"/>
          <w:color w:val="auto"/>
        </w:rPr>
        <w:t>The increase in cost of revenues in International Growth Markets by $30.1 million for the nine months ended September 30, 2026 was due to increases in employee-related costs of $26.9 million on account of higher headcount and wage inflation, including incremental cost related to our acquisition of iMerit, higher technology costs of $5.9 million, and higher facilities and other operating costs of $2.2 million, partially offset by a foreign exchange gain, net of hedging of $4.9 million. Gross margin in International Growth Markets decreased by 60 bps, primarily due to investments in ramp-ups and lower volumes from certain existing clients during the nine months ended September 30, 2026, compared to the nine months ended September 30, 2025.</w:t>
      </w:r>
    </w:p>
    <w:p>
      <w:pPr>
        <w:spacing w:after="0" w:line="203" w:lineRule="exact"/>
        <w:rPr>
          <w:sz w:val="20"/>
          <w:szCs w:val="20"/>
          <w:color w:val="auto"/>
        </w:rPr>
      </w:pPr>
    </w:p>
    <w:p>
      <w:pPr>
        <w:jc w:val="both"/>
        <w:ind w:firstLine="39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as a percentage of net revenues increased from 20.3% during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2025 to 20.8% during the nine months ended September 30, 2026.</w:t>
      </w:r>
    </w:p>
    <w:p>
      <w:pPr>
        <w:spacing w:after="0" w:line="173"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The increase in SG&amp;A expenses by $60.7 million during the nine months ended September 30, 2026, compared to the nine months ended September 30, 2025 was primarily due to increases in employee-related costs of $45.3 million on account of higher headcount and wage inflation, including incremental cost related to our acquisition of iMerit, increased investments in digital and generative AI capabilities of $7.9 million, higher sales and marketing costs of $3.8 million, and acquisition related expenses of $3.7 million.</w:t>
      </w:r>
    </w:p>
    <w:p>
      <w:pPr>
        <w:spacing w:after="0" w:line="218"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as a percentage of net revenues decreased by 0.2% during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2026, compared to the nine months ended September 30, 2025.</w:t>
      </w:r>
    </w:p>
    <w:p>
      <w:pPr>
        <w:spacing w:after="0" w:line="18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increase in depreciation and amortization expense by $4.7 million during the nine months ended September 30, 2026, compared to the nine months ended September 30, 2025 was due to an increase in amortization of intangibles of $3.0 million in connection with our acquisition of iMerit, and investments in infrastructure, technology assets and digital capabilities of $1.7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The increase in income from operations by 13.7% during the nine months ended September 30, 2026, compared to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2025 was primarily due to higher revenues and gross profit, partially offset by higher SG&amp;A expenses.</w:t>
      </w:r>
    </w:p>
    <w:p>
      <w:pPr>
        <w:spacing w:after="0" w:line="182"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We recorded a foreign exchange gain, net of $4.2 million for the nine months ended September 30, 2026,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exchange gain, net of $2.4 million for the nine months ended September 30, 2025. Foreign exchange gains and losses are primarily attributable to the movement of the U.S. dollar against the Indian rupee, the Philippine peso, the U.K. pound sterling and the South African rand during the nine months ended September 30, 2026, compared to the nine months ended September 30, 2025.</w:t>
      </w:r>
    </w:p>
    <w:p>
      <w:pPr>
        <w:spacing w:after="0" w:line="204"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increase in interest expense by $2.0 million during the nine months ended September 30, 2026, compared to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2025 was primarily due to higher average borrowings.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38"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Dollar</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1"/>
        </w:trPr>
        <w:tc>
          <w:tcPr>
            <w:tcW w:w="57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1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8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of contingent consideration</w:t>
            </w: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r>
      <w:tr>
        <w:trPr>
          <w:trHeight w:val="25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decreased by $9.6 million during the nine months ended September 30, 2026, compared to the nine months ended September 30,</w:t>
      </w:r>
    </w:p>
    <w:p>
      <w:pPr>
        <w:spacing w:after="0" w:line="1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2025 primarily due to changes in the fair value consideration related to our August 2024 acquisition of Incandescent Technologies, Inc. (“ITI Data”), lower yield on our investments and higher other expenses, net.</w:t>
      </w:r>
    </w:p>
    <w:p>
      <w:pPr>
        <w:spacing w:after="0" w:line="204" w:lineRule="exact"/>
        <w:rPr>
          <w:sz w:val="20"/>
          <w:szCs w:val="20"/>
          <w:color w:val="auto"/>
        </w:rPr>
      </w:pPr>
    </w:p>
    <w:p>
      <w:pPr>
        <w:jc w:val="both"/>
        <w:ind w:firstLine="408"/>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The effective tax rate for the nine months ended September 30, 2026 was 23.5%, an increase from 20.3% for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2025. We recorded income tax expense of $61.7 million and $48.5 million for the nine months ended September 30, 2026 and 2025, respectively. The increase in income tax expense was primarily as a result of higher profit and lower excess tax benefits related to stock-based compensation, partially offset by a decrease in non-deductible compensation expenses, compared to the nine months ended September 30, 2025.</w:t>
      </w:r>
    </w:p>
    <w:p>
      <w:pPr>
        <w:spacing w:after="0" w:line="203" w:lineRule="exact"/>
        <w:rPr>
          <w:sz w:val="20"/>
          <w:szCs w:val="20"/>
          <w:color w:val="auto"/>
        </w:rPr>
      </w:pPr>
    </w:p>
    <w:p>
      <w:pPr>
        <w:ind w:firstLine="39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The increase in net income by 5.0% during the nine months ended September 30, 2026, compared to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was attributable to the aforementioned factors.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78"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06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8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19"/>
        </w:trPr>
        <w:tc>
          <w:tcPr>
            <w:tcW w:w="48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4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140.6 %</w:t>
            </w: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for) financing activities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both"/>
        <w:ind w:firstLine="399"/>
        <w:spacing w:after="0" w:line="234" w:lineRule="auto"/>
        <w:rPr>
          <w:sz w:val="20"/>
          <w:szCs w:val="20"/>
          <w:color w:val="auto"/>
        </w:rPr>
      </w:pPr>
      <w:r>
        <w:rPr>
          <w:rFonts w:ascii="Times New Roman" w:cs="Times New Roman" w:eastAsia="Times New Roman" w:hAnsi="Times New Roman"/>
          <w:sz w:val="18"/>
          <w:szCs w:val="18"/>
          <w:color w:val="auto"/>
        </w:rPr>
        <w:t>As of September 30, 2026 and December 31, 2025, we had $332.7 million and $328.4 million, respectively, in cash, cash equivalents and short-term investments, of which $293.0 million and $285.8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As and when we decide to distribute, we may have to accrue additional taxes in accordance with local tax laws, rules and regulations in the relevant foreign jurisdictions. During the nine months ended September 30, 2026, some of our foreign subsidiaries repatriated $13.0 million to the United States.</w:t>
      </w:r>
    </w:p>
    <w:p>
      <w:pPr>
        <w:spacing w:after="0" w:line="210"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$208.8 million during the nine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$233.3 million during the nine months ended September 30, 2025, reflecting higher working capital needs, partially offset by higher cash earnings. The major drivers contributing to the decrease of $24.5 million year-over-year included the following:</w:t>
      </w:r>
    </w:p>
    <w:p>
      <w:pPr>
        <w:spacing w:after="0" w:line="203" w:lineRule="exact"/>
        <w:rPr>
          <w:sz w:val="20"/>
          <w:szCs w:val="20"/>
          <w:color w:val="auto"/>
        </w:rPr>
      </w:pPr>
    </w:p>
    <w:p>
      <w:pPr>
        <w:jc w:val="both"/>
        <w:ind w:left="640" w:hanging="315"/>
        <w:spacing w:after="0" w:line="24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including advance billings, contributed lower cash flow of $54.6 million during the nine months ended September 30, 2026, compared to the nine months ended September 30, 2025, driven by revenue growth and higher days sales outstanding. Our days sales outstanding were 67 days as of September 30, 2026, compared to 63 days as of September 30, 2025.</w:t>
      </w:r>
    </w:p>
    <w:p>
      <w:pPr>
        <w:spacing w:after="0" w:line="203" w:lineRule="exact"/>
        <w:rPr>
          <w:rFonts w:ascii="Times New Roman" w:cs="Times New Roman" w:eastAsia="Times New Roman" w:hAnsi="Times New Roman"/>
          <w:sz w:val="18"/>
          <w:szCs w:val="18"/>
          <w:color w:val="auto"/>
        </w:rPr>
      </w:pPr>
    </w:p>
    <w:p>
      <w:pPr>
        <w:jc w:val="both"/>
        <w:ind w:left="640" w:hanging="315"/>
        <w:spacing w:after="0" w:line="23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cash earnings, including adjustments for non-cash and other items contributed higher cash flow of $27.4 million during the nine months ended September 30, 2026, compared to the nine months ended September 30, 2025. These adjustments include unrealized foreign currency exchange (gain)/loss, net, fair value mark-to-market on investments, stock-based employee compensation, depreciation and amortization of long-lived assets and intangibles acquired in business combinations, among others.</w:t>
      </w:r>
    </w:p>
    <w:p>
      <w:pPr>
        <w:spacing w:after="0" w:line="209"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assets, accounts payables including other liabilities contributed to a lower cash payout of $2.7 million during the nine months ended September 30, 2026, compared to the nine months ended September 30, 2025.</w:t>
      </w:r>
    </w:p>
    <w:p>
      <w:pPr>
        <w:spacing w:after="0" w:line="188" w:lineRule="exact"/>
        <w:rPr>
          <w:sz w:val="20"/>
          <w:szCs w:val="20"/>
          <w:color w:val="auto"/>
        </w:rPr>
      </w:pPr>
    </w:p>
    <w:p>
      <w:pPr>
        <w:jc w:val="both"/>
        <w:ind w:firstLine="399"/>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used for investing activities was $198.7 million during the nine months ended September 30, 2026,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of $82.6 million for the nine months ended September 30, 2025. The increase of $116.1 million was primarily due to net cash used for business acquisition of $153.8 million, and higher cash paid for capital expenditures, including investments in infrastructure, technology assets and digital capabilities of $2.5 million, partially offset by lower purchases of investments of $40.2 million during the nine months ended September 30, 2026, compared to the nine months ended September 30, 2025.</w:t>
      </w:r>
    </w:p>
    <w:p>
      <w:pPr>
        <w:spacing w:after="0" w:line="206" w:lineRule="exact"/>
        <w:rPr>
          <w:sz w:val="20"/>
          <w:szCs w:val="20"/>
          <w:color w:val="auto"/>
        </w:rPr>
      </w:pPr>
    </w:p>
    <w:p>
      <w:pPr>
        <w:jc w:val="both"/>
        <w:ind w:firstLine="39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$1.9 million during the nine months ended September 30, 2026, compared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of $147.9 million during the nine months ended September 30, 2025. The increase of $149.8 million was primarily due to higher net proceeds from borrowings of $144.0 million, and lower purchases of treasury stock of $6.5 million under our share repurchase programs during the nine months ended September 30, 2026, compared to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99"/>
        <w:spacing w:after="0" w:line="289" w:lineRule="auto"/>
        <w:rPr>
          <w:sz w:val="20"/>
          <w:szCs w:val="20"/>
          <w:color w:val="auto"/>
        </w:rPr>
      </w:pPr>
      <w:r>
        <w:rPr>
          <w:rFonts w:ascii="Times New Roman" w:cs="Times New Roman" w:eastAsia="Times New Roman" w:hAnsi="Times New Roman"/>
          <w:sz w:val="17"/>
          <w:szCs w:val="17"/>
          <w:color w:val="auto"/>
        </w:rPr>
        <w:t>We expect to use cash from operating activities to maintain and expand our business by making investments, primarily related to building new digital capabilities, including AI and purchase telecommunications equipment and computer hardware and software in connection with managing client operations.</w:t>
      </w:r>
    </w:p>
    <w:p>
      <w:pPr>
        <w:spacing w:after="0" w:line="181"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We incurred $44.1 million of capital expenditure during the nine months ended September 30, 2026. We expect to incur total capital expenditures of between $58.0 million and $62.0 million in fiscal 2026, primarily to meet our growth requirements, including additions to our facilities and infrastructure, as well as investments in technology applications, product development, and other digital technologies.</w:t>
      </w:r>
    </w:p>
    <w:p>
      <w:pPr>
        <w:spacing w:after="0" w:line="217"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information.</w:t>
      </w:r>
    </w:p>
    <w:p>
      <w:pPr>
        <w:spacing w:after="0" w:line="204" w:lineRule="exact"/>
        <w:rPr>
          <w:sz w:val="20"/>
          <w:szCs w:val="20"/>
          <w:color w:val="auto"/>
        </w:rPr>
      </w:pPr>
    </w:p>
    <w:p>
      <w:pPr>
        <w:jc w:val="both"/>
        <w:ind w:firstLine="399"/>
        <w:spacing w:after="0" w:line="234"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and sources of liquidity will be sufficient to satisfy our cash requirements over the next twelve months. Our future cash requirements will depend on many factors, including our rate of revenue growth, our investments in strategic initiatives like acquisition of complementary businesses, capital expenditures and continued stock repurchases, including accelerated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we may need to obtain additional financing.</w:t>
      </w:r>
    </w:p>
    <w:p>
      <w:pPr>
        <w:spacing w:after="0" w:line="225" w:lineRule="exact"/>
        <w:rPr>
          <w:sz w:val="20"/>
          <w:szCs w:val="20"/>
          <w:color w:val="auto"/>
        </w:rPr>
      </w:pPr>
    </w:p>
    <w:p>
      <w:pPr>
        <w:jc w:val="both"/>
        <w:ind w:firstLine="399"/>
        <w:spacing w:after="0" w:line="243" w:lineRule="auto"/>
        <w:rPr>
          <w:sz w:val="20"/>
          <w:szCs w:val="20"/>
          <w:color w:val="auto"/>
        </w:rPr>
      </w:pPr>
      <w:r>
        <w:rPr>
          <w:rFonts w:ascii="Times New Roman" w:cs="Times New Roman" w:eastAsia="Times New Roman" w:hAnsi="Times New Roman"/>
          <w:sz w:val="18"/>
          <w:szCs w:val="18"/>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20 - Employee Benefit Plans, Note 21 - Leases, Note 22 - Income Taxes and Note 25 - Commitments and Contingencies to our unaudited consolidated financial statements under Part I, Item 1, “Financial Statements” for further information on material cash requirements from known contractual and other obligations.</w:t>
      </w:r>
    </w:p>
    <w:p>
      <w:pPr>
        <w:spacing w:after="0" w:line="205" w:lineRule="exact"/>
        <w:rPr>
          <w:sz w:val="20"/>
          <w:szCs w:val="20"/>
          <w:color w:val="auto"/>
        </w:rPr>
      </w:pPr>
    </w:p>
    <w:p>
      <w:pPr>
        <w:jc w:val="both"/>
        <w:ind w:firstLine="399"/>
        <w:spacing w:after="0" w:line="246"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September 30, 2026 and December 31, 2025, we had outstanding letters of credit of $1.1 million and $1.6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debt position:</w:t>
      </w:r>
    </w:p>
    <w:p>
      <w:pPr>
        <w:spacing w:after="0" w:line="274"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Revolving credit</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6"/>
                <w:szCs w:val="16"/>
                <w:b w:val="1"/>
                <w:bCs w:val="1"/>
                <w:color w:val="auto"/>
                <w:w w:val="97"/>
              </w:rPr>
              <w:t>Term loan</w:t>
            </w:r>
          </w:p>
        </w:tc>
        <w:tc>
          <w:tcPr>
            <w:tcW w:w="240" w:type="dxa"/>
            <w:vAlign w:val="bottom"/>
          </w:tcPr>
          <w:p>
            <w:pPr>
              <w:spacing w:after="0"/>
              <w:rPr>
                <w:sz w:val="14"/>
                <w:szCs w:val="14"/>
                <w:color w:val="auto"/>
              </w:rPr>
            </w:pPr>
          </w:p>
        </w:tc>
        <w:tc>
          <w:tcPr>
            <w:tcW w:w="82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Revolving credit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2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0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Term loan facility</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0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66"/>
        </w:trPr>
        <w:tc>
          <w:tcPr>
            <w:tcW w:w="304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b w:val="1"/>
                <w:bCs w:val="1"/>
                <w:color w:val="auto"/>
              </w:rPr>
              <w:t>Current portion of long-term</w:t>
            </w: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6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3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20" w:firstLine="399"/>
        <w:spacing w:after="0" w:line="260" w:lineRule="auto"/>
        <w:rPr>
          <w:sz w:val="20"/>
          <w:szCs w:val="20"/>
          <w:color w:val="auto"/>
        </w:rPr>
      </w:pPr>
      <w:r>
        <w:rPr>
          <w:rFonts w:ascii="Times New Roman" w:cs="Times New Roman" w:eastAsia="Times New Roman" w:hAnsi="Times New Roman"/>
          <w:sz w:val="18"/>
          <w:szCs w:val="18"/>
          <w:color w:val="auto"/>
        </w:rPr>
        <w:t>As of September 30, 2026 and December 31, 2025, we were in compliance with the financial covenants under our respective credit agreements. See Note 18, “Borrowings,” to our unaudited consolidated financial statements.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4"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 Summary of Significant Accounting Policies - Recent Accounting Pronouncements to our unaudited consolidated financial statements under Part I, Item 1,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34"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disclosures about market risk from those disclosed in Part II, Item 7A “Quantitative and Qualitative Disclosures About Market Risk” in our Annual Report on Form 10-K for the fiscal year ended December 31, 2025.</w:t>
      </w:r>
    </w:p>
    <w:p>
      <w:pPr>
        <w:spacing w:after="0" w:line="200" w:lineRule="exact"/>
        <w:rPr>
          <w:sz w:val="20"/>
          <w:szCs w:val="20"/>
          <w:color w:val="auto"/>
        </w:rPr>
      </w:pP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355"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2026. Based upon that evaluation, our CEO and CFO have concluded that the Company’s disclosure controls and procedures, as of September 30, 2026, were effective.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9" w:lineRule="exact"/>
        <w:rPr>
          <w:sz w:val="20"/>
          <w:szCs w:val="20"/>
          <w:color w:val="auto"/>
        </w:rPr>
      </w:pPr>
    </w:p>
    <w:p>
      <w:pPr>
        <w:jc w:val="both"/>
        <w:ind w:firstLine="399"/>
        <w:spacing w:after="0" w:line="289" w:lineRule="auto"/>
        <w:rPr>
          <w:sz w:val="20"/>
          <w:szCs w:val="20"/>
          <w:color w:val="auto"/>
        </w:rPr>
      </w:pPr>
      <w:r>
        <w:rPr>
          <w:rFonts w:ascii="Times New Roman" w:cs="Times New Roman" w:eastAsia="Times New Roman" w:hAnsi="Times New Roman"/>
          <w:sz w:val="17"/>
          <w:szCs w:val="17"/>
          <w:color w:val="auto"/>
        </w:rPr>
        <w:t>During the three months ended September 30, 2026,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81"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In making its assessment of the changes in internal control over financial reporting during the three months ended September 30, 2026, our management excluded an evaluation of iMerit, including the disclosure controls and procedures of iMerit that are subsumed by internal control over financial reporting, which we acquired on July 31, 2026. See Note 10 - Business Combinations, Goodwill and Other Intangible Assets to our unaudited consolidated financial statements under Part I, Item 1, “Financial Statements” for details of our acquisition.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6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7" w:lineRule="exact"/>
        <w:rPr>
          <w:sz w:val="20"/>
          <w:szCs w:val="20"/>
          <w:color w:val="auto"/>
        </w:rPr>
      </w:pPr>
    </w:p>
    <w:p>
      <w:pPr>
        <w:jc w:val="both"/>
        <w:ind w:firstLine="399"/>
        <w:spacing w:after="0" w:line="285" w:lineRule="auto"/>
        <w:rPr>
          <w:sz w:val="20"/>
          <w:szCs w:val="20"/>
          <w:color w:val="auto"/>
        </w:rPr>
      </w:pPr>
      <w:r>
        <w:rPr>
          <w:rFonts w:ascii="Times New Roman" w:cs="Times New Roman" w:eastAsia="Times New Roman" w:hAnsi="Times New Roman"/>
          <w:sz w:val="17"/>
          <w:szCs w:val="17"/>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w:t>
      </w:r>
    </w:p>
    <w:p>
      <w:pPr>
        <w:spacing w:after="0" w:line="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position, results of operations or cash flows. See Note 25 - Commitments and Contingencies to our unaudited consolidated financial statements under Part I, Item 1, “Financial Statements” for details regarding our tax proceedings.</w:t>
      </w:r>
    </w:p>
    <w:p>
      <w:pPr>
        <w:spacing w:after="0" w:line="17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2025,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1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September 30, 2026, purchases of common stock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gridSpan w:val="6"/>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from Employees in connection with</w:t>
            </w:r>
          </w:p>
        </w:tc>
        <w:tc>
          <w:tcPr>
            <w:tcW w:w="27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 Purchased as Part of Publicly</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4"/>
          </w:tcPr>
          <w:p>
            <w:pPr>
              <w:jc w:val="center"/>
              <w:ind w:left="1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satisfaction of Withholding Tax</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5"/>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93"/>
        </w:trPr>
        <w:tc>
          <w:tcPr>
            <w:tcW w:w="2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6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Announced Programs</w:t>
            </w: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gridSpan w:val="5"/>
            <w:vMerge w:val="continue"/>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tcBorders>
            <w:vMerge w:val="restart"/>
          </w:tcPr>
          <w:p>
            <w:pPr>
              <w:jc w:val="center"/>
              <w:ind w:left="1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tcBorders>
            <w:gridSpan w:val="2"/>
            <w:vMerge w:val="restart"/>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0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60"/>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980" w:type="dxa"/>
            <w:vAlign w:val="bottom"/>
          </w:tcPr>
          <w:p>
            <w:pPr>
              <w:jc w:val="center"/>
              <w:ind w:left="1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11"/>
        </w:trPr>
        <w:tc>
          <w:tcPr>
            <w:tcW w:w="2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8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July 1, 2026 through July 31,</w:t>
            </w:r>
          </w:p>
        </w:tc>
        <w:tc>
          <w:tcPr>
            <w:tcW w:w="98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center"/>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169,278</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345,257,134</w:t>
            </w: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28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6"/>
                <w:szCs w:val="16"/>
                <w:color w:val="auto"/>
              </w:rPr>
              <w:t>August 1, 2026 through</w:t>
            </w:r>
          </w:p>
        </w:tc>
        <w:tc>
          <w:tcPr>
            <w:tcW w:w="980" w:type="dxa"/>
            <w:vAlign w:val="bottom"/>
          </w:tcPr>
          <w:p>
            <w:pPr>
              <w:spacing w:after="0"/>
              <w:rPr>
                <w:sz w:val="15"/>
                <w:szCs w:val="15"/>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center"/>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253,207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253,207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336,034,851</w:t>
            </w:r>
          </w:p>
        </w:tc>
        <w:tc>
          <w:tcPr>
            <w:tcW w:w="0" w:type="dxa"/>
            <w:vAlign w:val="bottom"/>
          </w:tcPr>
          <w:p>
            <w:pPr>
              <w:spacing w:after="0"/>
              <w:rPr>
                <w:sz w:val="1"/>
                <w:szCs w:val="1"/>
                <w:color w:val="auto"/>
              </w:rPr>
            </w:pPr>
          </w:p>
        </w:tc>
      </w:tr>
      <w:tr>
        <w:trPr>
          <w:trHeight w:val="210"/>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31, 2026</w:t>
            </w:r>
          </w:p>
        </w:tc>
        <w:tc>
          <w:tcPr>
            <w:tcW w:w="9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September 1, 2026 through</w:t>
            </w:r>
          </w:p>
        </w:tc>
        <w:tc>
          <w:tcPr>
            <w:tcW w:w="9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5"/>
                <w:szCs w:val="15"/>
                <w:color w:val="auto"/>
              </w:rPr>
            </w:pPr>
          </w:p>
        </w:tc>
        <w:tc>
          <w:tcPr>
            <w:tcW w:w="1200" w:type="dxa"/>
            <w:vAlign w:val="bottom"/>
            <w:vMerge w:val="restart"/>
            <w:shd w:val="clear" w:color="auto" w:fill="CCEEFF"/>
          </w:tcPr>
          <w:p>
            <w:pPr>
              <w:jc w:val="center"/>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341,530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341,530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323,884,386</w:t>
            </w: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9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center"/>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764,015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both"/>
        <w:ind w:right="20" w:firstLine="399"/>
        <w:spacing w:after="0" w:line="250"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 million (excluding excise tax) common stock repurchase program beginning March 1, 2024 (the “2024 Repurchase Program”), which was terminated effective February 28, 2026.</w:t>
      </w: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On February 19, 2026, the Company’s board of directors authorized a $500 million (excluding excise tax) common stock repurchase program effective February 28, 2026 (the “2026 Repurchase Program”), which replaced the 2024 Repurchase Program, and which will terminate on February 29, 2028 unless terminated earlier.</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Under our repurchase program, shares may be purchased by us from time to time from the open market and through private transactions, or otherwise, as determined by our management as market conditions warrant. We have structured open market purchases under our repurchase program to comply with Rule 10b-18 under the Exchange Act. Repurchases may be discontinued at any time by management or our board of directors. Repurchased shares are recorded as treasury shares and are held until our board of directors designates that these shares be retired or used for other purposes.</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4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or terminated a “Rule 10b5-1 trading arrangement” or “non-Rule 10b5-1 trading arrangement,” as each term is defined in Item 408(a) of Regulation S-K, except as described below:</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2"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Character of Trading</w:t>
            </w: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Date Adopted</w:t>
            </w:r>
          </w:p>
        </w:tc>
        <w:tc>
          <w:tcPr>
            <w:tcW w:w="18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 xml:space="preserve">Duration </w:t>
            </w:r>
            <w:r>
              <w:rPr>
                <w:rFonts w:ascii="Times New Roman" w:cs="Times New Roman" w:eastAsia="Times New Roman" w:hAnsi="Times New Roman"/>
                <w:sz w:val="20"/>
                <w:szCs w:val="20"/>
                <w:b w:val="1"/>
                <w:bCs w:val="1"/>
                <w:color w:val="auto"/>
                <w:vertAlign w:val="superscript"/>
              </w:rPr>
              <w:t>(2)</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 Number of Shares of</w:t>
            </w:r>
          </w:p>
        </w:tc>
      </w:tr>
      <w:tr>
        <w:trPr>
          <w:trHeight w:val="186"/>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6"/>
                <w:szCs w:val="16"/>
                <w:b w:val="1"/>
                <w:bCs w:val="1"/>
                <w:color w:val="auto"/>
                <w:w w:val="96"/>
              </w:rPr>
              <w:t xml:space="preserve">Arrangement </w:t>
            </w:r>
            <w:r>
              <w:rPr>
                <w:rFonts w:ascii="Times New Roman" w:cs="Times New Roman" w:eastAsia="Times New Roman" w:hAnsi="Times New Roman"/>
                <w:sz w:val="20"/>
                <w:szCs w:val="20"/>
                <w:b w:val="1"/>
                <w:bCs w:val="1"/>
                <w:color w:val="auto"/>
                <w:w w:val="96"/>
                <w:vertAlign w:val="superscript"/>
              </w:rPr>
              <w:t>(1)</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to be Sold</w:t>
            </w:r>
          </w:p>
        </w:tc>
      </w:tr>
      <w:tr>
        <w:trPr>
          <w:trHeight w:val="173"/>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Pursuant to Trading</w:t>
            </w:r>
          </w:p>
        </w:tc>
      </w:tr>
      <w:tr>
        <w:trPr>
          <w:trHeight w:val="210"/>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Arrangement</w:t>
            </w:r>
          </w:p>
        </w:tc>
      </w:tr>
      <w:tr>
        <w:trPr>
          <w:trHeight w:val="32"/>
        </w:trPr>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179"/>
        </w:trPr>
        <w:tc>
          <w:tcPr>
            <w:tcW w:w="27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Ajay Ayyappan,</w:t>
            </w: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73"/>
        </w:trPr>
        <w:tc>
          <w:tcPr>
            <w:tcW w:w="27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Executive Vice President, General</w:t>
            </w:r>
          </w:p>
        </w:tc>
        <w:tc>
          <w:tcPr>
            <w:tcW w:w="20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Rule 10b5-1</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24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Counsel and Corporate Secretary</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Trading Arrangement</w:t>
            </w:r>
          </w:p>
        </w:tc>
        <w:tc>
          <w:tcPr>
            <w:tcW w:w="1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August 28, 2026</w:t>
            </w:r>
          </w:p>
        </w:tc>
        <w:tc>
          <w:tcPr>
            <w:tcW w:w="18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March 5, 2027</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37,971</w:t>
            </w:r>
          </w:p>
        </w:tc>
      </w:tr>
    </w:tbl>
    <w:p>
      <w:pPr>
        <w:spacing w:after="0" w:line="314" w:lineRule="exact"/>
        <w:rPr>
          <w:sz w:val="20"/>
          <w:szCs w:val="20"/>
          <w:color w:val="auto"/>
        </w:rPr>
      </w:pPr>
    </w:p>
    <w:p>
      <w:pPr>
        <w:ind w:firstLine="405"/>
        <w:spacing w:after="0" w:line="275" w:lineRule="auto"/>
        <w:tabs>
          <w:tab w:leader="none" w:pos="6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marked as a “Rule 10b5-1 Trading Arrangement” is intended to satisfy the affirmative defense of Rule 10b5-1(c), as amended (the “Rule”).</w:t>
      </w:r>
    </w:p>
    <w:p>
      <w:pPr>
        <w:spacing w:after="0" w:line="190" w:lineRule="exact"/>
        <w:rPr>
          <w:rFonts w:ascii="Times New Roman" w:cs="Times New Roman" w:eastAsia="Times New Roman" w:hAnsi="Times New Roman"/>
          <w:sz w:val="18"/>
          <w:szCs w:val="18"/>
          <w:color w:val="auto"/>
        </w:rPr>
      </w:pPr>
    </w:p>
    <w:p>
      <w:pPr>
        <w:jc w:val="both"/>
        <w:ind w:firstLine="405"/>
        <w:spacing w:after="0" w:line="261"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permits transactions through and including the earlier to occur of (a) the completion of all sales or (b) the date listed in the table. Each trading arrangement marked as a “Rule 10b5-1 Trading Arrangement” only permits transactions upon expiration of the applicable mandatory cooling-off period under the Rule.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780" w:type="dxa"/>
            <w:vAlign w:val="bottom"/>
            <w:gridSpan w:val="13"/>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Fourth Amended and Restated Certificate of Incorporation of the Company, as in effect as of the date hereof (incorporated by reference</w:t>
              </w:r>
            </w:hyperlink>
          </w:p>
        </w:tc>
      </w:tr>
      <w:tr>
        <w:trPr>
          <w:trHeight w:val="153"/>
        </w:trPr>
        <w:tc>
          <w:tcPr>
            <w:tcW w:w="106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to Exhibit 3.1 of the Company’s Current Report on Form 8-K (File No. 1-33089) filed on June 25, 2024).</w:t>
              </w:r>
            </w:hyperlink>
          </w:p>
        </w:tc>
        <w:tc>
          <w:tcPr>
            <w:tcW w:w="22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780" w:type="dxa"/>
            <w:vAlign w:val="bottom"/>
            <w:gridSpan w:val="13"/>
          </w:tcPr>
          <w:p>
            <w:pPr>
              <w:spacing w:after="0"/>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Sixth Amended and Restated By-laws of the Company, as in effect as of the date hereof (incorporated by reference to Exhibit 3.2 of the</w:t>
              </w:r>
            </w:hyperlink>
          </w:p>
        </w:tc>
      </w:tr>
      <w:tr>
        <w:trPr>
          <w:trHeight w:val="153"/>
        </w:trPr>
        <w:tc>
          <w:tcPr>
            <w:tcW w:w="1060" w:type="dxa"/>
            <w:vAlign w:val="bottom"/>
          </w:tcPr>
          <w:p>
            <w:pPr>
              <w:spacing w:after="0"/>
              <w:rPr>
                <w:sz w:val="13"/>
                <w:szCs w:val="13"/>
                <w:color w:val="auto"/>
              </w:rPr>
            </w:pPr>
          </w:p>
        </w:tc>
        <w:tc>
          <w:tcPr>
            <w:tcW w:w="9660" w:type="dxa"/>
            <w:vAlign w:val="bottom"/>
            <w:tcBorders>
              <w:top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Company’s Current Report on Form 8-K (File No. 1-33089) filed on June 21,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gridSpan w:val="13"/>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Revolving Credit and Term Loan Credit Agreement, dated as of August 18, 2026, among ExlService Holdings, Inc., as borrower, the</w:t>
              </w:r>
            </w:hyperlink>
          </w:p>
        </w:tc>
      </w:tr>
      <w:tr>
        <w:trPr>
          <w:trHeight w:val="153"/>
        </w:trPr>
        <w:tc>
          <w:tcPr>
            <w:tcW w:w="106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other loan parties party thereto, the lenders party thereto, and PNC Bank, National Association, as administrative agent, swingline loan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6"/>
        </w:trPr>
        <w:tc>
          <w:tcPr>
            <w:tcW w:w="1060" w:type="dxa"/>
            <w:vAlign w:val="bottom"/>
          </w:tcPr>
          <w:p>
            <w:pPr>
              <w:spacing w:after="0"/>
              <w:rPr>
                <w:sz w:val="14"/>
                <w:szCs w:val="14"/>
                <w:color w:val="auto"/>
              </w:rPr>
            </w:pPr>
          </w:p>
        </w:tc>
        <w:tc>
          <w:tcPr>
            <w:tcW w:w="9780" w:type="dxa"/>
            <w:vAlign w:val="bottom"/>
            <w:tcBorders>
              <w:bottom w:val="single" w:sz="8" w:color="0000FF"/>
            </w:tcBorders>
            <w:gridSpan w:val="13"/>
          </w:tcPr>
          <w:p>
            <w:pPr>
              <w:spacing w:after="0" w:line="16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lender and issuing bank (incorporated by reference to Exhibit 10.1 of the Company’s Current Report on Form 8-K (File No. 1-33089)</w:t>
              </w:r>
            </w:hyperlink>
          </w:p>
        </w:tc>
      </w:tr>
      <w:tr>
        <w:trPr>
          <w:trHeight w:val="153"/>
        </w:trPr>
        <w:tc>
          <w:tcPr>
            <w:tcW w:w="1060" w:type="dxa"/>
            <w:vAlign w:val="bottom"/>
          </w:tcPr>
          <w:p>
            <w:pPr>
              <w:spacing w:after="0"/>
              <w:rPr>
                <w:sz w:val="13"/>
                <w:szCs w:val="13"/>
                <w:color w:val="auto"/>
              </w:rPr>
            </w:pPr>
          </w:p>
        </w:tc>
        <w:tc>
          <w:tcPr>
            <w:tcW w:w="9780" w:type="dxa"/>
            <w:vAlign w:val="bottom"/>
            <w:gridSpan w:val="13"/>
          </w:tcPr>
          <w:p>
            <w:pPr>
              <w:spacing w:after="0" w:line="153"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filed on August 18, 2026.</w:t>
              </w:r>
            </w:hyperlink>
          </w:p>
        </w:tc>
      </w:tr>
      <w:tr>
        <w:trPr>
          <w:trHeight w:val="20"/>
        </w:trPr>
        <w:tc>
          <w:tcPr>
            <w:tcW w:w="10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ExlService Holdings, pursuant to Rule 13a-14(a) of the Exchange Act, as adopted</w:t>
            </w:r>
          </w:p>
        </w:tc>
      </w:tr>
      <w:tr>
        <w:trPr>
          <w:trHeight w:val="153"/>
        </w:trPr>
        <w:tc>
          <w:tcPr>
            <w:tcW w:w="106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54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ExlService Holdings, pursuant to Rule 13a-14(a) of the Exchange Act, as adopted</w:t>
            </w:r>
          </w:p>
        </w:tc>
      </w:tr>
      <w:tr>
        <w:trPr>
          <w:trHeight w:val="153"/>
        </w:trPr>
        <w:tc>
          <w:tcPr>
            <w:tcW w:w="1060" w:type="dxa"/>
            <w:vAlign w:val="bottom"/>
          </w:tcPr>
          <w:p>
            <w:pPr>
              <w:spacing w:after="0"/>
              <w:rPr>
                <w:sz w:val="13"/>
                <w:szCs w:val="13"/>
                <w:color w:val="auto"/>
              </w:rPr>
            </w:pPr>
          </w:p>
        </w:tc>
        <w:tc>
          <w:tcPr>
            <w:tcW w:w="9760" w:type="dxa"/>
            <w:vAlign w:val="bottom"/>
            <w:tcBorders>
              <w:top w:val="single" w:sz="8" w:color="0000FF"/>
            </w:tcBorders>
            <w:gridSpan w:val="12"/>
          </w:tcPr>
          <w:p>
            <w:pPr>
              <w:spacing w:after="0" w:line="153"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r>
              <w:rPr>
                <w:rFonts w:ascii="Times New Roman" w:cs="Times New Roman" w:eastAsia="Times New Roman" w:hAnsi="Times New Roman"/>
                <w:sz w:val="17"/>
                <w:szCs w:val="17"/>
                <w:color w:val="000000"/>
              </w:rPr>
              <w:t>.</w:t>
            </w: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13a-14(b) of the Exchange Act and 18 U.S.C. Section 1350, as adopted</w:t>
            </w:r>
          </w:p>
        </w:tc>
      </w:tr>
      <w:tr>
        <w:trPr>
          <w:trHeight w:val="153"/>
        </w:trPr>
        <w:tc>
          <w:tcPr>
            <w:tcW w:w="1060" w:type="dxa"/>
            <w:vAlign w:val="bottom"/>
          </w:tcPr>
          <w:p>
            <w:pPr>
              <w:spacing w:after="0"/>
              <w:rPr>
                <w:sz w:val="13"/>
                <w:szCs w:val="13"/>
                <w:color w:val="auto"/>
              </w:rPr>
            </w:pPr>
          </w:p>
        </w:tc>
        <w:tc>
          <w:tcPr>
            <w:tcW w:w="9640" w:type="dxa"/>
            <w:vAlign w:val="bottom"/>
            <w:tcBorders>
              <w:top w:val="single" w:sz="8" w:color="0000FF"/>
            </w:tcBorders>
            <w:gridSpan w:val="6"/>
          </w:tcPr>
          <w:p>
            <w:pPr>
              <w:spacing w:after="0" w:line="153"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r>
              <w:rPr>
                <w:rFonts w:ascii="Times New Roman" w:cs="Times New Roman" w:eastAsia="Times New Roman" w:hAnsi="Times New Roman"/>
                <w:sz w:val="17"/>
                <w:szCs w:val="17"/>
                <w:color w:val="000000"/>
              </w:rPr>
              <w:t>*</w:t>
            </w: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260" w:type="dxa"/>
            <w:vAlign w:val="bottom"/>
            <w:tcBorders>
              <w:right w:val="single" w:sz="8" w:color="0000FF"/>
            </w:tcBorders>
            <w:gridSpan w:val="3"/>
            <w:shd w:val="clear" w:color="auto" w:fill="0000FF"/>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13a-14(b) of the Exchange Act and 18 U.S.C. Section 1350, as adopted</w:t>
            </w:r>
          </w:p>
        </w:tc>
      </w:tr>
      <w:tr>
        <w:trPr>
          <w:trHeight w:val="153"/>
        </w:trPr>
        <w:tc>
          <w:tcPr>
            <w:tcW w:w="1060" w:type="dxa"/>
            <w:vAlign w:val="bottom"/>
          </w:tcPr>
          <w:p>
            <w:pPr>
              <w:spacing w:after="0"/>
              <w:rPr>
                <w:sz w:val="13"/>
                <w:szCs w:val="13"/>
                <w:color w:val="auto"/>
              </w:rPr>
            </w:pPr>
          </w:p>
        </w:tc>
        <w:tc>
          <w:tcPr>
            <w:tcW w:w="9740" w:type="dxa"/>
            <w:vAlign w:val="bottom"/>
            <w:tcBorders>
              <w:top w:val="single" w:sz="8" w:color="0000FF"/>
            </w:tcBorders>
            <w:gridSpan w:val="11"/>
          </w:tcPr>
          <w:p>
            <w:pPr>
              <w:spacing w:after="0" w:line="153"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r>
              <w:rPr>
                <w:rFonts w:ascii="Times New Roman" w:cs="Times New Roman" w:eastAsia="Times New Roman" w:hAnsi="Times New Roman"/>
                <w:sz w:val="17"/>
                <w:szCs w:val="17"/>
                <w:color w:val="000000"/>
              </w:rPr>
              <w:t>*</w:t>
            </w:r>
          </w:p>
        </w:tc>
        <w:tc>
          <w:tcPr>
            <w:tcW w:w="40" w:type="dxa"/>
            <w:vAlign w:val="bottom"/>
            <w:gridSpan w:val="2"/>
          </w:tcPr>
          <w:p>
            <w:pPr>
              <w:spacing w:after="0"/>
              <w:rPr>
                <w:sz w:val="13"/>
                <w:szCs w:val="13"/>
                <w:color w:val="auto"/>
              </w:rPr>
            </w:pPr>
          </w:p>
        </w:tc>
      </w:tr>
      <w:tr>
        <w:trPr>
          <w:trHeight w:val="32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520" w:type="dxa"/>
            <w:vAlign w:val="bottom"/>
            <w:gridSpan w:val="10"/>
          </w:tcPr>
          <w:p>
            <w:pPr>
              <w:spacing w:after="0"/>
              <w:rPr>
                <w:sz w:val="24"/>
                <w:szCs w:val="24"/>
                <w:color w:val="auto"/>
              </w:rPr>
            </w:pPr>
          </w:p>
        </w:tc>
      </w:tr>
      <w:tr>
        <w:trPr>
          <w:trHeight w:val="29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9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9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9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9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w:t>
            </w:r>
          </w:p>
        </w:tc>
      </w:tr>
      <w:tr>
        <w:trPr>
          <w:trHeight w:val="29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6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right="480" w:firstLine="39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77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518"/>
        </w:trPr>
        <w:tc>
          <w:tcPr>
            <w:tcW w:w="3240" w:type="dxa"/>
            <w:vAlign w:val="bottom"/>
          </w:tcPr>
          <w:p>
            <w:pPr>
              <w:spacing w:after="0"/>
              <w:rPr>
                <w:sz w:val="24"/>
                <w:szCs w:val="24"/>
                <w:color w:val="auto"/>
              </w:rPr>
            </w:pPr>
          </w:p>
        </w:tc>
        <w:tc>
          <w:tcPr>
            <w:tcW w:w="21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MAURIZIO NICOLELLI</w:t>
            </w:r>
          </w:p>
        </w:tc>
      </w:tr>
      <w:tr>
        <w:trPr>
          <w:trHeight w:val="140"/>
        </w:trPr>
        <w:tc>
          <w:tcPr>
            <w:tcW w:w="3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58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MAURIZIO NICOLELLI</w:t>
            </w:r>
          </w:p>
        </w:tc>
      </w:tr>
      <w:tr>
        <w:trPr>
          <w:trHeight w:val="153"/>
        </w:trPr>
        <w:tc>
          <w:tcPr>
            <w:tcW w:w="3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5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ind w:left="546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320" w:top="358" w:right="5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18" w:lineRule="exact"/>
        <w:rPr>
          <w:sz w:val="20"/>
          <w:szCs w:val="20"/>
          <w:color w:val="auto"/>
        </w:rPr>
      </w:pPr>
    </w:p>
    <w:p>
      <w:pPr>
        <w:ind w:left="400" w:hanging="394"/>
        <w:spacing w:after="0"/>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18" w:lineRule="exact"/>
        <w:rPr>
          <w:rFonts w:ascii="Times New Roman" w:cs="Times New Roman" w:eastAsia="Times New Roman" w:hAnsi="Times New Roman"/>
          <w:sz w:val="18"/>
          <w:szCs w:val="18"/>
          <w:color w:val="auto"/>
        </w:rPr>
      </w:pPr>
    </w:p>
    <w:p>
      <w:pPr>
        <w:jc w:val="both"/>
        <w:ind w:left="400" w:hanging="394"/>
        <w:spacing w:after="0" w:line="305" w:lineRule="auto"/>
        <w:tabs>
          <w:tab w:leader="none" w:pos="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7"/>
          <w:szCs w:val="17"/>
          <w:color w:val="auto"/>
        </w:rPr>
      </w:pPr>
    </w:p>
    <w:p>
      <w:pPr>
        <w:ind w:left="400" w:hanging="394"/>
        <w:spacing w:after="0" w:line="275" w:lineRule="auto"/>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400" w:hanging="394"/>
        <w:spacing w:after="0" w:line="261" w:lineRule="auto"/>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20" w:hanging="315"/>
        <w:spacing w:after="0" w:line="261" w:lineRule="auto"/>
        <w:tabs>
          <w:tab w:leader="none" w:pos="7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20" w:hanging="315"/>
        <w:spacing w:after="0" w:line="261" w:lineRule="auto"/>
        <w:tabs>
          <w:tab w:leader="none" w:pos="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20" w:hanging="315"/>
        <w:spacing w:after="0" w:line="275" w:lineRule="auto"/>
        <w:tabs>
          <w:tab w:leader="none" w:pos="7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720" w:hanging="315"/>
        <w:spacing w:after="0" w:line="261" w:lineRule="auto"/>
        <w:tabs>
          <w:tab w:leader="none" w:pos="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00" w:hanging="394"/>
        <w:spacing w:after="0" w:line="275" w:lineRule="auto"/>
        <w:tabs>
          <w:tab w:leader="none" w:pos="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720" w:hanging="315"/>
        <w:spacing w:after="0" w:line="275" w:lineRule="auto"/>
        <w:tabs>
          <w:tab w:leader="none" w:pos="7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720" w:hanging="315"/>
        <w:spacing w:after="0" w:line="275" w:lineRule="auto"/>
        <w:tabs>
          <w:tab w:leader="none" w:pos="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612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15240</wp:posOffset>
            </wp:positionV>
            <wp:extent cx="32251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2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Rohit Kapoor</w:t>
      </w:r>
    </w:p>
    <w:p>
      <w:pPr>
        <w:spacing w:after="0" w:line="3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87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Maurizio Nicolelli, certify that:</w:t>
      </w:r>
    </w:p>
    <w:p>
      <w:pPr>
        <w:spacing w:after="0" w:line="351" w:lineRule="exact"/>
        <w:rPr>
          <w:sz w:val="20"/>
          <w:szCs w:val="20"/>
          <w:color w:val="auto"/>
        </w:rPr>
      </w:pPr>
    </w:p>
    <w:p>
      <w:pPr>
        <w:ind w:left="400" w:hanging="394"/>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18" w:lineRule="exact"/>
        <w:rPr>
          <w:rFonts w:ascii="Times New Roman" w:cs="Times New Roman" w:eastAsia="Times New Roman" w:hAnsi="Times New Roman"/>
          <w:sz w:val="18"/>
          <w:szCs w:val="18"/>
          <w:color w:val="auto"/>
        </w:rPr>
      </w:pPr>
    </w:p>
    <w:p>
      <w:pPr>
        <w:jc w:val="both"/>
        <w:ind w:left="400" w:hanging="394"/>
        <w:spacing w:after="0" w:line="305" w:lineRule="auto"/>
        <w:tabs>
          <w:tab w:leader="none" w:pos="4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7"/>
          <w:szCs w:val="17"/>
          <w:color w:val="auto"/>
        </w:rPr>
      </w:pPr>
    </w:p>
    <w:p>
      <w:pPr>
        <w:ind w:left="400" w:hanging="394"/>
        <w:spacing w:after="0" w:line="275" w:lineRule="auto"/>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400" w:hanging="394"/>
        <w:spacing w:after="0" w:line="261" w:lineRule="auto"/>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20" w:hanging="315"/>
        <w:spacing w:after="0" w:line="261" w:lineRule="auto"/>
        <w:tabs>
          <w:tab w:leader="none" w:pos="7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20" w:hanging="315"/>
        <w:spacing w:after="0" w:line="261" w:lineRule="auto"/>
        <w:tabs>
          <w:tab w:leader="none" w:pos="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20" w:hanging="315"/>
        <w:spacing w:after="0" w:line="275" w:lineRule="auto"/>
        <w:tabs>
          <w:tab w:leader="none" w:pos="7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720" w:hanging="315"/>
        <w:spacing w:after="0" w:line="261" w:lineRule="auto"/>
        <w:tabs>
          <w:tab w:leader="none" w:pos="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00" w:hanging="394"/>
        <w:spacing w:after="0" w:line="275" w:lineRule="auto"/>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720" w:hanging="315"/>
        <w:spacing w:after="0" w:line="275" w:lineRule="auto"/>
        <w:tabs>
          <w:tab w:leader="none" w:pos="7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720" w:hanging="315"/>
        <w:spacing w:after="0" w:line="275" w:lineRule="auto"/>
        <w:tabs>
          <w:tab w:leader="none" w:pos="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580"/>
        <w:spacing w:after="0"/>
        <w:tabs>
          <w:tab w:leader="none" w:pos="638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4048125</wp:posOffset>
            </wp:positionH>
            <wp:positionV relativeFrom="paragraph">
              <wp:posOffset>15240</wp:posOffset>
            </wp:positionV>
            <wp:extent cx="30651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2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3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7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September 30, 2026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16" w:lineRule="exact"/>
        <w:rPr>
          <w:sz w:val="20"/>
          <w:szCs w:val="20"/>
          <w:color w:val="auto"/>
        </w:rPr>
      </w:pPr>
    </w:p>
    <w:p>
      <w:pPr>
        <w:ind w:left="320" w:hanging="314"/>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62731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2731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Rohit Kapoor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27, 2026</w:t>
      </w:r>
    </w:p>
    <w:p>
      <w:pPr>
        <w:sectPr>
          <w:pgSz w:w="11900" w:h="16838" w:orient="portrait"/>
          <w:cols w:equalWidth="0" w:num="1">
            <w:col w:w="11240"/>
          </w:cols>
          <w:pgMar w:left="320" w:top="87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September 30, 2026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4888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8882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27, 2026</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Letter"/>
      <w:start w:val="4"/>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2"/>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lvl w:ilvl="1">
      <w:lvlJc w:val="left"/>
      <w:lvlText w:val="(%2)"/>
      <w:numFmt w:val="decimal"/>
      <w:start w:val="1"/>
    </w:lvl>
  </w:abstractNum>
  <w:abstractNum w:abstractNumId="17">
    <w:nsid w:val="B03E0C6"/>
    <w:multiLevelType w:val="hybridMultilevel"/>
    <w:lvl w:ilvl="0">
      <w:lvlJc w:val="left"/>
      <w:lvlText w:val="%1."/>
      <w:numFmt w:val="decimal"/>
      <w:start w:val="8"/>
    </w:lvl>
    <w:lvl w:ilvl="1">
      <w:lvlJc w:val="left"/>
      <w:lvlText w:val="%2"/>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lvl w:ilvl="1">
      <w:lvlJc w:val="left"/>
      <w:lvlText w:val="(%2)"/>
      <w:numFmt w:val="decimal"/>
      <w:start w:val="1"/>
    </w:lvl>
  </w:abstractNum>
  <w:abstractNum w:abstractNumId="21">
    <w:nsid w:val="2CA88611"/>
    <w:multiLevelType w:val="hybridMultilevel"/>
    <w:lvl w:ilvl="0">
      <w:lvlJc w:val="left"/>
      <w:lvlText w:val="%1."/>
      <w:numFmt w:val="decimal"/>
      <w:start w:val="16"/>
    </w:lvl>
    <w:lvl w:ilvl="1">
      <w:lvlJc w:val="left"/>
      <w:lvlText w:val="%2"/>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86" Type="http://schemas.openxmlformats.org/officeDocument/2006/relationships/hyperlink" Target="https://www.sec.gov/Archives/edgar/data/1297989/000110465924074734/tm2417789d1_ex3-1.htm" TargetMode="External"/><Relationship Id="rId87" Type="http://schemas.openxmlformats.org/officeDocument/2006/relationships/hyperlink" Target="https://www.sec.gov/Archives/edgar/data/1297989/000119312523171321/d523950dex32.htm" TargetMode="External"/><Relationship Id="rId88" Type="http://schemas.openxmlformats.org/officeDocument/2006/relationships/hyperlink" Target="https://www.sec.gov/Archives/edgar/data/1297989/000110465926098380/tm262350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2026-10-27T16:00:37Z</dcterms:created>
  <dcterms:modified xsi:type="dcterms:W3CDTF">2026-10-27T16:00:37Z</dcterms:modified>
</cp:coreProperties>
</file>