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STAGLIN GAREN 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11/04/2020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87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871980"/>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82"/>
              <w:spacing w:after="0"/>
              <w:rPr>
                <w:sz w:val="20"/>
                <w:szCs w:val="20"/>
                <w:color w:val="auto"/>
              </w:rPr>
            </w:pPr>
            <w:r>
              <w:rPr>
                <w:rFonts w:ascii="Arial" w:cs="Arial" w:eastAsia="Arial" w:hAnsi="Arial"/>
                <w:sz w:val="17"/>
                <w:szCs w:val="17"/>
                <w:color w:val="0000FF"/>
              </w:rPr>
              <w:t>11/04/2020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0000FF"/>
              </w:rPr>
              <w:t>2,500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23,051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82"/>
              <w:spacing w:after="0"/>
              <w:rPr>
                <w:sz w:val="20"/>
                <w:szCs w:val="20"/>
                <w:color w:val="auto"/>
              </w:rPr>
            </w:pPr>
            <w:r>
              <w:rPr>
                <w:rFonts w:ascii="Arial" w:cs="Arial" w:eastAsia="Arial" w:hAnsi="Arial"/>
                <w:sz w:val="17"/>
                <w:szCs w:val="17"/>
                <w:color w:val="0000FF"/>
              </w:rPr>
              <w:t>11/04/2020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0000FF"/>
              </w:rPr>
              <w:t>1,000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79.23</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22,051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82"/>
              <w:spacing w:after="0"/>
              <w:rPr>
                <w:sz w:val="20"/>
                <w:szCs w:val="20"/>
                <w:color w:val="auto"/>
              </w:rPr>
            </w:pPr>
            <w:r>
              <w:rPr>
                <w:rFonts w:ascii="Arial" w:cs="Arial" w:eastAsia="Arial" w:hAnsi="Arial"/>
                <w:sz w:val="17"/>
                <w:szCs w:val="17"/>
                <w:color w:val="0000FF"/>
              </w:rPr>
              <w:t>11/04/2020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0000FF"/>
              </w:rPr>
              <w:t>1,500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80.06</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20,551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1,854</w:t>
            </w:r>
          </w:p>
        </w:tc>
        <w:tc>
          <w:tcPr>
            <w:tcW w:w="300" w:type="dxa"/>
            <w:vAlign w:val="bottom"/>
          </w:tcPr>
          <w:p>
            <w:pPr>
              <w:spacing w:after="0"/>
              <w:rPr>
                <w:sz w:val="21"/>
                <w:szCs w:val="21"/>
                <w:color w:val="auto"/>
              </w:rPr>
            </w:pPr>
          </w:p>
        </w:tc>
        <w:tc>
          <w:tcPr>
            <w:tcW w:w="560" w:type="dxa"/>
            <w:vAlign w:val="bottom"/>
            <w:vMerge w:val="restart"/>
          </w:tcPr>
          <w:p>
            <w:pPr>
              <w:jc w:val="center"/>
              <w:ind w:right="272"/>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vMerge w:val="restart"/>
          </w:tcPr>
          <w:p>
            <w:pPr>
              <w:jc w:val="right"/>
              <w:ind w:right="62"/>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2,500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11/04/2020</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2,500</w:t>
            </w:r>
          </w:p>
        </w:tc>
        <w:tc>
          <w:tcPr>
            <w:tcW w:w="78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3"/>
                <w:szCs w:val="13"/>
                <w:color w:val="0000FF"/>
                <w:w w:val="98"/>
              </w:rPr>
              <w:t>01/03/2021</w:t>
            </w: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280"/>
              <w:spacing w:after="0" w:line="143" w:lineRule="exact"/>
              <w:rPr>
                <w:sz w:val="20"/>
                <w:szCs w:val="20"/>
                <w:color w:val="auto"/>
              </w:rPr>
            </w:pPr>
            <w:r>
              <w:rPr>
                <w:rFonts w:ascii="Arial" w:cs="Arial" w:eastAsia="Arial" w:hAnsi="Arial"/>
                <w:sz w:val="13"/>
                <w:szCs w:val="13"/>
                <w:color w:val="0000FF"/>
              </w:rPr>
              <w:t>4,758</w:t>
            </w:r>
          </w:p>
        </w:tc>
        <w:tc>
          <w:tcPr>
            <w:tcW w:w="560" w:type="dxa"/>
            <w:vAlign w:val="bottom"/>
          </w:tcPr>
          <w:p>
            <w:pPr>
              <w:ind w:left="380"/>
              <w:spacing w:after="0" w:line="143"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4, 2020, the reporting person exercised previously issued options to purchase an aggregate of 2,500 shares of common stock of ExlService Holdings, Inc.</w:t>
      </w:r>
    </w:p>
    <w:p>
      <w:pPr>
        <w:spacing w:after="0" w:line="45" w:lineRule="exact"/>
        <w:rPr>
          <w:rFonts w:ascii="Arial" w:cs="Arial" w:eastAsia="Arial" w:hAnsi="Arial"/>
          <w:sz w:val="13"/>
          <w:szCs w:val="13"/>
          <w:color w:val="008000"/>
        </w:rPr>
      </w:pPr>
    </w:p>
    <w:p>
      <w:pPr>
        <w:jc w:val="both"/>
        <w:ind w:left="40" w:right="18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$78.75 to $79.74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18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$79.79 to $80.52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Staglin Family Irrevocable Trust of 2018 dated November 9, 2018.</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3, 2011, the reporting person was granted 7,258 stock options. 100 percent of these options became vested and exercisable on December 31, 2011.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11/06/2020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149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2020-11-06T16:11:20Z</dcterms:created>
  <dcterms:modified xsi:type="dcterms:W3CDTF">2020-11-06T16:11:20Z</dcterms:modified>
</cp:coreProperties>
</file>