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64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647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274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900" w:type="dxa"/>
            <w:vAlign w:val="bottom"/>
          </w:tcPr>
          <w:p>
            <w:pPr>
              <w:ind w:left="68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700" w:type="dxa"/>
            <w:vAlign w:val="bottom"/>
            <w:gridSpan w:val="2"/>
            <w:vMerge w:val="restart"/>
          </w:tcPr>
          <w:p>
            <w:pPr>
              <w:spacing w:after="0"/>
              <w:rPr>
                <w:rFonts w:ascii="Arial" w:cs="Arial" w:eastAsia="Arial" w:hAnsi="Arial"/>
                <w:sz w:val="22"/>
                <w:szCs w:val="22"/>
                <w:color w:val="0000EE"/>
                <w:w w:val="97"/>
              </w:rPr>
            </w:pPr>
            <w:hyperlink r:id="rId11">
              <w:r>
                <w:rPr>
                  <w:rFonts w:ascii="Arial" w:cs="Arial" w:eastAsia="Arial" w:hAnsi="Arial"/>
                  <w:sz w:val="22"/>
                  <w:szCs w:val="22"/>
                  <w:color w:val="0000EE"/>
                  <w:w w:val="97"/>
                </w:rPr>
                <w:t>FINANCIAL TECHNOLOGY</w:t>
              </w:r>
            </w:hyperlink>
          </w:p>
        </w:tc>
        <w:tc>
          <w:tcPr>
            <w:tcW w:w="1900" w:type="dxa"/>
            <w:vAlign w:val="bottom"/>
          </w:tcPr>
          <w:p>
            <w:pPr>
              <w:ind w:left="68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1"/>
                <w:szCs w:val="11"/>
                <w:color w:val="auto"/>
              </w:rPr>
            </w:pPr>
          </w:p>
        </w:tc>
        <w:tc>
          <w:tcPr>
            <w:tcW w:w="2700" w:type="dxa"/>
            <w:vAlign w:val="bottom"/>
            <w:tcBorders>
              <w:bottom w:val="single" w:sz="8" w:color="0000EE"/>
            </w:tcBorders>
            <w:gridSpan w:val="2"/>
            <w:vMerge w:val="continue"/>
          </w:tcPr>
          <w:p>
            <w:pPr>
              <w:spacing w:after="0"/>
              <w:rPr>
                <w:sz w:val="11"/>
                <w:szCs w:val="11"/>
                <w:color w:val="auto"/>
              </w:rPr>
            </w:pPr>
          </w:p>
        </w:tc>
        <w:tc>
          <w:tcPr>
            <w:tcW w:w="1900" w:type="dxa"/>
            <w:vAlign w:val="bottom"/>
          </w:tcPr>
          <w:p>
            <w:pPr>
              <w:ind w:left="68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80" w:type="dxa"/>
            <w:vAlign w:val="bottom"/>
            <w:tcBorders>
              <w:bottom w:val="single" w:sz="8" w:color="0000EE"/>
            </w:tcBorders>
          </w:tcPr>
          <w:p>
            <w:pPr>
              <w:spacing w:after="0" w:line="223" w:lineRule="exact"/>
              <w:rPr>
                <w:rFonts w:ascii="Arial" w:cs="Arial" w:eastAsia="Arial" w:hAnsi="Arial"/>
                <w:sz w:val="22"/>
                <w:szCs w:val="22"/>
                <w:color w:val="0000EE"/>
                <w:w w:val="97"/>
              </w:rPr>
            </w:pPr>
            <w:hyperlink r:id="rId11">
              <w:r>
                <w:rPr>
                  <w:rFonts w:ascii="Arial" w:cs="Arial" w:eastAsia="Arial" w:hAnsi="Arial"/>
                  <w:sz w:val="22"/>
                  <w:szCs w:val="22"/>
                  <w:color w:val="0000EE"/>
                  <w:w w:val="97"/>
                </w:rPr>
                <w:t>MANAGEMENT, LLC</w:t>
              </w:r>
            </w:hyperlink>
          </w:p>
        </w:tc>
        <w:tc>
          <w:tcPr>
            <w:tcW w:w="620" w:type="dxa"/>
            <w:vAlign w:val="bottom"/>
          </w:tcPr>
          <w:p>
            <w:pPr>
              <w:spacing w:after="0"/>
              <w:rPr>
                <w:sz w:val="19"/>
                <w:szCs w:val="19"/>
                <w:color w:val="auto"/>
              </w:rPr>
            </w:pPr>
          </w:p>
        </w:tc>
        <w:tc>
          <w:tcPr>
            <w:tcW w:w="1900" w:type="dxa"/>
            <w:vAlign w:val="bottom"/>
          </w:tcPr>
          <w:p>
            <w:pPr>
              <w:ind w:left="680"/>
              <w:spacing w:after="0"/>
              <w:rPr>
                <w:sz w:val="20"/>
                <w:szCs w:val="20"/>
                <w:color w:val="auto"/>
              </w:rPr>
            </w:pPr>
            <w:r>
              <w:rPr>
                <w:rFonts w:ascii="Arial" w:cs="Arial" w:eastAsia="Arial" w:hAnsi="Arial"/>
                <w:sz w:val="18"/>
                <w:szCs w:val="18"/>
                <w:color w:val="0000FF"/>
              </w:rPr>
              <w:t>10/19/2006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0"/>
          <w:szCs w:val="20"/>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7"/>
              </w:rPr>
              <w:t>555 CALIFORNIA STREET, SUITE 2900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94104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7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6" w:type="dxa"/>
        <w:tblCellMar>
          <w:top w:w="0" w:type="dxa"/>
          <w:left w:w="0" w:type="dxa"/>
          <w:bottom w:w="0" w:type="dxa"/>
          <w:right w:w="0" w:type="dxa"/>
        </w:tblCellMar>
      </w:tblPr>
      <w:tr>
        <w:trPr>
          <w:trHeight w:val="222"/>
        </w:trPr>
        <w:tc>
          <w:tcPr>
            <w:tcW w:w="1120" w:type="dxa"/>
            <w:vAlign w:val="bottom"/>
          </w:tcPr>
          <w:p>
            <w:pPr>
              <w:spacing w:after="0"/>
              <w:rPr>
                <w:sz w:val="20"/>
                <w:szCs w:val="20"/>
                <w:color w:val="auto"/>
              </w:rPr>
            </w:pPr>
            <w:r>
              <w:rPr>
                <w:rFonts w:ascii="Arial" w:cs="Arial" w:eastAsia="Arial" w:hAnsi="Arial"/>
                <w:sz w:val="14"/>
                <w:szCs w:val="14"/>
                <w:color w:val="auto"/>
              </w:rPr>
              <w:t>Director</w:t>
            </w:r>
          </w:p>
        </w:tc>
        <w:tc>
          <w:tcPr>
            <w:tcW w:w="400" w:type="dxa"/>
            <w:vAlign w:val="bottom"/>
          </w:tcPr>
          <w:p>
            <w:pPr>
              <w:ind w:left="160"/>
              <w:spacing w:after="0"/>
              <w:rPr>
                <w:sz w:val="20"/>
                <w:szCs w:val="20"/>
                <w:color w:val="auto"/>
              </w:rPr>
            </w:pPr>
            <w:r>
              <w:rPr>
                <w:rFonts w:ascii="Arial" w:cs="Arial" w:eastAsia="Arial" w:hAnsi="Arial"/>
                <w:sz w:val="18"/>
                <w:szCs w:val="18"/>
                <w:color w:val="0000FF"/>
              </w:rPr>
              <w:t>X</w:t>
            </w: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20" w:type="dxa"/>
            <w:vAlign w:val="bottom"/>
          </w:tcPr>
          <w:p>
            <w:pPr>
              <w:spacing w:after="0"/>
              <w:rPr>
                <w:sz w:val="20"/>
                <w:szCs w:val="20"/>
                <w:color w:val="auto"/>
              </w:rPr>
            </w:pPr>
            <w:r>
              <w:rPr>
                <w:rFonts w:ascii="Arial" w:cs="Arial" w:eastAsia="Arial" w:hAnsi="Arial"/>
                <w:sz w:val="14"/>
                <w:szCs w:val="14"/>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2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106"/>
        <w:spacing w:after="0"/>
        <w:rPr>
          <w:sz w:val="20"/>
          <w:szCs w:val="20"/>
          <w:color w:val="auto"/>
        </w:rPr>
      </w:pPr>
      <w:r>
        <w:rPr>
          <w:rFonts w:ascii="Arial" w:cs="Arial" w:eastAsia="Arial" w:hAnsi="Arial"/>
          <w:sz w:val="18"/>
          <w:szCs w:val="18"/>
          <w:color w:val="0000FF"/>
        </w:rPr>
        <w:t>See Footnote 2</w:t>
      </w:r>
    </w:p>
    <w:p>
      <w:pPr>
        <w:spacing w:after="0" w:line="20" w:lineRule="exact"/>
        <w:rPr>
          <w:sz w:val="20"/>
          <w:szCs w:val="20"/>
          <w:color w:val="auto"/>
        </w:rPr>
      </w:pPr>
      <w:r>
        <w:rPr>
          <w:sz w:val="20"/>
          <w:szCs w:val="20"/>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0"/>
          <w:szCs w:val="20"/>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80" w:lineRule="exact"/>
        <w:rPr>
          <w:sz w:val="20"/>
          <w:szCs w:val="20"/>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vMerge w:val="restart"/>
          </w:tcPr>
          <w:p>
            <w:pPr>
              <w:ind w:left="60"/>
              <w:spacing w:after="0"/>
              <w:rPr>
                <w:sz w:val="20"/>
                <w:szCs w:val="20"/>
                <w:color w:val="auto"/>
              </w:rPr>
            </w:pPr>
            <w:r>
              <w:rPr>
                <w:rFonts w:ascii="Arial" w:cs="Arial" w:eastAsia="Arial" w:hAnsi="Arial"/>
                <w:sz w:val="18"/>
                <w:szCs w:val="18"/>
                <w:color w:val="0000FF"/>
              </w:rPr>
              <w:t>Common Stock, par value $0.001 per share</w:t>
            </w:r>
            <w:r>
              <w:rPr>
                <w:rFonts w:ascii="Arial" w:cs="Arial" w:eastAsia="Arial" w:hAnsi="Arial"/>
                <w:sz w:val="22"/>
                <w:szCs w:val="22"/>
                <w:color w:val="008000"/>
                <w:vertAlign w:val="superscript"/>
              </w:rPr>
              <w:t>(1)</w:t>
            </w:r>
          </w:p>
        </w:tc>
        <w:tc>
          <w:tcPr>
            <w:tcW w:w="2620" w:type="dxa"/>
            <w:vAlign w:val="bottom"/>
            <w:vMerge w:val="restart"/>
          </w:tcPr>
          <w:p>
            <w:pPr>
              <w:jc w:val="right"/>
              <w:ind w:right="572"/>
              <w:spacing w:after="0"/>
              <w:rPr>
                <w:sz w:val="20"/>
                <w:szCs w:val="20"/>
                <w:color w:val="auto"/>
              </w:rPr>
            </w:pPr>
            <w:r>
              <w:rPr>
                <w:rFonts w:ascii="Arial" w:cs="Arial" w:eastAsia="Arial" w:hAnsi="Arial"/>
                <w:sz w:val="18"/>
                <w:szCs w:val="18"/>
                <w:color w:val="0000FF"/>
              </w:rPr>
              <w:t>1,694,278</w:t>
            </w:r>
          </w:p>
        </w:tc>
        <w:tc>
          <w:tcPr>
            <w:tcW w:w="1040" w:type="dxa"/>
            <w:vAlign w:val="bottom"/>
            <w:vMerge w:val="restart"/>
          </w:tcPr>
          <w:p>
            <w:pPr>
              <w:ind w:left="660"/>
              <w:spacing w:after="0"/>
              <w:rPr>
                <w:sz w:val="20"/>
                <w:szCs w:val="20"/>
                <w:color w:val="auto"/>
              </w:rPr>
            </w:pPr>
            <w:r>
              <w:rPr>
                <w:rFonts w:ascii="Arial" w:cs="Arial" w:eastAsia="Arial" w:hAnsi="Arial"/>
                <w:sz w:val="18"/>
                <w:szCs w:val="18"/>
                <w:color w:val="0000FF"/>
              </w:rPr>
              <w:t>I</w:t>
            </w:r>
          </w:p>
        </w:tc>
        <w:tc>
          <w:tcPr>
            <w:tcW w:w="3220" w:type="dxa"/>
            <w:vAlign w:val="bottom"/>
          </w:tcPr>
          <w:p>
            <w:pPr>
              <w:ind w:left="340"/>
              <w:spacing w:after="0"/>
              <w:rPr>
                <w:sz w:val="20"/>
                <w:szCs w:val="20"/>
                <w:color w:val="auto"/>
              </w:rPr>
            </w:pPr>
            <w:r>
              <w:rPr>
                <w:rFonts w:ascii="Arial" w:cs="Arial" w:eastAsia="Arial" w:hAnsi="Arial"/>
                <w:sz w:val="18"/>
                <w:szCs w:val="18"/>
                <w:color w:val="0000FF"/>
                <w:w w:val="92"/>
              </w:rPr>
              <w:t>By Financial Technology Ventures (Q),</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0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220" w:type="dxa"/>
            <w:vAlign w:val="bottom"/>
            <w:vMerge w:val="restart"/>
          </w:tcPr>
          <w:p>
            <w:pPr>
              <w:ind w:left="34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00" w:type="dxa"/>
            <w:vAlign w:val="bottom"/>
            <w:tcBorders>
              <w:bottom w:val="single" w:sz="8" w:color="2C2C2C"/>
            </w:tcBorders>
          </w:tcPr>
          <w:p>
            <w:pPr>
              <w:spacing w:after="0"/>
              <w:rPr>
                <w:sz w:val="10"/>
                <w:szCs w:val="10"/>
                <w:color w:val="auto"/>
              </w:rPr>
            </w:pPr>
          </w:p>
        </w:tc>
        <w:tc>
          <w:tcPr>
            <w:tcW w:w="26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322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Arial" w:cs="Arial" w:eastAsia="Arial" w:hAnsi="Arial"/>
                <w:sz w:val="18"/>
                <w:szCs w:val="18"/>
                <w:color w:val="0000FF"/>
              </w:rPr>
              <w:t>Common Stock, par value $0.001 per share</w:t>
            </w:r>
            <w:r>
              <w:rPr>
                <w:rFonts w:ascii="Arial" w:cs="Arial" w:eastAsia="Arial" w:hAnsi="Arial"/>
                <w:sz w:val="22"/>
                <w:szCs w:val="22"/>
                <w:color w:val="008000"/>
                <w:vertAlign w:val="superscript"/>
              </w:rPr>
              <w:t>(1)</w:t>
            </w:r>
          </w:p>
        </w:tc>
        <w:tc>
          <w:tcPr>
            <w:tcW w:w="2620" w:type="dxa"/>
            <w:vAlign w:val="bottom"/>
          </w:tcPr>
          <w:p>
            <w:pPr>
              <w:jc w:val="right"/>
              <w:ind w:right="692"/>
              <w:spacing w:after="0"/>
              <w:rPr>
                <w:sz w:val="20"/>
                <w:szCs w:val="20"/>
                <w:color w:val="auto"/>
              </w:rPr>
            </w:pPr>
            <w:r>
              <w:rPr>
                <w:rFonts w:ascii="Arial" w:cs="Arial" w:eastAsia="Arial" w:hAnsi="Arial"/>
                <w:sz w:val="18"/>
                <w:szCs w:val="18"/>
                <w:color w:val="0000FF"/>
              </w:rPr>
              <w:t>62,806</w:t>
            </w:r>
          </w:p>
        </w:tc>
        <w:tc>
          <w:tcPr>
            <w:tcW w:w="1040" w:type="dxa"/>
            <w:vAlign w:val="bottom"/>
          </w:tcPr>
          <w:p>
            <w:pPr>
              <w:ind w:left="660"/>
              <w:spacing w:after="0"/>
              <w:rPr>
                <w:sz w:val="20"/>
                <w:szCs w:val="20"/>
                <w:color w:val="auto"/>
              </w:rPr>
            </w:pPr>
            <w:r>
              <w:rPr>
                <w:rFonts w:ascii="Arial" w:cs="Arial" w:eastAsia="Arial" w:hAnsi="Arial"/>
                <w:sz w:val="18"/>
                <w:szCs w:val="18"/>
                <w:color w:val="0000FF"/>
              </w:rPr>
              <w:t>I</w:t>
            </w:r>
          </w:p>
        </w:tc>
        <w:tc>
          <w:tcPr>
            <w:tcW w:w="3220" w:type="dxa"/>
            <w:vAlign w:val="bottom"/>
          </w:tcPr>
          <w:p>
            <w:pPr>
              <w:ind w:left="340"/>
              <w:spacing w:after="0"/>
              <w:rPr>
                <w:sz w:val="20"/>
                <w:szCs w:val="20"/>
                <w:color w:val="auto"/>
              </w:rPr>
            </w:pPr>
            <w:r>
              <w:rPr>
                <w:rFonts w:ascii="Arial" w:cs="Arial" w:eastAsia="Arial" w:hAnsi="Arial"/>
                <w:sz w:val="18"/>
                <w:szCs w:val="18"/>
                <w:color w:val="0000FF"/>
                <w:w w:val="90"/>
              </w:rPr>
              <w:t>By Financial Technology Ventures, L.P.</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20" w:type="dxa"/>
            <w:vAlign w:val="bottom"/>
          </w:tcPr>
          <w:p>
            <w:pPr>
              <w:ind w:left="340"/>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450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4500" w:type="dxa"/>
            <w:vAlign w:val="bottom"/>
            <w:tcBorders>
              <w:top w:val="single" w:sz="8" w:color="808080"/>
            </w:tcBorders>
            <w:shd w:val="clear" w:color="auto" w:fill="2C2C2C"/>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40" w:right="60" w:firstLine="9"/>
        <w:spacing w:after="0" w:line="27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Financial Technology Management, LLC ("FTM") is the general partner of Financial Technology Ventures (Q), L.P. ("FTVQ") and Financial Technology Ventures, L.P. ("FTV"). Pursuant to Rule 16a-1(a)(2) (ii)(B) under the Securities Exchange Act of 1934, as amended (the "Act"), FTM is deemed to be a beneficial owner of the securities owned by FTVQ and FTV only to the extent of the greater of its respective direct or indirect interest in the profits or capital account of FTVQ and FTV. Pursuant to Rule 16a-1(a)(4) under the Act, this filing shall not be deemed an admission that FTM is, for purposes of Section 16 of the Act or otherwise, the beneficial owner of any securities owned by FTVQ or FTV in excess of such amount.</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0000FF"/>
                <w:w w:val="88"/>
              </w:rPr>
              <w:t>/s/ Richard N. Garman</w:t>
            </w:r>
          </w:p>
        </w:tc>
        <w:tc>
          <w:tcPr>
            <w:tcW w:w="5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7912"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2019-12-16T15:23:19Z</dcterms:created>
  <dcterms:modified xsi:type="dcterms:W3CDTF">2019-12-16T15:23:19Z</dcterms:modified>
</cp:coreProperties>
</file>