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8"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3" w:lineRule="exact"/>
        <w:rPr>
          <w:sz w:val="24"/>
          <w:szCs w:val="24"/>
          <w:color w:val="auto"/>
        </w:rPr>
      </w:pPr>
    </w:p>
    <w:p>
      <w:pPr>
        <w:ind w:left="300" w:hanging="278"/>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6" w:lineRule="exact"/>
        <w:rPr>
          <w:sz w:val="24"/>
          <w:szCs w:val="24"/>
          <w:color w:val="auto"/>
        </w:rPr>
      </w:pPr>
    </w:p>
    <w:p>
      <w:pPr>
        <w:ind w:left="300" w:hanging="278"/>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3912235</wp:posOffset>
            </wp:positionH>
            <wp:positionV relativeFrom="paragraph">
              <wp:posOffset>-7620</wp:posOffset>
            </wp:positionV>
            <wp:extent cx="1191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001-33089</w:t>
      </w:r>
    </w:p>
    <w:p>
      <w:pPr>
        <w:spacing w:after="0" w:line="15"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EXLSERVICE HOLDINGS,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30" w:lineRule="exact"/>
        <w:rPr>
          <w:sz w:val="24"/>
          <w:szCs w:val="24"/>
          <w:color w:val="auto"/>
        </w:rPr>
      </w:pPr>
    </w:p>
    <w:tbl>
      <w:tblPr>
        <w:tblLayout w:type="fixed"/>
        <w:tblInd w:w="350" w:type="dxa"/>
        <w:tblCellMar>
          <w:top w:w="0" w:type="dxa"/>
          <w:left w:w="0" w:type="dxa"/>
          <w:bottom w:w="0" w:type="dxa"/>
          <w:right w:w="0" w:type="dxa"/>
        </w:tblCellMar>
      </w:tblPr>
      <w:tr>
        <w:trPr>
          <w:trHeight w:val="201"/>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w w:val="91"/>
              </w:rPr>
              <w:t>Delaware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6"/>
              <w:spacing w:after="0"/>
              <w:rPr>
                <w:sz w:val="20"/>
                <w:szCs w:val="20"/>
                <w:color w:val="auto"/>
              </w:rPr>
            </w:pPr>
            <w:r>
              <w:rPr>
                <w:rFonts w:ascii="Arial" w:cs="Arial" w:eastAsia="Arial" w:hAnsi="Arial"/>
                <w:sz w:val="16"/>
                <w:szCs w:val="16"/>
                <w:b w:val="1"/>
                <w:bCs w:val="1"/>
                <w:color w:val="auto"/>
              </w:rPr>
              <w:t>82-0572194</w:t>
            </w:r>
          </w:p>
        </w:tc>
        <w:tc>
          <w:tcPr>
            <w:tcW w:w="600" w:type="dxa"/>
            <w:vAlign w:val="bottom"/>
          </w:tcPr>
          <w:p>
            <w:pPr>
              <w:spacing w:after="0"/>
              <w:rPr>
                <w:sz w:val="17"/>
                <w:szCs w:val="17"/>
                <w:color w:val="auto"/>
              </w:rPr>
            </w:pPr>
          </w:p>
        </w:tc>
      </w:tr>
      <w:tr>
        <w:trPr>
          <w:trHeight w:val="144"/>
        </w:trPr>
        <w:tc>
          <w:tcPr>
            <w:tcW w:w="1320" w:type="dxa"/>
            <w:vAlign w:val="bottom"/>
          </w:tcPr>
          <w:p>
            <w:pPr>
              <w:spacing w:after="0"/>
              <w:rPr>
                <w:sz w:val="12"/>
                <w:szCs w:val="12"/>
                <w:color w:val="auto"/>
              </w:rPr>
            </w:pPr>
          </w:p>
        </w:tc>
        <w:tc>
          <w:tcPr>
            <w:tcW w:w="3000" w:type="dxa"/>
            <w:vAlign w:val="bottom"/>
            <w:gridSpan w:val="3"/>
          </w:tcPr>
          <w:p>
            <w:pPr>
              <w:jc w:val="center"/>
              <w:ind w:left="67"/>
              <w:spacing w:after="0" w:line="145" w:lineRule="exact"/>
              <w:rPr>
                <w:sz w:val="20"/>
                <w:szCs w:val="20"/>
                <w:color w:val="auto"/>
              </w:rPr>
            </w:pPr>
            <w:r>
              <w:rPr>
                <w:rFonts w:ascii="Arial" w:cs="Arial" w:eastAsia="Arial" w:hAnsi="Arial"/>
                <w:sz w:val="14"/>
                <w:szCs w:val="14"/>
                <w:b w:val="1"/>
                <w:bCs w:val="1"/>
                <w:color w:val="auto"/>
                <w:w w:val="90"/>
              </w:rPr>
              <w:t>(State or other jurisdiction of</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5"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1320" w:type="dxa"/>
            <w:vAlign w:val="bottom"/>
          </w:tcPr>
          <w:p>
            <w:pPr>
              <w:spacing w:after="0"/>
              <w:rPr>
                <w:sz w:val="15"/>
                <w:szCs w:val="15"/>
                <w:color w:val="auto"/>
              </w:rPr>
            </w:pPr>
          </w:p>
        </w:tc>
        <w:tc>
          <w:tcPr>
            <w:tcW w:w="3000" w:type="dxa"/>
            <w:vAlign w:val="bottom"/>
            <w:gridSpan w:val="3"/>
          </w:tcPr>
          <w:p>
            <w:pPr>
              <w:jc w:val="center"/>
              <w:ind w:left="67"/>
              <w:spacing w:after="0"/>
              <w:rPr>
                <w:sz w:val="20"/>
                <w:szCs w:val="20"/>
                <w:color w:val="auto"/>
              </w:rPr>
            </w:pPr>
            <w:r>
              <w:rPr>
                <w:rFonts w:ascii="Arial" w:cs="Arial" w:eastAsia="Arial" w:hAnsi="Arial"/>
                <w:sz w:val="14"/>
                <w:szCs w:val="14"/>
                <w:b w:val="1"/>
                <w:bCs w:val="1"/>
                <w:color w:val="auto"/>
                <w:w w:val="91"/>
              </w:rPr>
              <w:t>incorporation or organization)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91"/>
              </w:rPr>
              <w:t>Identification No.)</w:t>
            </w:r>
          </w:p>
        </w:tc>
      </w:tr>
      <w:tr>
        <w:trPr>
          <w:trHeight w:val="266"/>
        </w:trPr>
        <w:tc>
          <w:tcPr>
            <w:tcW w:w="1320" w:type="dxa"/>
            <w:vAlign w:val="bottom"/>
          </w:tcPr>
          <w:p>
            <w:pPr>
              <w:spacing w:after="0"/>
              <w:rPr>
                <w:sz w:val="23"/>
                <w:szCs w:val="23"/>
                <w:color w:val="auto"/>
              </w:rPr>
            </w:pPr>
          </w:p>
        </w:tc>
        <w:tc>
          <w:tcPr>
            <w:tcW w:w="3000" w:type="dxa"/>
            <w:vAlign w:val="bottom"/>
            <w:gridSpan w:val="3"/>
          </w:tcPr>
          <w:p>
            <w:pPr>
              <w:jc w:val="center"/>
              <w:ind w:left="67"/>
              <w:spacing w:after="0"/>
              <w:rPr>
                <w:sz w:val="20"/>
                <w:szCs w:val="20"/>
                <w:color w:val="auto"/>
              </w:rPr>
            </w:pPr>
            <w:r>
              <w:rPr>
                <w:rFonts w:ascii="Arial" w:cs="Arial" w:eastAsia="Arial" w:hAnsi="Arial"/>
                <w:sz w:val="16"/>
                <w:szCs w:val="16"/>
                <w:b w:val="1"/>
                <w:bCs w:val="1"/>
                <w:color w:val="auto"/>
                <w:w w:val="88"/>
              </w:rPr>
              <w:t>320 Park Avenue, 29th Floor,</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7"/>
        </w:trPr>
        <w:tc>
          <w:tcPr>
            <w:tcW w:w="1320" w:type="dxa"/>
            <w:vAlign w:val="bottom"/>
          </w:tcPr>
          <w:p>
            <w:pPr>
              <w:spacing w:after="0"/>
              <w:rPr>
                <w:sz w:val="17"/>
                <w:szCs w:val="17"/>
                <w:color w:val="auto"/>
              </w:rPr>
            </w:pPr>
          </w:p>
        </w:tc>
        <w:tc>
          <w:tcPr>
            <w:tcW w:w="3000" w:type="dxa"/>
            <w:vAlign w:val="bottom"/>
            <w:gridSpan w:val="3"/>
          </w:tcPr>
          <w:p>
            <w:pPr>
              <w:ind w:left="1080"/>
              <w:spacing w:after="0"/>
              <w:rPr>
                <w:sz w:val="20"/>
                <w:szCs w:val="20"/>
                <w:color w:val="auto"/>
              </w:rPr>
            </w:pPr>
            <w:r>
              <w:rPr>
                <w:rFonts w:ascii="Arial" w:cs="Arial" w:eastAsia="Arial" w:hAnsi="Arial"/>
                <w:sz w:val="16"/>
                <w:szCs w:val="16"/>
                <w:b w:val="1"/>
                <w:bCs w:val="1"/>
                <w:color w:val="auto"/>
              </w:rPr>
              <w:t>New York, New York</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6"/>
              <w:spacing w:after="0"/>
              <w:rPr>
                <w:sz w:val="20"/>
                <w:szCs w:val="20"/>
                <w:color w:val="auto"/>
              </w:rPr>
            </w:pPr>
            <w:r>
              <w:rPr>
                <w:rFonts w:ascii="Arial" w:cs="Arial" w:eastAsia="Arial" w:hAnsi="Arial"/>
                <w:sz w:val="16"/>
                <w:szCs w:val="16"/>
                <w:b w:val="1"/>
                <w:bCs w:val="1"/>
                <w:color w:val="auto"/>
              </w:rPr>
              <w:t>10022</w:t>
            </w:r>
          </w:p>
        </w:tc>
        <w:tc>
          <w:tcPr>
            <w:tcW w:w="600" w:type="dxa"/>
            <w:vAlign w:val="bottom"/>
          </w:tcPr>
          <w:p>
            <w:pPr>
              <w:spacing w:after="0"/>
              <w:rPr>
                <w:sz w:val="17"/>
                <w:szCs w:val="17"/>
                <w:color w:val="auto"/>
              </w:rPr>
            </w:pPr>
          </w:p>
        </w:tc>
      </w:tr>
      <w:tr>
        <w:trPr>
          <w:trHeight w:val="183"/>
        </w:trPr>
        <w:tc>
          <w:tcPr>
            <w:tcW w:w="1320" w:type="dxa"/>
            <w:vAlign w:val="bottom"/>
          </w:tcPr>
          <w:p>
            <w:pPr>
              <w:spacing w:after="0"/>
              <w:rPr>
                <w:sz w:val="15"/>
                <w:szCs w:val="15"/>
                <w:color w:val="auto"/>
              </w:rPr>
            </w:pPr>
          </w:p>
        </w:tc>
        <w:tc>
          <w:tcPr>
            <w:tcW w:w="3000" w:type="dxa"/>
            <w:vAlign w:val="bottom"/>
            <w:gridSpan w:val="3"/>
          </w:tcPr>
          <w:p>
            <w:pPr>
              <w:jc w:val="center"/>
              <w:ind w:left="4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89"/>
              </w:rPr>
              <w:t>(Zip code)</w:t>
            </w:r>
          </w:p>
        </w:tc>
      </w:tr>
      <w:tr>
        <w:trPr>
          <w:trHeight w:val="30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left="364"/>
              <w:spacing w:after="0"/>
              <w:rPr>
                <w:sz w:val="20"/>
                <w:szCs w:val="20"/>
                <w:color w:val="auto"/>
              </w:rPr>
            </w:pPr>
            <w:r>
              <w:rPr>
                <w:rFonts w:ascii="Arial" w:cs="Arial" w:eastAsia="Arial" w:hAnsi="Arial"/>
                <w:sz w:val="16"/>
                <w:szCs w:val="16"/>
                <w:b w:val="1"/>
                <w:bCs w:val="1"/>
                <w:color w:val="auto"/>
                <w:w w:val="89"/>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6"/>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89"/>
        </w:trPr>
        <w:tc>
          <w:tcPr>
            <w:tcW w:w="1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3"/>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0"/>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r>
      <w:tr>
        <w:trPr>
          <w:trHeight w:val="173"/>
        </w:trPr>
        <w:tc>
          <w:tcPr>
            <w:tcW w:w="3820" w:type="dxa"/>
            <w:vAlign w:val="bottom"/>
            <w:tcBorders>
              <w:left w:val="single" w:sz="8" w:color="auto"/>
              <w:right w:val="single" w:sz="8" w:color="auto"/>
            </w:tcBorders>
            <w:gridSpan w:val="3"/>
          </w:tcPr>
          <w:p>
            <w:pPr>
              <w:jc w:val="center"/>
              <w:spacing w:after="0" w:line="137" w:lineRule="exact"/>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15"/>
                <w:szCs w:val="15"/>
                <w:color w:val="auto"/>
              </w:rPr>
            </w:pPr>
          </w:p>
        </w:tc>
        <w:tc>
          <w:tcPr>
            <w:tcW w:w="2320" w:type="dxa"/>
            <w:vAlign w:val="bottom"/>
            <w:tcBorders>
              <w:right w:val="single" w:sz="8" w:color="auto"/>
            </w:tcBorders>
            <w:gridSpan w:val="3"/>
          </w:tcPr>
          <w:p>
            <w:pPr>
              <w:jc w:val="center"/>
              <w:ind w:right="540"/>
              <w:spacing w:after="0" w:line="138" w:lineRule="exact"/>
              <w:rPr>
                <w:sz w:val="20"/>
                <w:szCs w:val="20"/>
                <w:color w:val="auto"/>
              </w:rPr>
            </w:pPr>
            <w:r>
              <w:rPr>
                <w:rFonts w:ascii="Arial" w:cs="Arial" w:eastAsia="Arial" w:hAnsi="Arial"/>
                <w:sz w:val="15"/>
                <w:szCs w:val="15"/>
                <w:b w:val="1"/>
                <w:bCs w:val="1"/>
                <w:color w:val="auto"/>
                <w:w w:val="93"/>
              </w:rPr>
              <w:t>Trading symbol(s)</w:t>
            </w:r>
          </w:p>
        </w:tc>
        <w:tc>
          <w:tcPr>
            <w:tcW w:w="280" w:type="dxa"/>
            <w:vAlign w:val="bottom"/>
          </w:tcPr>
          <w:p>
            <w:pPr>
              <w:spacing w:after="0"/>
              <w:rPr>
                <w:sz w:val="15"/>
                <w:szCs w:val="15"/>
                <w:color w:val="auto"/>
              </w:rPr>
            </w:pPr>
          </w:p>
        </w:tc>
        <w:tc>
          <w:tcPr>
            <w:tcW w:w="3680" w:type="dxa"/>
            <w:vAlign w:val="bottom"/>
            <w:tcBorders>
              <w:right w:val="single" w:sz="8" w:color="auto"/>
            </w:tcBorders>
            <w:gridSpan w:val="3"/>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2"/>
        </w:trPr>
        <w:tc>
          <w:tcPr>
            <w:tcW w:w="3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87"/>
              </w:rPr>
              <w:t>Common Stock, par value $0.001 per share</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4"/>
                <w:szCs w:val="14"/>
                <w:color w:val="auto"/>
              </w:rPr>
              <w:t>EXLS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600"/>
              <w:spacing w:after="0"/>
              <w:rPr>
                <w:sz w:val="20"/>
                <w:szCs w:val="20"/>
                <w:color w:val="auto"/>
              </w:rPr>
            </w:pPr>
            <w:r>
              <w:rPr>
                <w:rFonts w:ascii="Arial" w:cs="Arial" w:eastAsia="Arial" w:hAnsi="Arial"/>
                <w:sz w:val="16"/>
                <w:szCs w:val="16"/>
                <w:color w:val="auto"/>
                <w:w w:val="94"/>
              </w:rPr>
              <w:t>NASDAQ</w:t>
            </w:r>
          </w:p>
        </w:tc>
      </w:tr>
    </w:tbl>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rPr>
          <w:sz w:val="20"/>
          <w:szCs w:val="20"/>
          <w:color w:val="auto"/>
        </w:rPr>
      </w:pPr>
      <w:r>
        <w:rPr>
          <w:rFonts w:ascii="Arial" w:cs="Arial" w:eastAsia="Arial" w:hAnsi="Arial"/>
          <w:sz w:val="17"/>
          <w:szCs w:val="17"/>
          <w:b w:val="1"/>
          <w:bCs w:val="1"/>
          <w:color w:val="auto"/>
        </w:rPr>
        <w:t>________________________________________________________</w:t>
      </w:r>
    </w:p>
    <w:p>
      <w:pPr>
        <w:spacing w:after="0" w:line="226" w:lineRule="exact"/>
        <w:rPr>
          <w:sz w:val="24"/>
          <w:szCs w:val="24"/>
          <w:color w:val="auto"/>
        </w:rPr>
      </w:pPr>
    </w:p>
    <w:p>
      <w:pPr>
        <w:ind w:firstLine="315"/>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04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firstLine="315"/>
        <w:spacing w:after="0" w:line="22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firstLine="315"/>
        <w:spacing w:after="0" w:line="30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340" w:type="dxa"/>
        <w:tblCellMar>
          <w:top w:w="0" w:type="dxa"/>
          <w:left w:w="0" w:type="dxa"/>
          <w:bottom w:w="0" w:type="dxa"/>
          <w:right w:w="0" w:type="dxa"/>
        </w:tblCellMar>
      </w:tblPr>
      <w:tr>
        <w:trPr>
          <w:trHeight w:val="260"/>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49" w:lineRule="exact"/>
        <w:rPr>
          <w:sz w:val="24"/>
          <w:szCs w:val="24"/>
          <w:color w:val="auto"/>
        </w:rPr>
      </w:pPr>
    </w:p>
    <w:p>
      <w:pPr>
        <w:ind w:firstLine="315"/>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line="184" w:lineRule="exact"/>
        <w:tabs>
          <w:tab w:leader="none" w:pos="77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3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As of October 24, 2023, there were 164,922,767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226695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540" w:type="dxa"/>
            <w:vAlign w:val="bottom"/>
            <w:gridSpan w:val="2"/>
            <w:vMerge w:val="restart"/>
          </w:tcPr>
          <w:p>
            <w:pPr>
              <w:spacing w:after="0"/>
              <w:rPr>
                <w:sz w:val="20"/>
                <w:szCs w:val="20"/>
                <w:color w:val="auto"/>
              </w:rPr>
            </w:pPr>
            <w:r>
              <w:rPr>
                <w:rFonts w:ascii="Arial" w:cs="Arial" w:eastAsia="Arial" w:hAnsi="Arial"/>
                <w:sz w:val="17"/>
                <w:szCs w:val="17"/>
                <w:color w:val="auto"/>
              </w:rPr>
              <w:t>ITEM</w:t>
            </w: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540" w:type="dxa"/>
            <w:vAlign w:val="bottom"/>
            <w:gridSpan w:val="2"/>
            <w:vMerge w:val="continue"/>
          </w:tcPr>
          <w:p>
            <w:pPr>
              <w:spacing w:after="0"/>
              <w:rPr>
                <w:sz w:val="17"/>
                <w:szCs w:val="17"/>
                <w:color w:val="auto"/>
              </w:rPr>
            </w:pPr>
          </w:p>
        </w:tc>
        <w:tc>
          <w:tcPr>
            <w:tcW w:w="9040" w:type="dxa"/>
            <w:vAlign w:val="bottom"/>
            <w:gridSpan w:val="20"/>
            <w:vMerge w:val="restart"/>
          </w:tcPr>
          <w:p>
            <w:pPr>
              <w:spacing w:after="0"/>
              <w:rPr>
                <w:sz w:val="20"/>
                <w:szCs w:val="20"/>
                <w:color w:val="auto"/>
              </w:rPr>
            </w:pPr>
            <w:r>
              <w:rPr>
                <w:rFonts w:ascii="Arial" w:cs="Arial" w:eastAsia="Arial" w:hAnsi="Arial"/>
                <w:sz w:val="17"/>
                <w:szCs w:val="17"/>
                <w:color w:val="0000FF"/>
              </w:rPr>
              <w:t>Part I. Financial Information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40" w:type="dxa"/>
            <w:vAlign w:val="bottom"/>
            <w:gridSpan w:val="20"/>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FINANCIAL STATEMENTS (UNAUDITED)</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1"/>
              </w:rPr>
              <w:t>Consolidated Balance Sheets as of September 30, 2023 and December 31, 2022</w:t>
            </w:r>
          </w:p>
        </w:tc>
        <w:tc>
          <w:tcPr>
            <w:tcW w:w="3260" w:type="dxa"/>
            <w:vAlign w:val="bottom"/>
            <w:gridSpan w:val="6"/>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2"/>
              </w:rPr>
              <w:t>Consolidated Statements of Income for the Three and Nine Months Ended September 30, 2023 and 2022</w:t>
            </w:r>
          </w:p>
        </w:tc>
        <w:tc>
          <w:tcPr>
            <w:tcW w:w="1500" w:type="dxa"/>
            <w:vAlign w:val="bottom"/>
            <w:gridSpan w:val="3"/>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8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2"/>
              </w:rPr>
              <w:t>Consolidated Statements of Comprehensive Income for the Three and Nine Months Ended September 30, 2023 and 2022</w:t>
            </w:r>
          </w:p>
        </w:tc>
        <w:tc>
          <w:tcPr>
            <w:tcW w:w="3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0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2"/>
              </w:rPr>
              <w:t>Consolidated Statements of Stockholders’ Equity for the Three and Nine Months Ended September 30, 2023 and 2022</w:t>
            </w:r>
          </w:p>
        </w:tc>
        <w:tc>
          <w:tcPr>
            <w:tcW w:w="540" w:type="dxa"/>
            <w:vAlign w:val="bottom"/>
            <w:gridSpan w:val="2"/>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7</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9"/>
          </w:tcPr>
          <w:p>
            <w:pPr>
              <w:spacing w:after="0"/>
              <w:rPr>
                <w:sz w:val="20"/>
                <w:szCs w:val="20"/>
                <w:color w:val="auto"/>
              </w:rPr>
            </w:pPr>
            <w:r>
              <w:rPr>
                <w:rFonts w:ascii="Arial" w:cs="Arial" w:eastAsia="Arial" w:hAnsi="Arial"/>
                <w:sz w:val="17"/>
                <w:szCs w:val="17"/>
                <w:color w:val="0000FF"/>
              </w:rPr>
              <w:t>Consolidated Statements of Cash Flows for the Nine Months Ended September 30, 2023 and 2022</w:t>
            </w:r>
          </w:p>
        </w:tc>
        <w:tc>
          <w:tcPr>
            <w:tcW w:w="640" w:type="dxa"/>
            <w:vAlign w:val="bottom"/>
          </w:tcPr>
          <w:p>
            <w:pPr>
              <w:ind w:left="20"/>
              <w:spacing w:after="0"/>
              <w:rPr>
                <w:sz w:val="20"/>
                <w:szCs w:val="20"/>
                <w:color w:val="auto"/>
              </w:rPr>
            </w:pPr>
            <w:r>
              <w:rPr>
                <w:rFonts w:ascii="Arial" w:cs="Arial" w:eastAsia="Arial" w:hAnsi="Arial"/>
                <w:sz w:val="17"/>
                <w:szCs w:val="17"/>
                <w:color w:val="0000FF"/>
              </w:rPr>
              <w:t>9</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Notes to Consolidated Financial Statements</w:t>
            </w:r>
          </w:p>
        </w:tc>
        <w:tc>
          <w:tcPr>
            <w:tcW w:w="1960" w:type="dxa"/>
            <w:vAlign w:val="bottom"/>
            <w:gridSpan w:val="4"/>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2.</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40" w:type="dxa"/>
            <w:vAlign w:val="bottom"/>
          </w:tcPr>
          <w:p>
            <w:pPr>
              <w:ind w:left="20"/>
              <w:spacing w:after="0"/>
              <w:rPr>
                <w:sz w:val="20"/>
                <w:szCs w:val="20"/>
                <w:color w:val="auto"/>
              </w:rPr>
            </w:pPr>
            <w:r>
              <w:rPr>
                <w:rFonts w:ascii="Arial" w:cs="Arial" w:eastAsia="Arial" w:hAnsi="Arial"/>
                <w:sz w:val="17"/>
                <w:szCs w:val="17"/>
                <w:color w:val="0000FF"/>
              </w:rPr>
              <w:t>40</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3.</w:t>
            </w:r>
          </w:p>
        </w:tc>
        <w:tc>
          <w:tcPr>
            <w:tcW w:w="800" w:type="dxa"/>
            <w:vAlign w:val="bottom"/>
          </w:tcPr>
          <w:p>
            <w:pPr>
              <w:spacing w:after="0"/>
              <w:rPr>
                <w:sz w:val="22"/>
                <w:szCs w:val="22"/>
                <w:color w:val="auto"/>
              </w:rPr>
            </w:pPr>
          </w:p>
        </w:tc>
        <w:tc>
          <w:tcPr>
            <w:tcW w:w="42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7"/>
                <w:szCs w:val="17"/>
                <w:color w:val="0000FF"/>
                <w:w w:val="95"/>
              </w:rPr>
              <w:t>Quantitative and Qualitative Disclosures About Market Risk</w:t>
            </w:r>
          </w:p>
        </w:tc>
        <w:tc>
          <w:tcPr>
            <w:tcW w:w="2020" w:type="dxa"/>
            <w:vAlign w:val="bottom"/>
            <w:tcBorders>
              <w:top w:val="single" w:sz="8" w:color="0000FF"/>
            </w:tcBorders>
            <w:gridSpan w:val="2"/>
          </w:tcPr>
          <w:p>
            <w:pPr>
              <w:spacing w:after="0"/>
              <w:rPr>
                <w:sz w:val="22"/>
                <w:szCs w:val="22"/>
                <w:color w:val="auto"/>
              </w:rPr>
            </w:pPr>
          </w:p>
        </w:tc>
        <w:tc>
          <w:tcPr>
            <w:tcW w:w="2760" w:type="dxa"/>
            <w:vAlign w:val="bottom"/>
            <w:gridSpan w:val="5"/>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56</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4.</w:t>
            </w:r>
          </w:p>
        </w:tc>
        <w:tc>
          <w:tcPr>
            <w:tcW w:w="800" w:type="dxa"/>
            <w:vAlign w:val="bottom"/>
          </w:tcPr>
          <w:p>
            <w:pPr>
              <w:spacing w:after="0"/>
              <w:rPr>
                <w:sz w:val="22"/>
                <w:szCs w:val="22"/>
                <w:color w:val="auto"/>
              </w:rPr>
            </w:pPr>
          </w:p>
        </w:tc>
        <w:tc>
          <w:tcPr>
            <w:tcW w:w="17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Controls and Procedures</w:t>
            </w:r>
          </w:p>
        </w:tc>
        <w:tc>
          <w:tcPr>
            <w:tcW w:w="7300" w:type="dxa"/>
            <w:vAlign w:val="bottom"/>
            <w:gridSpan w:val="13"/>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56</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6"/>
              </w:rPr>
              <w:t>Part II. Other Information</w:t>
            </w:r>
          </w:p>
        </w:tc>
        <w:tc>
          <w:tcPr>
            <w:tcW w:w="7220" w:type="dxa"/>
            <w:vAlign w:val="bottom"/>
            <w:gridSpan w:val="12"/>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56</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Legal Proceedings</w:t>
            </w:r>
          </w:p>
        </w:tc>
        <w:tc>
          <w:tcPr>
            <w:tcW w:w="640" w:type="dxa"/>
            <w:vAlign w:val="bottom"/>
          </w:tcPr>
          <w:p>
            <w:pPr>
              <w:ind w:left="20"/>
              <w:spacing w:after="0"/>
              <w:rPr>
                <w:sz w:val="20"/>
                <w:szCs w:val="20"/>
                <w:color w:val="auto"/>
              </w:rPr>
            </w:pPr>
            <w:r>
              <w:rPr>
                <w:rFonts w:ascii="Arial" w:cs="Arial" w:eastAsia="Arial" w:hAnsi="Arial"/>
                <w:sz w:val="17"/>
                <w:szCs w:val="17"/>
                <w:color w:val="0000FF"/>
              </w:rPr>
              <w:t>56</w:t>
            </w:r>
          </w:p>
        </w:tc>
        <w:tc>
          <w:tcPr>
            <w:tcW w:w="0" w:type="dxa"/>
            <w:vAlign w:val="bottom"/>
          </w:tcPr>
          <w:p>
            <w:pPr>
              <w:spacing w:after="0"/>
              <w:rPr>
                <w:sz w:val="1"/>
                <w:szCs w:val="1"/>
                <w:color w:val="auto"/>
              </w:rPr>
            </w:pPr>
          </w:p>
        </w:tc>
      </w:tr>
      <w:tr>
        <w:trPr>
          <w:trHeight w:val="255"/>
        </w:trPr>
        <w:tc>
          <w:tcPr>
            <w:tcW w:w="1540" w:type="dxa"/>
            <w:vAlign w:val="bottom"/>
            <w:gridSpan w:val="2"/>
          </w:tcPr>
          <w:p>
            <w:pPr>
              <w:spacing w:after="0"/>
              <w:rPr>
                <w:sz w:val="20"/>
                <w:szCs w:val="20"/>
                <w:color w:val="auto"/>
              </w:rPr>
            </w:pPr>
            <w:r>
              <w:rPr>
                <w:rFonts w:ascii="Arial" w:cs="Arial" w:eastAsia="Arial" w:hAnsi="Arial"/>
                <w:sz w:val="17"/>
                <w:szCs w:val="17"/>
                <w:color w:val="auto"/>
              </w:rPr>
              <w:t>1A.</w:t>
            </w:r>
          </w:p>
        </w:tc>
        <w:tc>
          <w:tcPr>
            <w:tcW w:w="13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Risk Factors</w:t>
            </w:r>
          </w:p>
        </w:tc>
        <w:tc>
          <w:tcPr>
            <w:tcW w:w="7740" w:type="dxa"/>
            <w:vAlign w:val="bottom"/>
            <w:gridSpan w:val="15"/>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2.</w:t>
            </w:r>
          </w:p>
        </w:tc>
        <w:tc>
          <w:tcPr>
            <w:tcW w:w="800" w:type="dxa"/>
            <w:vAlign w:val="bottom"/>
          </w:tcPr>
          <w:p>
            <w:pPr>
              <w:spacing w:after="0"/>
              <w:rPr>
                <w:sz w:val="22"/>
                <w:szCs w:val="22"/>
                <w:color w:val="auto"/>
              </w:rPr>
            </w:pPr>
          </w:p>
        </w:tc>
        <w:tc>
          <w:tcPr>
            <w:tcW w:w="424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2"/>
              </w:rPr>
              <w:t>Unregistered Sales of Equity Securities and Use of Proceeds</w:t>
            </w:r>
          </w:p>
        </w:tc>
        <w:tc>
          <w:tcPr>
            <w:tcW w:w="4800" w:type="dxa"/>
            <w:vAlign w:val="bottom"/>
            <w:gridSpan w:val="8"/>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56</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3.</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Arial" w:cs="Arial" w:eastAsia="Arial" w:hAnsi="Arial"/>
                <w:sz w:val="17"/>
                <w:szCs w:val="17"/>
                <w:color w:val="0000FF"/>
              </w:rPr>
              <w:t>Defaults Upon Senior Securities</w:t>
            </w:r>
          </w:p>
        </w:tc>
        <w:tc>
          <w:tcPr>
            <w:tcW w:w="640" w:type="dxa"/>
            <w:vAlign w:val="bottom"/>
          </w:tcPr>
          <w:p>
            <w:pPr>
              <w:ind w:left="20"/>
              <w:spacing w:after="0"/>
              <w:rPr>
                <w:sz w:val="20"/>
                <w:szCs w:val="20"/>
                <w:color w:val="auto"/>
              </w:rPr>
            </w:pPr>
            <w:r>
              <w:rPr>
                <w:rFonts w:ascii="Arial" w:cs="Arial" w:eastAsia="Arial" w:hAnsi="Arial"/>
                <w:sz w:val="17"/>
                <w:szCs w:val="17"/>
                <w:color w:val="0000FF"/>
              </w:rPr>
              <w:t>57</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4.</w:t>
            </w:r>
          </w:p>
        </w:tc>
        <w:tc>
          <w:tcPr>
            <w:tcW w:w="800" w:type="dxa"/>
            <w:vAlign w:val="bottom"/>
          </w:tcPr>
          <w:p>
            <w:pPr>
              <w:spacing w:after="0"/>
              <w:rPr>
                <w:sz w:val="22"/>
                <w:szCs w:val="22"/>
                <w:color w:val="auto"/>
              </w:rPr>
            </w:pPr>
          </w:p>
        </w:tc>
        <w:tc>
          <w:tcPr>
            <w:tcW w:w="2260" w:type="dxa"/>
            <w:vAlign w:val="bottom"/>
            <w:tcBorders>
              <w:top w:val="single" w:sz="8" w:color="0000FF"/>
            </w:tcBorders>
            <w:gridSpan w:val="10"/>
          </w:tcPr>
          <w:p>
            <w:pPr>
              <w:spacing w:after="0"/>
              <w:rPr>
                <w:sz w:val="20"/>
                <w:szCs w:val="20"/>
                <w:color w:val="auto"/>
              </w:rPr>
            </w:pPr>
            <w:r>
              <w:rPr>
                <w:rFonts w:ascii="Arial" w:cs="Arial" w:eastAsia="Arial" w:hAnsi="Arial"/>
                <w:sz w:val="17"/>
                <w:szCs w:val="17"/>
                <w:color w:val="0000FF"/>
              </w:rPr>
              <w:t>Mine Safety Disclosures</w:t>
            </w:r>
          </w:p>
        </w:tc>
        <w:tc>
          <w:tcPr>
            <w:tcW w:w="6780" w:type="dxa"/>
            <w:vAlign w:val="bottom"/>
            <w:gridSpan w:val="10"/>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57</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5.</w:t>
            </w:r>
          </w:p>
        </w:tc>
        <w:tc>
          <w:tcPr>
            <w:tcW w:w="800" w:type="dxa"/>
            <w:vAlign w:val="bottom"/>
          </w:tcPr>
          <w:p>
            <w:pPr>
              <w:spacing w:after="0"/>
              <w:rPr>
                <w:sz w:val="22"/>
                <w:szCs w:val="22"/>
                <w:color w:val="auto"/>
              </w:rPr>
            </w:pPr>
          </w:p>
        </w:tc>
        <w:tc>
          <w:tcPr>
            <w:tcW w:w="172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Other Information</w:t>
            </w:r>
          </w:p>
        </w:tc>
        <w:tc>
          <w:tcPr>
            <w:tcW w:w="7320" w:type="dxa"/>
            <w:vAlign w:val="bottom"/>
            <w:gridSpan w:val="14"/>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57</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7"/>
                <w:szCs w:val="17"/>
                <w:color w:val="auto"/>
              </w:rPr>
              <w:t>6.</w:t>
            </w:r>
          </w:p>
        </w:tc>
        <w:tc>
          <w:tcPr>
            <w:tcW w:w="800" w:type="dxa"/>
            <w:vAlign w:val="bottom"/>
          </w:tcPr>
          <w:p>
            <w:pPr>
              <w:spacing w:after="0"/>
              <w:rPr>
                <w:sz w:val="22"/>
                <w:szCs w:val="22"/>
                <w:color w:val="auto"/>
              </w:rPr>
            </w:pPr>
          </w:p>
        </w:tc>
        <w:tc>
          <w:tcPr>
            <w:tcW w:w="128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Exhibits</w:t>
            </w:r>
          </w:p>
        </w:tc>
        <w:tc>
          <w:tcPr>
            <w:tcW w:w="7760" w:type="dxa"/>
            <w:vAlign w:val="bottom"/>
            <w:gridSpan w:val="16"/>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58</w:t>
            </w:r>
          </w:p>
        </w:tc>
        <w:tc>
          <w:tcPr>
            <w:tcW w:w="0" w:type="dxa"/>
            <w:vAlign w:val="bottom"/>
          </w:tcPr>
          <w:p>
            <w:pPr>
              <w:spacing w:after="0"/>
              <w:rPr>
                <w:sz w:val="1"/>
                <w:szCs w:val="1"/>
                <w:color w:val="auto"/>
              </w:rPr>
            </w:pPr>
          </w:p>
        </w:tc>
      </w:tr>
      <w:tr>
        <w:trPr>
          <w:trHeight w:val="255"/>
        </w:trPr>
        <w:tc>
          <w:tcPr>
            <w:tcW w:w="154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2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59</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EXLSERVICE HOLDINGS, INC.</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5"/>
                <w:szCs w:val="15"/>
                <w:b w:val="1"/>
                <w:bCs w:val="1"/>
                <w:color w:val="auto"/>
              </w:rPr>
              <w:t>As of</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06"/>
              <w:spacing w:after="0"/>
              <w:rPr>
                <w:sz w:val="20"/>
                <w:szCs w:val="20"/>
                <w:color w:val="auto"/>
              </w:rPr>
            </w:pPr>
            <w:r>
              <w:rPr>
                <w:rFonts w:ascii="Arial" w:cs="Arial" w:eastAsia="Arial" w:hAnsi="Arial"/>
                <w:sz w:val="15"/>
                <w:szCs w:val="15"/>
                <w:b w:val="1"/>
                <w:bCs w:val="1"/>
                <w:color w:val="auto"/>
                <w:w w:val="93"/>
              </w:rPr>
              <w:t>December 31, 2022</w:t>
            </w:r>
          </w:p>
        </w:tc>
        <w:tc>
          <w:tcPr>
            <w:tcW w:w="0" w:type="dxa"/>
            <w:vAlign w:val="bottom"/>
          </w:tcPr>
          <w:p>
            <w:pPr>
              <w:spacing w:after="0"/>
              <w:rPr>
                <w:sz w:val="1"/>
                <w:szCs w:val="1"/>
                <w:color w:val="auto"/>
              </w:rPr>
            </w:pPr>
          </w:p>
        </w:tc>
      </w:tr>
      <w:tr>
        <w:trPr>
          <w:trHeight w:val="179"/>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122,655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118,669</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151,581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179,027</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4,897</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303,378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259,222</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70,697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50,979</w:t>
            </w:r>
          </w:p>
        </w:tc>
        <w:tc>
          <w:tcPr>
            <w:tcW w:w="0" w:type="dxa"/>
            <w:vAlign w:val="bottom"/>
          </w:tcPr>
          <w:p>
            <w:pPr>
              <w:spacing w:after="0"/>
              <w:rPr>
                <w:sz w:val="1"/>
                <w:szCs w:val="1"/>
                <w:color w:val="auto"/>
              </w:rPr>
            </w:pPr>
          </w:p>
        </w:tc>
      </w:tr>
      <w:tr>
        <w:trPr>
          <w:trHeight w:val="188"/>
        </w:trPr>
        <w:tc>
          <w:tcPr>
            <w:tcW w:w="7420" w:type="dxa"/>
            <w:vAlign w:val="bottom"/>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651,568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612,794</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82,828</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Operating lease right-of-use assets,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56,817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55,347</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2,055</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79,767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55,791</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405,579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405,637</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Other intangible assets,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53,315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64,819</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investments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34,779</w:t>
            </w:r>
          </w:p>
        </w:tc>
        <w:tc>
          <w:tcPr>
            <w:tcW w:w="0" w:type="dxa"/>
            <w:vAlign w:val="bottom"/>
          </w:tcPr>
          <w:p>
            <w:pPr>
              <w:spacing w:after="0"/>
              <w:rPr>
                <w:sz w:val="1"/>
                <w:szCs w:val="1"/>
                <w:color w:val="auto"/>
              </w:rPr>
            </w:pPr>
          </w:p>
        </w:tc>
      </w:tr>
      <w:tr>
        <w:trPr>
          <w:trHeight w:val="19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51,398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32,069</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1,402,493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1,346,119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Accounts payable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3,159</w:t>
            </w:r>
          </w:p>
        </w:tc>
        <w:tc>
          <w:tcPr>
            <w:tcW w:w="100" w:type="dxa"/>
            <w:vAlign w:val="bottom"/>
          </w:tcPr>
          <w:p>
            <w:pPr>
              <w:spacing w:after="0"/>
              <w:rPr>
                <w:sz w:val="16"/>
                <w:szCs w:val="16"/>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7,789</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Current portion of long-term borrowings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13,766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18,782</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employee costs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108,100</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107,730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95,352</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Current portion of operating lease 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14,978</w:t>
            </w:r>
          </w:p>
        </w:tc>
        <w:tc>
          <w:tcPr>
            <w:tcW w:w="0" w:type="dxa"/>
            <w:vAlign w:val="bottom"/>
          </w:tcPr>
          <w:p>
            <w:pPr>
              <w:spacing w:after="0"/>
              <w:rPr>
                <w:sz w:val="1"/>
                <w:szCs w:val="1"/>
                <w:color w:val="auto"/>
              </w:rPr>
            </w:pPr>
          </w:p>
        </w:tc>
      </w:tr>
      <w:tr>
        <w:trPr>
          <w:trHeight w:val="193"/>
        </w:trPr>
        <w:tc>
          <w:tcPr>
            <w:tcW w:w="74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Income taxes payable, net</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11,948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2,945</w:t>
            </w:r>
          </w:p>
        </w:tc>
        <w:tc>
          <w:tcPr>
            <w:tcW w:w="0" w:type="dxa"/>
            <w:vAlign w:val="bottom"/>
          </w:tcPr>
          <w:p>
            <w:pPr>
              <w:spacing w:after="0"/>
              <w:rPr>
                <w:sz w:val="1"/>
                <w:szCs w:val="1"/>
                <w:color w:val="auto"/>
              </w:rPr>
            </w:pPr>
          </w:p>
        </w:tc>
      </w:tr>
      <w:tr>
        <w:trPr>
          <w:trHeight w:val="194"/>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306,146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277,946</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Long-term borrowings, less current portion</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160,000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220,000</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48,155</w:t>
            </w: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Deferred tax liabilities, net</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547</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41,292</w:t>
            </w:r>
          </w:p>
        </w:tc>
        <w:tc>
          <w:tcPr>
            <w:tcW w:w="0" w:type="dxa"/>
            <w:vAlign w:val="bottom"/>
          </w:tcPr>
          <w:p>
            <w:pPr>
              <w:spacing w:after="0"/>
              <w:rPr>
                <w:sz w:val="1"/>
                <w:szCs w:val="1"/>
                <w:color w:val="auto"/>
              </w:rPr>
            </w:pPr>
          </w:p>
        </w:tc>
      </w:tr>
      <w:tr>
        <w:trPr>
          <w:trHeight w:val="18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546,406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587,940</w:t>
            </w:r>
          </w:p>
        </w:tc>
        <w:tc>
          <w:tcPr>
            <w:tcW w:w="0" w:type="dxa"/>
            <w:vAlign w:val="bottom"/>
          </w:tcPr>
          <w:p>
            <w:pPr>
              <w:spacing w:after="0"/>
              <w:rPr>
                <w:sz w:val="1"/>
                <w:szCs w:val="1"/>
                <w:color w:val="auto"/>
              </w:rPr>
            </w:pPr>
          </w:p>
        </w:tc>
      </w:tr>
      <w:tr>
        <w:trPr>
          <w:trHeight w:val="179"/>
        </w:trPr>
        <w:tc>
          <w:tcPr>
            <w:tcW w:w="742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color w:val="auto"/>
              </w:rPr>
              <w:t>Commitments and contingencies (Refer to Note 25)</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4"/>
        </w:trPr>
        <w:tc>
          <w:tcPr>
            <w:tcW w:w="7420" w:type="dxa"/>
            <w:vAlign w:val="bottom"/>
          </w:tcPr>
          <w:p>
            <w:pPr>
              <w:ind w:left="340"/>
              <w:spacing w:after="0" w:line="144" w:lineRule="exact"/>
              <w:rPr>
                <w:sz w:val="20"/>
                <w:szCs w:val="20"/>
                <w:color w:val="auto"/>
              </w:rPr>
            </w:pPr>
            <w:r>
              <w:rPr>
                <w:rFonts w:ascii="Arial" w:cs="Arial" w:eastAsia="Arial" w:hAnsi="Arial"/>
                <w:sz w:val="15"/>
                <w:szCs w:val="15"/>
                <w:color w:val="auto"/>
                <w:w w:val="89"/>
              </w:rPr>
              <w:t>Common stock, $0.001 par value; 400,000,000 shares authorized, 202,124,185 shares issued and 165,117,859 shares</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20" w:type="dxa"/>
            <w:vAlign w:val="bottom"/>
          </w:tcPr>
          <w:p>
            <w:pPr>
              <w:ind w:left="340"/>
              <w:spacing w:after="0" w:line="144" w:lineRule="exact"/>
              <w:rPr>
                <w:sz w:val="20"/>
                <w:szCs w:val="20"/>
                <w:color w:val="auto"/>
              </w:rPr>
            </w:pPr>
            <w:r>
              <w:rPr>
                <w:rFonts w:ascii="Arial" w:cs="Arial" w:eastAsia="Arial" w:hAnsi="Arial"/>
                <w:sz w:val="15"/>
                <w:szCs w:val="15"/>
                <w:color w:val="auto"/>
                <w:w w:val="93"/>
              </w:rPr>
              <w:t>outstanding as of September 30, 2023 and 199,939,880 shares issued and 166,172,220 shares outstanding as of</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Pr>
          <w:p>
            <w:pPr>
              <w:ind w:left="340"/>
              <w:spacing w:after="0" w:line="210" w:lineRule="exact"/>
              <w:rPr>
                <w:sz w:val="20"/>
                <w:szCs w:val="20"/>
                <w:color w:val="auto"/>
              </w:rPr>
            </w:pPr>
            <w:r>
              <w:rPr>
                <w:rFonts w:ascii="Arial" w:cs="Arial" w:eastAsia="Arial" w:hAnsi="Arial"/>
                <w:sz w:val="15"/>
                <w:szCs w:val="15"/>
                <w:color w:val="auto"/>
              </w:rPr>
              <w:t xml:space="preserve">December 31, 2022 </w:t>
            </w:r>
            <w:r>
              <w:rPr>
                <w:rFonts w:ascii="Arial" w:cs="Arial" w:eastAsia="Arial" w:hAnsi="Arial"/>
                <w:sz w:val="19"/>
                <w:szCs w:val="19"/>
                <w:color w:val="auto"/>
                <w:vertAlign w:val="superscript"/>
              </w:rPr>
              <w:t>(1)</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97"/>
        </w:trPr>
        <w:tc>
          <w:tcPr>
            <w:tcW w:w="7420" w:type="dxa"/>
            <w:vAlign w:val="bottom"/>
            <w:shd w:val="clear" w:color="auto" w:fill="CCEEFF"/>
          </w:tcPr>
          <w:p>
            <w:pPr>
              <w:ind w:left="340"/>
              <w:spacing w:after="0" w:line="197" w:lineRule="exact"/>
              <w:rPr>
                <w:sz w:val="20"/>
                <w:szCs w:val="20"/>
                <w:color w:val="auto"/>
              </w:rPr>
            </w:pPr>
            <w:r>
              <w:rPr>
                <w:rFonts w:ascii="Arial" w:cs="Arial" w:eastAsia="Arial" w:hAnsi="Arial"/>
                <w:sz w:val="15"/>
                <w:szCs w:val="15"/>
                <w:color w:val="auto"/>
              </w:rPr>
              <w:t xml:space="preserve">Additional paid-in capital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492,577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444,948</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1,043,380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899,105</w:t>
            </w:r>
          </w:p>
        </w:tc>
        <w:tc>
          <w:tcPr>
            <w:tcW w:w="0" w:type="dxa"/>
            <w:vAlign w:val="bottom"/>
          </w:tcPr>
          <w:p>
            <w:pPr>
              <w:spacing w:after="0"/>
              <w:rPr>
                <w:sz w:val="1"/>
                <w:szCs w:val="1"/>
                <w:color w:val="auto"/>
              </w:rPr>
            </w:pPr>
          </w:p>
        </w:tc>
      </w:tr>
      <w:tr>
        <w:trPr>
          <w:trHeight w:val="201"/>
        </w:trPr>
        <w:tc>
          <w:tcPr>
            <w:tcW w:w="74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(144,143)</w:t>
            </w:r>
          </w:p>
        </w:tc>
        <w:tc>
          <w:tcPr>
            <w:tcW w:w="0" w:type="dxa"/>
            <w:vAlign w:val="bottom"/>
          </w:tcPr>
          <w:p>
            <w:pPr>
              <w:spacing w:after="0"/>
              <w:rPr>
                <w:sz w:val="1"/>
                <w:szCs w:val="1"/>
                <w:color w:val="auto"/>
              </w:rPr>
            </w:pPr>
          </w:p>
        </w:tc>
      </w:tr>
      <w:tr>
        <w:trPr>
          <w:trHeight w:val="188"/>
        </w:trPr>
        <w:tc>
          <w:tcPr>
            <w:tcW w:w="7420" w:type="dxa"/>
            <w:vAlign w:val="bottom"/>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1,399,354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1,200,110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742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5"/>
                <w:szCs w:val="15"/>
                <w:color w:val="auto"/>
                <w:w w:val="91"/>
              </w:rPr>
              <w:t>Less: 37,006,326 shares as of September 30, 2023 and 33,767,660 shares as of December 31, 2022, held in treasury, at</w:t>
            </w:r>
          </w:p>
        </w:tc>
        <w:tc>
          <w:tcPr>
            <w:tcW w:w="6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r>
      <w:tr>
        <w:trPr>
          <w:trHeight w:val="210"/>
        </w:trPr>
        <w:tc>
          <w:tcPr>
            <w:tcW w:w="742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cost </w:t>
            </w:r>
            <w:r>
              <w:rPr>
                <w:rFonts w:ascii="Arial" w:cs="Arial" w:eastAsia="Arial" w:hAnsi="Arial"/>
                <w:sz w:val="19"/>
                <w:szCs w:val="19"/>
                <w:color w:val="auto"/>
                <w:vertAlign w:val="superscript"/>
              </w:rPr>
              <w:t>(1)</w:t>
            </w:r>
          </w:p>
        </w:tc>
        <w:tc>
          <w:tcPr>
            <w:tcW w:w="6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(543,267)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(441,931)</w:t>
            </w:r>
          </w:p>
        </w:tc>
      </w:tr>
      <w:tr>
        <w:trPr>
          <w:trHeight w:val="18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856,087</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758,179</w:t>
            </w:r>
          </w:p>
        </w:tc>
      </w:tr>
      <w:tr>
        <w:trPr>
          <w:trHeight w:val="21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660" w:type="dxa"/>
            <w:vAlign w:val="bottom"/>
            <w:tcBorders>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1,402,493</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1,346,119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Prior period information has been adjusted to reflect the 5-for-1 forward stock split of the Company’s common stock effected in August 2023. Refer to Note</w:t>
      </w:r>
    </w:p>
    <w:p>
      <w:pPr>
        <w:spacing w:after="0" w:line="37"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7"/>
          <w:szCs w:val="17"/>
          <w:i w:val="1"/>
          <w:iCs w:val="1"/>
          <w:color w:val="auto"/>
        </w:rPr>
        <w:t>19 – Capital Structure to the unaudited consolidated financial statements for further details.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6"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CONSOLIDATED STATEMENTS OF INCOME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5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1,216,610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1,037,341</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 xml:space="preserve">Cost of revenues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256,002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230,462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760,691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659,185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Gross profit </w:t>
            </w:r>
            <w:r>
              <w:rPr>
                <w:rFonts w:ascii="Arial" w:cs="Arial" w:eastAsia="Arial" w:hAnsi="Arial"/>
                <w:sz w:val="22"/>
                <w:szCs w:val="22"/>
                <w:b w:val="1"/>
                <w:bCs w:val="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154,969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130,889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455,919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378,156</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122,898</w:t>
            </w:r>
          </w:p>
        </w:tc>
        <w:tc>
          <w:tcPr>
            <w:tcW w:w="0" w:type="dxa"/>
            <w:vAlign w:val="bottom"/>
          </w:tcPr>
          <w:p>
            <w:pPr>
              <w:spacing w:after="0"/>
              <w:rPr>
                <w:sz w:val="1"/>
                <w:szCs w:val="1"/>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7"/>
                <w:szCs w:val="17"/>
                <w:color w:val="auto"/>
              </w:rPr>
              <w:t>Selling and marketing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88,674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72,034</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42,057</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271,430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236,989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184,489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141,167</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4,683</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6"/>
              </w:rPr>
              <w:t>Income before income tax expense and earnings from equity affiliates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51,434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181,891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145,528</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37,773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43,851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38,987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144,118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110,754</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from equity-method investment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43,876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39,095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144,275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111,119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line="209" w:lineRule="exact"/>
              <w:rPr>
                <w:sz w:val="20"/>
                <w:szCs w:val="20"/>
                <w:color w:val="auto"/>
              </w:rPr>
            </w:pPr>
            <w:r>
              <w:rPr>
                <w:rFonts w:ascii="Arial" w:cs="Arial" w:eastAsia="Arial" w:hAnsi="Arial"/>
                <w:sz w:val="17"/>
                <w:szCs w:val="17"/>
                <w:color w:val="auto"/>
                <w:w w:val="95"/>
              </w:rPr>
              <w:t xml:space="preserve">Earnings per share attributable to ExlService Holdings, Inc. stockholders </w:t>
            </w:r>
            <w:r>
              <w:rPr>
                <w:rFonts w:ascii="Arial" w:cs="Arial" w:eastAsia="Arial" w:hAnsi="Arial"/>
                <w:sz w:val="22"/>
                <w:szCs w:val="22"/>
                <w:color w:val="auto"/>
                <w:w w:val="95"/>
                <w:vertAlign w:val="superscript"/>
              </w:rPr>
              <w:t>(2)</w:t>
            </w:r>
            <w:r>
              <w:rPr>
                <w:rFonts w:ascii="Arial" w:cs="Arial" w:eastAsia="Arial" w:hAnsi="Arial"/>
                <w:sz w:val="17"/>
                <w:szCs w:val="17"/>
                <w:color w:val="auto"/>
                <w:w w:val="95"/>
              </w:rPr>
              <w: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0" w:type="dxa"/>
            <w:vAlign w:val="bottom"/>
          </w:tcPr>
          <w:p>
            <w:pPr>
              <w:spacing w:after="0"/>
              <w:rPr>
                <w:sz w:val="1"/>
                <w:szCs w:val="1"/>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0.86</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0.66</w:t>
            </w:r>
          </w:p>
        </w:tc>
        <w:tc>
          <w:tcPr>
            <w:tcW w:w="0" w:type="dxa"/>
            <w:vAlign w:val="bottom"/>
          </w:tcPr>
          <w:p>
            <w:pPr>
              <w:spacing w:after="0"/>
              <w:rPr>
                <w:sz w:val="1"/>
                <w:szCs w:val="1"/>
                <w:color w:val="auto"/>
              </w:rPr>
            </w:pPr>
          </w:p>
        </w:tc>
      </w:tr>
      <w:tr>
        <w:trPr>
          <w:trHeight w:val="171"/>
        </w:trPr>
        <w:tc>
          <w:tcPr>
            <w:tcW w:w="54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6"/>
              </w:rPr>
              <w:t>Weighted average number of shares used in computing earnings per share</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48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 xml:space="preserve">attributable to ExlService Holdings, Inc. stockholders </w:t>
            </w:r>
            <w:r>
              <w:rPr>
                <w:rFonts w:ascii="Arial" w:cs="Arial" w:eastAsia="Arial" w:hAnsi="Arial"/>
                <w:sz w:val="22"/>
                <w:szCs w:val="22"/>
                <w:color w:val="auto"/>
                <w:vertAlign w:val="superscript"/>
              </w:rPr>
              <w:t>(2)</w:t>
            </w: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34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166,159,619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166,189,165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166,707,599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166,801,730</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167,688,374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168,888,745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168,591,612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169,168,185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620" w:hanging="222"/>
        <w:spacing w:after="0"/>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Exclusive of depreciation and amortization expense.</w:t>
      </w:r>
    </w:p>
    <w:p>
      <w:pPr>
        <w:spacing w:after="0" w:line="16" w:lineRule="exact"/>
        <w:rPr>
          <w:rFonts w:ascii="Arial" w:cs="Arial" w:eastAsia="Arial" w:hAnsi="Arial"/>
          <w:sz w:val="16"/>
          <w:szCs w:val="16"/>
          <w:i w:val="1"/>
          <w:iCs w:val="1"/>
          <w:color w:val="auto"/>
        </w:rPr>
      </w:pPr>
    </w:p>
    <w:p>
      <w:pPr>
        <w:ind w:firstLine="398"/>
        <w:spacing w:after="0" w:line="256" w:lineRule="auto"/>
        <w:tabs>
          <w:tab w:leader="none" w:pos="617"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CONSOLIDATED STATEMENTS OF COMPREHENSIVE INCOME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111,119</w:t>
            </w:r>
          </w:p>
        </w:tc>
      </w:tr>
      <w:tr>
        <w:trPr>
          <w:trHeight w:val="207"/>
        </w:trPr>
        <w:tc>
          <w:tcPr>
            <w:tcW w:w="5460" w:type="dxa"/>
            <w:vAlign w:val="bottom"/>
          </w:tcPr>
          <w:p>
            <w:pPr>
              <w:ind w:left="60"/>
              <w:spacing w:after="0"/>
              <w:rPr>
                <w:sz w:val="20"/>
                <w:szCs w:val="20"/>
                <w:color w:val="auto"/>
              </w:rPr>
            </w:pPr>
            <w:r>
              <w:rPr>
                <w:rFonts w:ascii="Arial" w:cs="Arial" w:eastAsia="Arial" w:hAnsi="Arial"/>
                <w:sz w:val="16"/>
                <w:szCs w:val="16"/>
                <w:b w:val="1"/>
                <w:bCs w:val="1"/>
                <w:color w:val="auto"/>
              </w:rPr>
              <w:t>Other comprehensive income/(loss):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5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gain/(loss) on cash flow hedges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(28,638)</w:t>
            </w:r>
          </w:p>
        </w:tc>
      </w:tr>
      <w:tr>
        <w:trPr>
          <w:trHeight w:val="223"/>
        </w:trPr>
        <w:tc>
          <w:tcPr>
            <w:tcW w:w="5460" w:type="dxa"/>
            <w:vAlign w:val="bottom"/>
          </w:tcPr>
          <w:p>
            <w:pPr>
              <w:ind w:left="340"/>
              <w:spacing w:after="0"/>
              <w:rPr>
                <w:sz w:val="20"/>
                <w:szCs w:val="20"/>
                <w:color w:val="auto"/>
              </w:rPr>
            </w:pPr>
            <w:r>
              <w:rPr>
                <w:rFonts w:ascii="Arial" w:cs="Arial" w:eastAsia="Arial" w:hAnsi="Arial"/>
                <w:sz w:val="16"/>
                <w:szCs w:val="16"/>
                <w:color w:val="auto"/>
              </w:rPr>
              <w:t>Foreign currency translation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(49,371)</w:t>
            </w:r>
          </w:p>
        </w:tc>
      </w:tr>
      <w:tr>
        <w:trPr>
          <w:trHeight w:val="210"/>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Reclassification adjustments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5460" w:type="dxa"/>
            <w:vAlign w:val="bottom"/>
          </w:tcPr>
          <w:p>
            <w:pPr>
              <w:ind w:left="340"/>
              <w:spacing w:after="0" w:line="223" w:lineRule="exact"/>
              <w:rPr>
                <w:sz w:val="20"/>
                <w:szCs w:val="20"/>
                <w:color w:val="auto"/>
              </w:rPr>
            </w:pPr>
            <w:r>
              <w:rPr>
                <w:rFonts w:ascii="Arial" w:cs="Arial" w:eastAsia="Arial" w:hAnsi="Arial"/>
                <w:sz w:val="16"/>
                <w:szCs w:val="16"/>
                <w:color w:val="auto"/>
              </w:rPr>
              <w:t>(Gain)/loss on cash flow hedges</w:t>
            </w:r>
            <w:r>
              <w:rPr>
                <w:rFonts w:ascii="Arial" w:cs="Arial" w:eastAsia="Arial" w:hAnsi="Arial"/>
                <w:sz w:val="20"/>
                <w:szCs w:val="20"/>
                <w:color w:val="auto"/>
                <w:vertAlign w:val="superscript"/>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(1,881)</w:t>
            </w:r>
          </w:p>
        </w:tc>
      </w:tr>
      <w:tr>
        <w:trPr>
          <w:trHeight w:val="223"/>
        </w:trPr>
        <w:tc>
          <w:tcPr>
            <w:tcW w:w="5460" w:type="dxa"/>
            <w:vAlign w:val="bottom"/>
            <w:shd w:val="clear" w:color="auto" w:fill="CCEEFF"/>
          </w:tcPr>
          <w:p>
            <w:pPr>
              <w:ind w:left="340"/>
              <w:spacing w:after="0" w:line="223" w:lineRule="exact"/>
              <w:rPr>
                <w:sz w:val="20"/>
                <w:szCs w:val="20"/>
                <w:color w:val="auto"/>
              </w:rPr>
            </w:pPr>
            <w:r>
              <w:rPr>
                <w:rFonts w:ascii="Arial" w:cs="Arial" w:eastAsia="Arial" w:hAnsi="Arial"/>
                <w:sz w:val="16"/>
                <w:szCs w:val="16"/>
                <w:color w:val="auto"/>
              </w:rPr>
              <w:t>Retirement benefits</w:t>
            </w:r>
            <w:r>
              <w:rPr>
                <w:rFonts w:ascii="Arial" w:cs="Arial" w:eastAsia="Arial" w:hAnsi="Arial"/>
                <w:sz w:val="20"/>
                <w:szCs w:val="20"/>
                <w:color w:val="auto"/>
                <w:vertAlign w:val="superscript"/>
              </w:rPr>
              <w:t>(2)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r>
      <w:tr>
        <w:trPr>
          <w:trHeight w:val="223"/>
        </w:trPr>
        <w:tc>
          <w:tcPr>
            <w:tcW w:w="5460" w:type="dxa"/>
            <w:vAlign w:val="bottom"/>
            <w:tcBorders>
              <w:bottom w:val="single" w:sz="8" w:color="CCEEFF"/>
            </w:tcBorders>
          </w:tcPr>
          <w:p>
            <w:pPr>
              <w:ind w:left="140"/>
              <w:spacing w:after="0" w:line="223" w:lineRule="exact"/>
              <w:rPr>
                <w:sz w:val="20"/>
                <w:szCs w:val="20"/>
                <w:color w:val="auto"/>
              </w:rPr>
            </w:pPr>
            <w:r>
              <w:rPr>
                <w:rFonts w:ascii="Arial" w:cs="Arial" w:eastAsia="Arial" w:hAnsi="Arial"/>
                <w:sz w:val="16"/>
                <w:szCs w:val="16"/>
                <w:b w:val="1"/>
                <w:bCs w:val="1"/>
                <w:color w:val="auto"/>
              </w:rPr>
              <w:t>Income tax effects relating to above</w:t>
            </w:r>
            <w:r>
              <w:rPr>
                <w:rFonts w:ascii="Arial" w:cs="Arial" w:eastAsia="Arial" w:hAnsi="Arial"/>
                <w:sz w:val="20"/>
                <w:szCs w:val="20"/>
                <w:b w:val="1"/>
                <w:bCs w:val="1"/>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14,710</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comprehensive income/(loss)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(20,829)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(64,729)</w:t>
            </w: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31,218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151,613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46,390</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 w:hanging="555"/>
        <w:spacing w:after="0" w:line="260" w:lineRule="auto"/>
        <w:tabs>
          <w:tab w:leader="none" w:pos="552" w:val="left"/>
        </w:tabs>
        <w:numPr>
          <w:ilvl w:val="0"/>
          <w:numId w:val="5"/>
        </w:numPr>
        <w:rPr>
          <w:rFonts w:ascii="Arial" w:cs="Arial" w:eastAsia="Arial" w:hAnsi="Arial"/>
          <w:sz w:val="14"/>
          <w:szCs w:val="14"/>
          <w:i w:val="1"/>
          <w:iCs w:val="1"/>
          <w:color w:val="auto"/>
        </w:rPr>
      </w:pPr>
      <w:r>
        <w:rPr>
          <w:rFonts w:ascii="Arial" w:cs="Arial" w:eastAsia="Arial" w:hAnsi="Arial"/>
          <w:sz w:val="16"/>
          <w:szCs w:val="16"/>
          <w:i w:val="1"/>
          <w:iCs w:val="1"/>
          <w:color w:val="auto"/>
        </w:rPr>
        <w:t>These are reclassified to net income and are included in cost of revenues, operating expenses and interest expense, as applicable in the unaudited consolidated statements of income. Refer to Note 17 - Derivatives and Hedge Accounting to the unaudited consolidated financial statements.</w:t>
      </w:r>
    </w:p>
    <w:p>
      <w:pPr>
        <w:spacing w:after="0" w:line="204" w:lineRule="exact"/>
        <w:rPr>
          <w:rFonts w:ascii="Arial" w:cs="Arial" w:eastAsia="Arial" w:hAnsi="Arial"/>
          <w:sz w:val="14"/>
          <w:szCs w:val="14"/>
          <w:i w:val="1"/>
          <w:iCs w:val="1"/>
          <w:color w:val="auto"/>
        </w:rPr>
      </w:pPr>
    </w:p>
    <w:p>
      <w:pPr>
        <w:ind w:left="560" w:hanging="555"/>
        <w:spacing w:after="0" w:line="243" w:lineRule="auto"/>
        <w:tabs>
          <w:tab w:leader="none" w:pos="552" w:val="left"/>
        </w:tabs>
        <w:numPr>
          <w:ilvl w:val="0"/>
          <w:numId w:val="5"/>
        </w:numPr>
        <w:rPr>
          <w:rFonts w:ascii="Arial" w:cs="Arial" w:eastAsia="Arial" w:hAnsi="Arial"/>
          <w:sz w:val="14"/>
          <w:szCs w:val="14"/>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20 - Employee Benefit Plans to the unaudited consolidated financial statements.</w:t>
      </w:r>
    </w:p>
    <w:p>
      <w:pPr>
        <w:spacing w:after="0" w:line="217" w:lineRule="exact"/>
        <w:rPr>
          <w:rFonts w:ascii="Arial" w:cs="Arial" w:eastAsia="Arial" w:hAnsi="Arial"/>
          <w:sz w:val="14"/>
          <w:szCs w:val="14"/>
          <w:color w:val="auto"/>
        </w:rPr>
      </w:pPr>
    </w:p>
    <w:p>
      <w:pPr>
        <w:ind w:left="560" w:hanging="555"/>
        <w:spacing w:after="0" w:line="260" w:lineRule="auto"/>
        <w:tabs>
          <w:tab w:leader="none" w:pos="552" w:val="left"/>
        </w:tabs>
        <w:numPr>
          <w:ilvl w:val="0"/>
          <w:numId w:val="5"/>
        </w:numPr>
        <w:rPr>
          <w:rFonts w:ascii="Arial" w:cs="Arial" w:eastAsia="Arial" w:hAnsi="Arial"/>
          <w:sz w:val="14"/>
          <w:szCs w:val="14"/>
          <w:i w:val="1"/>
          <w:iCs w:val="1"/>
          <w:color w:val="auto"/>
        </w:rPr>
      </w:pPr>
      <w:r>
        <w:rPr>
          <w:rFonts w:ascii="Arial" w:cs="Arial" w:eastAsia="Arial" w:hAnsi="Arial"/>
          <w:sz w:val="16"/>
          <w:szCs w:val="16"/>
          <w:i w:val="1"/>
          <w:iCs w:val="1"/>
          <w:color w:val="auto"/>
        </w:rPr>
        <w:t>These are income tax effects recognized on cash flow hedges, retirement benefits and foreign currency translation gain/(loss). Refer to Note 22 -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EXLSERVICE HOLDINGS, INC.</w:t>
      </w:r>
    </w:p>
    <w:p>
      <w:pPr>
        <w:spacing w:after="0" w:line="32"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CONSOLIDATED STATEMENTS OF STOCKHOLDERS’ EQUITY (UNAUDITED)</w:t>
      </w:r>
    </w:p>
    <w:p>
      <w:pPr>
        <w:spacing w:after="0" w:line="3"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For the three months ended September 30, 2023 and 2022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1920" w:type="dxa"/>
            <w:vAlign w:val="bottom"/>
            <w:gridSpan w:val="5"/>
          </w:tcPr>
          <w:p>
            <w:pPr>
              <w:ind w:left="38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9"/>
                <w:szCs w:val="9"/>
                <w:b w:val="1"/>
                <w:bCs w:val="1"/>
                <w:color w:val="auto"/>
              </w:rPr>
              <w:t>(1)</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1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jc w:val="center"/>
              <w:ind w:right="220"/>
              <w:spacing w:after="0" w:line="59" w:lineRule="exact"/>
              <w:rPr>
                <w:sz w:val="20"/>
                <w:szCs w:val="20"/>
                <w:color w:val="auto"/>
              </w:rPr>
            </w:pPr>
            <w:r>
              <w:rPr>
                <w:rFonts w:ascii="Arial" w:cs="Arial" w:eastAsia="Arial" w:hAnsi="Arial"/>
                <w:sz w:val="6"/>
                <w:szCs w:val="6"/>
                <w:b w:val="1"/>
                <w:bCs w:val="1"/>
                <w:color w:val="auto"/>
              </w:rPr>
              <w:t>Paid-in</w:t>
            </w:r>
          </w:p>
        </w:tc>
        <w:tc>
          <w:tcPr>
            <w:tcW w:w="100" w:type="dxa"/>
            <w:vAlign w:val="bottom"/>
          </w:tcPr>
          <w:p>
            <w:pPr>
              <w:spacing w:after="0"/>
              <w:rPr>
                <w:sz w:val="5"/>
                <w:szCs w:val="5"/>
                <w:color w:val="auto"/>
              </w:rPr>
            </w:pPr>
          </w:p>
        </w:tc>
        <w:tc>
          <w:tcPr>
            <w:tcW w:w="800" w:type="dxa"/>
            <w:vAlign w:val="bottom"/>
            <w:gridSpan w:val="2"/>
          </w:tcPr>
          <w:p>
            <w:pPr>
              <w:ind w:left="20"/>
              <w:spacing w:after="0" w:line="59" w:lineRule="exact"/>
              <w:rPr>
                <w:sz w:val="20"/>
                <w:szCs w:val="20"/>
                <w:color w:val="auto"/>
              </w:rPr>
            </w:pPr>
            <w:r>
              <w:rPr>
                <w:rFonts w:ascii="Arial" w:cs="Arial" w:eastAsia="Arial" w:hAnsi="Arial"/>
                <w:sz w:val="6"/>
                <w:szCs w:val="6"/>
                <w:b w:val="1"/>
                <w:bCs w:val="1"/>
                <w:color w:val="auto"/>
              </w:rPr>
              <w:t>Retained</w:t>
            </w:r>
          </w:p>
        </w:tc>
        <w:tc>
          <w:tcPr>
            <w:tcW w:w="140" w:type="dxa"/>
            <w:vAlign w:val="bottom"/>
          </w:tcPr>
          <w:p>
            <w:pPr>
              <w:spacing w:after="0"/>
              <w:rPr>
                <w:sz w:val="5"/>
                <w:szCs w:val="5"/>
                <w:color w:val="auto"/>
              </w:rPr>
            </w:pPr>
          </w:p>
        </w:tc>
        <w:tc>
          <w:tcPr>
            <w:tcW w:w="1240" w:type="dxa"/>
            <w:vAlign w:val="bottom"/>
            <w:gridSpan w:val="2"/>
          </w:tcPr>
          <w:p>
            <w:pPr>
              <w:jc w:val="center"/>
              <w:ind w:right="240"/>
              <w:spacing w:after="0" w:line="59" w:lineRule="exact"/>
              <w:rPr>
                <w:sz w:val="20"/>
                <w:szCs w:val="20"/>
                <w:color w:val="auto"/>
              </w:rPr>
            </w:pPr>
            <w:r>
              <w:rPr>
                <w:rFonts w:ascii="Arial" w:cs="Arial" w:eastAsia="Arial" w:hAnsi="Arial"/>
                <w:sz w:val="6"/>
                <w:szCs w:val="6"/>
                <w:b w:val="1"/>
                <w:bCs w:val="1"/>
                <w:color w:val="auto"/>
              </w:rPr>
              <w:t>Comprehensive</w:t>
            </w: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line="190" w:lineRule="exact"/>
              <w:rPr>
                <w:sz w:val="20"/>
                <w:szCs w:val="20"/>
                <w:color w:val="auto"/>
              </w:rPr>
            </w:pPr>
            <w:r>
              <w:rPr>
                <w:rFonts w:ascii="Arial" w:cs="Arial" w:eastAsia="Arial" w:hAnsi="Arial"/>
                <w:sz w:val="14"/>
                <w:szCs w:val="14"/>
                <w:b w:val="1"/>
                <w:bCs w:val="1"/>
                <w:color w:val="auto"/>
                <w:w w:val="91"/>
              </w:rPr>
              <w:t xml:space="preserve">Capital </w:t>
            </w:r>
            <w:r>
              <w:rPr>
                <w:rFonts w:ascii="Arial" w:cs="Arial" w:eastAsia="Arial" w:hAnsi="Arial"/>
                <w:sz w:val="18"/>
                <w:szCs w:val="18"/>
                <w:b w:val="1"/>
                <w:bCs w:val="1"/>
                <w:color w:val="auto"/>
                <w:w w:val="91"/>
                <w:vertAlign w:val="superscript"/>
              </w:rPr>
              <w:t>(1)</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9"/>
                <w:szCs w:val="9"/>
                <w:b w:val="1"/>
                <w:bCs w:val="1"/>
                <w:color w:val="auto"/>
              </w:rPr>
              <w:t>(1)</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201,748,635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471,962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999,504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(124,147)</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(35,985,285)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(513,307)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834,214</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w w:val="91"/>
              </w:rPr>
              <w:t>Stock issued against stock-based compensation plans</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375,550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3,548</w:t>
            </w:r>
          </w:p>
        </w:tc>
        <w:tc>
          <w:tcPr>
            <w:tcW w:w="0" w:type="dxa"/>
            <w:vAlign w:val="bottom"/>
          </w:tcPr>
          <w:p>
            <w:pPr>
              <w:spacing w:after="0"/>
              <w:rPr>
                <w:sz w:val="1"/>
                <w:szCs w:val="1"/>
                <w:color w:val="auto"/>
              </w:rPr>
            </w:pPr>
          </w:p>
        </w:tc>
      </w:tr>
      <w:tr>
        <w:trPr>
          <w:trHeight w:val="20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17,067</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(1,021,041)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(29,960)</w:t>
            </w:r>
          </w:p>
        </w:tc>
        <w:tc>
          <w:tcPr>
            <w:tcW w:w="0" w:type="dxa"/>
            <w:vAlign w:val="bottom"/>
          </w:tcPr>
          <w:p>
            <w:pPr>
              <w:spacing w:after="0"/>
              <w:rPr>
                <w:sz w:val="1"/>
                <w:szCs w:val="1"/>
                <w:color w:val="auto"/>
              </w:rPr>
            </w:pPr>
          </w:p>
        </w:tc>
      </w:tr>
      <w:tr>
        <w:trPr>
          <w:trHeight w:val="20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(12,658)</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(12,658)</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43,876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43,876</w:t>
            </w:r>
          </w:p>
        </w:tc>
        <w:tc>
          <w:tcPr>
            <w:tcW w:w="0" w:type="dxa"/>
            <w:vAlign w:val="bottom"/>
          </w:tcPr>
          <w:p>
            <w:pPr>
              <w:spacing w:after="0"/>
              <w:rPr>
                <w:sz w:val="1"/>
                <w:szCs w:val="1"/>
                <w:color w:val="auto"/>
              </w:rPr>
            </w:pPr>
          </w:p>
        </w:tc>
      </w:tr>
      <w:tr>
        <w:trPr>
          <w:trHeight w:val="222"/>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2023</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202,124,185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492,577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1,043,380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(136,805)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(37,006,326)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(543,267)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856,087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940" w:type="dxa"/>
            <w:vAlign w:val="bottom"/>
            <w:gridSpan w:val="5"/>
          </w:tcPr>
          <w:p>
            <w:pPr>
              <w:ind w:left="38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2140" w:type="dxa"/>
            <w:vAlign w:val="bottom"/>
            <w:gridSpan w:val="5"/>
          </w:tcPr>
          <w:p>
            <w:pPr>
              <w:ind w:left="5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0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jc w:val="center"/>
              <w:ind w:right="200"/>
              <w:spacing w:after="0" w:line="59" w:lineRule="exact"/>
              <w:rPr>
                <w:sz w:val="20"/>
                <w:szCs w:val="20"/>
                <w:color w:val="auto"/>
              </w:rPr>
            </w:pPr>
            <w:r>
              <w:rPr>
                <w:rFonts w:ascii="Arial" w:cs="Arial" w:eastAsia="Arial" w:hAnsi="Arial"/>
                <w:sz w:val="6"/>
                <w:szCs w:val="6"/>
                <w:b w:val="1"/>
                <w:bCs w:val="1"/>
                <w:color w:val="auto"/>
              </w:rPr>
              <w:t>Paid-in</w:t>
            </w:r>
          </w:p>
        </w:tc>
        <w:tc>
          <w:tcPr>
            <w:tcW w:w="100" w:type="dxa"/>
            <w:vAlign w:val="bottom"/>
          </w:tcPr>
          <w:p>
            <w:pPr>
              <w:spacing w:after="0"/>
              <w:rPr>
                <w:sz w:val="5"/>
                <w:szCs w:val="5"/>
                <w:color w:val="auto"/>
              </w:rPr>
            </w:pPr>
          </w:p>
        </w:tc>
        <w:tc>
          <w:tcPr>
            <w:tcW w:w="82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Retained</w:t>
            </w:r>
          </w:p>
        </w:tc>
        <w:tc>
          <w:tcPr>
            <w:tcW w:w="120" w:type="dxa"/>
            <w:vAlign w:val="bottom"/>
          </w:tcPr>
          <w:p>
            <w:pPr>
              <w:spacing w:after="0"/>
              <w:rPr>
                <w:sz w:val="5"/>
                <w:szCs w:val="5"/>
                <w:color w:val="auto"/>
              </w:rPr>
            </w:pPr>
          </w:p>
        </w:tc>
        <w:tc>
          <w:tcPr>
            <w:tcW w:w="1240" w:type="dxa"/>
            <w:vAlign w:val="bottom"/>
            <w:gridSpan w:val="2"/>
          </w:tcPr>
          <w:p>
            <w:pPr>
              <w:jc w:val="center"/>
              <w:ind w:right="220"/>
              <w:spacing w:after="0" w:line="59" w:lineRule="exact"/>
              <w:rPr>
                <w:sz w:val="20"/>
                <w:szCs w:val="20"/>
                <w:color w:val="auto"/>
              </w:rPr>
            </w:pPr>
            <w:r>
              <w:rPr>
                <w:rFonts w:ascii="Arial" w:cs="Arial" w:eastAsia="Arial" w:hAnsi="Arial"/>
                <w:sz w:val="6"/>
                <w:szCs w:val="6"/>
                <w:b w:val="1"/>
                <w:bCs w:val="1"/>
                <w:color w:val="auto"/>
              </w:rPr>
              <w:t>Comprehensive</w:t>
            </w: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xml:space="preserve">Capital </w:t>
            </w:r>
            <w:r>
              <w:rPr>
                <w:rFonts w:ascii="Arial" w:cs="Arial" w:eastAsia="Arial" w:hAnsi="Arial"/>
                <w:sz w:val="9"/>
                <w:szCs w:val="9"/>
                <w:b w:val="1"/>
                <w:bCs w:val="1"/>
                <w:color w:val="auto"/>
                <w:w w:val="94"/>
              </w:rPr>
              <w:t>(1)</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080" w:type="dxa"/>
            <w:vAlign w:val="bottom"/>
            <w:gridSpan w:val="2"/>
          </w:tcPr>
          <w:p>
            <w:pPr>
              <w:ind w:left="220"/>
              <w:spacing w:after="0" w:line="190"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198,975,805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420,147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828,161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(133,374)</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(33,355,630)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(429,480)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685,653</w:t>
            </w: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w w:val="88"/>
              </w:rPr>
              <w:t>Stock issued against stock-based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18,975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12,186</w:t>
            </w: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(384,045)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(11,521)</w:t>
            </w: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(20,829)</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39,095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39,095</w:t>
            </w:r>
          </w:p>
        </w:tc>
        <w:tc>
          <w:tcPr>
            <w:tcW w:w="0" w:type="dxa"/>
            <w:vAlign w:val="bottom"/>
          </w:tcPr>
          <w:p>
            <w:pPr>
              <w:spacing w:after="0"/>
              <w:rPr>
                <w:sz w:val="1"/>
                <w:szCs w:val="1"/>
                <w:color w:val="auto"/>
              </w:rPr>
            </w:pPr>
          </w:p>
        </w:tc>
      </w:tr>
      <w:tr>
        <w:trPr>
          <w:trHeight w:val="222"/>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198,994,780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432,333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867,256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(33,739,675)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704,584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ind w:firstLine="5"/>
        <w:spacing w:after="0" w:line="260" w:lineRule="auto"/>
        <w:tabs>
          <w:tab w:leader="none" w:pos="201"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January 1, 2023</w:t>
      </w:r>
    </w:p>
    <w:p>
      <w:pPr>
        <w:spacing w:after="0" w:line="53" w:lineRule="exact"/>
        <w:rPr>
          <w:sz w:val="20"/>
          <w:szCs w:val="20"/>
          <w:color w:val="auto"/>
        </w:rPr>
      </w:pPr>
    </w:p>
    <w:p>
      <w:pPr>
        <w:ind w:left="140" w:right="160"/>
        <w:spacing w:after="0" w:line="241" w:lineRule="auto"/>
        <w:rPr>
          <w:sz w:val="20"/>
          <w:szCs w:val="20"/>
          <w:color w:val="auto"/>
        </w:rPr>
      </w:pPr>
      <w:r>
        <w:rPr>
          <w:rFonts w:ascii="Arial" w:cs="Arial" w:eastAsia="Arial" w:hAnsi="Arial"/>
          <w:sz w:val="14"/>
          <w:szCs w:val="14"/>
          <w:color w:val="auto"/>
        </w:rPr>
        <w:t>Stock issued against stock-based compensation plans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Stock-based compensation</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treasury stock</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comprehensive income</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71"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Balance as of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EXLSERVICE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STOCKHOLDERS’ EQUITY (UNAUDITED)</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For the nine months ended September 30, 2023 and 2022</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(In thousands, except share count)</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9"/>
                <w:szCs w:val="9"/>
                <w:b w:val="1"/>
                <w:bCs w:val="1"/>
                <w:color w:val="auto"/>
              </w:rPr>
              <w:t>(1)</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Other</w:t>
            </w:r>
          </w:p>
        </w:tc>
        <w:tc>
          <w:tcPr>
            <w:tcW w:w="2020" w:type="dxa"/>
            <w:vAlign w:val="bottom"/>
            <w:gridSpan w:val="5"/>
          </w:tcPr>
          <w:p>
            <w:pPr>
              <w:ind w:left="500"/>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jc w:val="center"/>
              <w:ind w:right="220"/>
              <w:spacing w:after="0" w:line="59" w:lineRule="exact"/>
              <w:rPr>
                <w:sz w:val="20"/>
                <w:szCs w:val="20"/>
                <w:color w:val="auto"/>
              </w:rPr>
            </w:pPr>
            <w:r>
              <w:rPr>
                <w:rFonts w:ascii="Arial" w:cs="Arial" w:eastAsia="Arial" w:hAnsi="Arial"/>
                <w:sz w:val="6"/>
                <w:szCs w:val="6"/>
                <w:b w:val="1"/>
                <w:bCs w:val="1"/>
                <w:color w:val="auto"/>
              </w:rPr>
              <w:t>Paid-in</w:t>
            </w:r>
          </w:p>
        </w:tc>
        <w:tc>
          <w:tcPr>
            <w:tcW w:w="100" w:type="dxa"/>
            <w:vAlign w:val="bottom"/>
          </w:tcPr>
          <w:p>
            <w:pPr>
              <w:spacing w:after="0"/>
              <w:rPr>
                <w:sz w:val="5"/>
                <w:szCs w:val="5"/>
                <w:color w:val="auto"/>
              </w:rPr>
            </w:pPr>
          </w:p>
        </w:tc>
        <w:tc>
          <w:tcPr>
            <w:tcW w:w="82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Retained</w:t>
            </w:r>
          </w:p>
        </w:tc>
        <w:tc>
          <w:tcPr>
            <w:tcW w:w="120" w:type="dxa"/>
            <w:vAlign w:val="bottom"/>
          </w:tcPr>
          <w:p>
            <w:pPr>
              <w:spacing w:after="0"/>
              <w:rPr>
                <w:sz w:val="5"/>
                <w:szCs w:val="5"/>
                <w:color w:val="auto"/>
              </w:rPr>
            </w:pPr>
          </w:p>
        </w:tc>
        <w:tc>
          <w:tcPr>
            <w:tcW w:w="1280" w:type="dxa"/>
            <w:vAlign w:val="bottom"/>
            <w:gridSpan w:val="2"/>
          </w:tcPr>
          <w:p>
            <w:pPr>
              <w:jc w:val="center"/>
              <w:ind w:right="240"/>
              <w:spacing w:after="0" w:line="59" w:lineRule="exact"/>
              <w:rPr>
                <w:sz w:val="20"/>
                <w:szCs w:val="20"/>
                <w:color w:val="auto"/>
              </w:rPr>
            </w:pPr>
            <w:r>
              <w:rPr>
                <w:rFonts w:ascii="Arial" w:cs="Arial" w:eastAsia="Arial" w:hAnsi="Arial"/>
                <w:sz w:val="6"/>
                <w:szCs w:val="6"/>
                <w:b w:val="1"/>
                <w:bCs w:val="1"/>
                <w:color w:val="auto"/>
              </w:rPr>
              <w:t>Comprehensive</w:t>
            </w: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line="190" w:lineRule="exact"/>
              <w:rPr>
                <w:sz w:val="20"/>
                <w:szCs w:val="20"/>
                <w:color w:val="auto"/>
              </w:rPr>
            </w:pPr>
            <w:r>
              <w:rPr>
                <w:rFonts w:ascii="Arial" w:cs="Arial" w:eastAsia="Arial" w:hAnsi="Arial"/>
                <w:sz w:val="14"/>
                <w:szCs w:val="14"/>
                <w:b w:val="1"/>
                <w:bCs w:val="1"/>
                <w:color w:val="auto"/>
                <w:w w:val="91"/>
              </w:rPr>
              <w:t xml:space="preserve">Capital </w:t>
            </w:r>
            <w:r>
              <w:rPr>
                <w:rFonts w:ascii="Arial" w:cs="Arial" w:eastAsia="Arial" w:hAnsi="Arial"/>
                <w:sz w:val="18"/>
                <w:szCs w:val="18"/>
                <w:b w:val="1"/>
                <w:bCs w:val="1"/>
                <w:color w:val="auto"/>
                <w:w w:val="91"/>
                <w:vertAlign w:val="superscript"/>
              </w:rPr>
              <w:t>(1)</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Income/(loss)</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9"/>
                <w:szCs w:val="9"/>
                <w:b w:val="1"/>
                <w:bCs w:val="1"/>
                <w:color w:val="auto"/>
              </w:rPr>
              <w:t>(1)</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199,939,880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444,948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899,105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(144,143)</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(33,767,660)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w w:val="93"/>
              </w:rPr>
              <w:t>(441,931)</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758,179</w:t>
            </w:r>
          </w:p>
        </w:tc>
        <w:tc>
          <w:tcPr>
            <w:tcW w:w="0" w:type="dxa"/>
            <w:vAlign w:val="bottom"/>
          </w:tcPr>
          <w:p>
            <w:pPr>
              <w:spacing w:after="0"/>
              <w:rPr>
                <w:sz w:val="1"/>
                <w:szCs w:val="1"/>
                <w:color w:val="auto"/>
              </w:rPr>
            </w:pPr>
          </w:p>
        </w:tc>
      </w:tr>
      <w:tr>
        <w:trPr>
          <w:trHeight w:val="318"/>
        </w:trPr>
        <w:tc>
          <w:tcPr>
            <w:tcW w:w="920" w:type="dxa"/>
            <w:vAlign w:val="bottom"/>
          </w:tcPr>
          <w:p>
            <w:pPr>
              <w:jc w:val="right"/>
              <w:ind w:right="10"/>
              <w:spacing w:after="0"/>
              <w:rPr>
                <w:sz w:val="20"/>
                <w:szCs w:val="20"/>
                <w:color w:val="auto"/>
              </w:rPr>
            </w:pPr>
            <w:r>
              <w:rPr>
                <w:rFonts w:ascii="Arial" w:cs="Arial" w:eastAsia="Arial" w:hAnsi="Arial"/>
                <w:sz w:val="14"/>
                <w:szCs w:val="14"/>
                <w:color w:val="auto"/>
              </w:rPr>
              <w:t>2,184,305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4,646</w:t>
            </w:r>
          </w:p>
        </w:tc>
        <w:tc>
          <w:tcPr>
            <w:tcW w:w="0" w:type="dxa"/>
            <w:vAlign w:val="bottom"/>
          </w:tcPr>
          <w:p>
            <w:pPr>
              <w:spacing w:after="0"/>
              <w:rPr>
                <w:sz w:val="1"/>
                <w:szCs w:val="1"/>
                <w:color w:val="auto"/>
              </w:rPr>
            </w:pPr>
          </w:p>
        </w:tc>
      </w:tr>
      <w:tr>
        <w:trPr>
          <w:trHeight w:val="197"/>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42,985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42,985</w:t>
            </w:r>
          </w:p>
        </w:tc>
        <w:tc>
          <w:tcPr>
            <w:tcW w:w="0" w:type="dxa"/>
            <w:vAlign w:val="bottom"/>
          </w:tcPr>
          <w:p>
            <w:pPr>
              <w:spacing w:after="0"/>
              <w:rPr>
                <w:sz w:val="1"/>
                <w:szCs w:val="1"/>
                <w:color w:val="auto"/>
              </w:rPr>
            </w:pPr>
          </w:p>
        </w:tc>
      </w:tr>
      <w:tr>
        <w:trPr>
          <w:trHeight w:val="197"/>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(3,238,666)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auto"/>
                <w:w w:val="93"/>
              </w:rPr>
              <w:t>(101,336)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(101,336)</w:t>
            </w:r>
          </w:p>
        </w:tc>
        <w:tc>
          <w:tcPr>
            <w:tcW w:w="0" w:type="dxa"/>
            <w:vAlign w:val="bottom"/>
          </w:tcPr>
          <w:p>
            <w:pPr>
              <w:spacing w:after="0"/>
              <w:rPr>
                <w:sz w:val="1"/>
                <w:szCs w:val="1"/>
                <w:color w:val="auto"/>
              </w:rPr>
            </w:pPr>
          </w:p>
        </w:tc>
      </w:tr>
      <w:tr>
        <w:trPr>
          <w:trHeight w:val="197"/>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7,338</w:t>
            </w: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7,338</w:t>
            </w:r>
          </w:p>
        </w:tc>
        <w:tc>
          <w:tcPr>
            <w:tcW w:w="0" w:type="dxa"/>
            <w:vAlign w:val="bottom"/>
          </w:tcPr>
          <w:p>
            <w:pPr>
              <w:spacing w:after="0"/>
              <w:rPr>
                <w:sz w:val="1"/>
                <w:szCs w:val="1"/>
                <w:color w:val="auto"/>
              </w:rPr>
            </w:pPr>
          </w:p>
        </w:tc>
      </w:tr>
      <w:tr>
        <w:trPr>
          <w:trHeight w:val="197"/>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color w:val="auto"/>
              </w:rPr>
              <w:t>144,275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144,275</w:t>
            </w: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202,124,185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492,577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9"/>
              </w:rPr>
              <w:t>1,043,380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(136,805)</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(37,006,326)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3"/>
              </w:rPr>
              <w:t>(543,267)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856,087</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-1007110</wp:posOffset>
            </wp:positionV>
            <wp:extent cx="6978015" cy="133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78015" cy="13335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-665480</wp:posOffset>
            </wp:positionV>
            <wp:extent cx="6978015" cy="12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78015" cy="12509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-415925</wp:posOffset>
            </wp:positionV>
            <wp:extent cx="6978015" cy="125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78015" cy="12509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-165735</wp:posOffset>
            </wp:positionV>
            <wp:extent cx="6978015" cy="149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7801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580"/>
            <w:col w:w="8520"/>
          </w:cols>
          <w:pgMar w:left="320" w:top="357"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7"/>
                <w:szCs w:val="17"/>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20" w:type="dxa"/>
            <w:vAlign w:val="bottom"/>
            <w:gridSpan w:val="6"/>
          </w:tcPr>
          <w:p>
            <w:pPr>
              <w:ind w:left="50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74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restart"/>
          </w:tcPr>
          <w:p>
            <w:pPr>
              <w:jc w:val="center"/>
              <w:ind w:right="120"/>
              <w:spacing w:after="0" w:line="131" w:lineRule="exact"/>
              <w:rPr>
                <w:sz w:val="20"/>
                <w:szCs w:val="20"/>
                <w:color w:val="auto"/>
              </w:rPr>
            </w:pPr>
            <w:r>
              <w:rPr>
                <w:rFonts w:ascii="Arial" w:cs="Arial" w:eastAsia="Arial" w:hAnsi="Arial"/>
                <w:sz w:val="14"/>
                <w:szCs w:val="14"/>
                <w:b w:val="1"/>
                <w:bCs w:val="1"/>
                <w:color w:val="auto"/>
                <w:w w:val="92"/>
              </w:rPr>
              <w:t>Paid-in Capital</w:t>
            </w: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3"/>
                <w:szCs w:val="3"/>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3"/>
                <w:szCs w:val="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jc w:val="right"/>
              <w:ind w:right="120"/>
              <w:spacing w:after="0" w:line="46" w:lineRule="exact"/>
              <w:rPr>
                <w:sz w:val="20"/>
                <w:szCs w:val="20"/>
                <w:color w:val="auto"/>
              </w:rPr>
            </w:pPr>
            <w:r>
              <w:rPr>
                <w:rFonts w:ascii="Arial" w:cs="Arial" w:eastAsia="Arial" w:hAnsi="Arial"/>
                <w:sz w:val="5"/>
                <w:szCs w:val="5"/>
                <w:b w:val="1"/>
                <w:bCs w:val="1"/>
                <w:color w:val="auto"/>
              </w:rPr>
              <w:t>(1)</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3"/>
                <w:szCs w:val="3"/>
                <w:color w:val="auto"/>
              </w:rPr>
            </w:pPr>
          </w:p>
        </w:tc>
        <w:tc>
          <w:tcPr>
            <w:tcW w:w="8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3"/>
              <w:spacing w:after="0"/>
              <w:rPr>
                <w:sz w:val="20"/>
                <w:szCs w:val="20"/>
                <w:color w:val="auto"/>
              </w:rPr>
            </w:pPr>
            <w:r>
              <w:rPr>
                <w:rFonts w:ascii="Arial" w:cs="Arial" w:eastAsia="Arial" w:hAnsi="Arial"/>
                <w:sz w:val="9"/>
                <w:szCs w:val="9"/>
                <w:b w:val="1"/>
                <w:bCs w:val="1"/>
                <w:color w:val="auto"/>
                <w:w w:val="90"/>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Earnings</w:t>
            </w:r>
          </w:p>
        </w:tc>
        <w:tc>
          <w:tcPr>
            <w:tcW w:w="13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4"/>
              </w:rPr>
              <w:t>Comprehensive Loss</w:t>
            </w:r>
          </w:p>
        </w:tc>
        <w:tc>
          <w:tcPr>
            <w:tcW w:w="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January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197,541,700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395,584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756,137</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(89,474)</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(31,084,290)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(369,289)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693,156</w:t>
            </w:r>
          </w:p>
        </w:tc>
        <w:tc>
          <w:tcPr>
            <w:tcW w:w="0" w:type="dxa"/>
            <w:vAlign w:val="bottom"/>
          </w:tcPr>
          <w:p>
            <w:pPr>
              <w:spacing w:after="0"/>
              <w:rPr>
                <w:sz w:val="1"/>
                <w:szCs w:val="1"/>
                <w:color w:val="auto"/>
              </w:rPr>
            </w:pPr>
          </w:p>
        </w:tc>
      </w:tr>
      <w:tr>
        <w:trPr>
          <w:trHeight w:val="139"/>
        </w:trPr>
        <w:tc>
          <w:tcPr>
            <w:tcW w:w="2740" w:type="dxa"/>
            <w:vAlign w:val="bottom"/>
          </w:tcPr>
          <w:p>
            <w:pPr>
              <w:ind w:left="20"/>
              <w:spacing w:after="0" w:line="139" w:lineRule="exact"/>
              <w:rPr>
                <w:sz w:val="20"/>
                <w:szCs w:val="20"/>
                <w:color w:val="auto"/>
              </w:rPr>
            </w:pPr>
            <w:r>
              <w:rPr>
                <w:rFonts w:ascii="Arial" w:cs="Arial" w:eastAsia="Arial" w:hAnsi="Arial"/>
                <w:sz w:val="14"/>
                <w:szCs w:val="14"/>
                <w:color w:val="auto"/>
                <w:w w:val="90"/>
              </w:rPr>
              <w:t>Stock issued against stock-based compensation</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1,453,080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740" w:type="dxa"/>
            <w:vAlign w:val="bottom"/>
          </w:tcPr>
          <w:p>
            <w:pPr>
              <w:ind w:left="20"/>
              <w:spacing w:after="0"/>
              <w:rPr>
                <w:sz w:val="20"/>
                <w:szCs w:val="20"/>
                <w:color w:val="auto"/>
              </w:rPr>
            </w:pPr>
            <w:r>
              <w:rPr>
                <w:rFonts w:ascii="Arial" w:cs="Arial" w:eastAsia="Arial" w:hAnsi="Arial"/>
                <w:sz w:val="14"/>
                <w:szCs w:val="14"/>
                <w:color w:val="auto"/>
              </w:rPr>
              <w:t>plans</w:t>
            </w: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36,750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36,750</w:t>
            </w: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(2,655,385)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(71,712)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(71,712)</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(64,729)</w:t>
            </w:r>
          </w:p>
        </w:tc>
        <w:tc>
          <w:tcPr>
            <w:tcW w:w="0" w:type="dxa"/>
            <w:vAlign w:val="bottom"/>
          </w:tcPr>
          <w:p>
            <w:pPr>
              <w:spacing w:after="0"/>
              <w:rPr>
                <w:sz w:val="1"/>
                <w:szCs w:val="1"/>
                <w:color w:val="auto"/>
              </w:rPr>
            </w:pPr>
          </w:p>
        </w:tc>
      </w:tr>
      <w:tr>
        <w:trPr>
          <w:trHeight w:val="190"/>
        </w:trPr>
        <w:tc>
          <w:tcPr>
            <w:tcW w:w="2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111,119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111,119</w:t>
            </w:r>
          </w:p>
        </w:tc>
        <w:tc>
          <w:tcPr>
            <w:tcW w:w="0" w:type="dxa"/>
            <w:vAlign w:val="bottom"/>
          </w:tcPr>
          <w:p>
            <w:pPr>
              <w:spacing w:after="0"/>
              <w:rPr>
                <w:sz w:val="1"/>
                <w:szCs w:val="1"/>
                <w:color w:val="auto"/>
              </w:rPr>
            </w:pPr>
          </w:p>
        </w:tc>
      </w:tr>
      <w:tr>
        <w:trPr>
          <w:trHeight w:val="222"/>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198,994,780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432,333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867,256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(33,739,675)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704,584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ind w:firstLine="5"/>
        <w:spacing w:after="0" w:line="260" w:lineRule="auto"/>
        <w:tabs>
          <w:tab w:leader="none" w:pos="201"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29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5"/>
                <w:szCs w:val="15"/>
                <w:color w:val="auto"/>
              </w:rPr>
            </w:pPr>
          </w:p>
        </w:tc>
      </w:tr>
      <w:tr>
        <w:trPr>
          <w:trHeight w:val="24"/>
        </w:trPr>
        <w:tc>
          <w:tcPr>
            <w:tcW w:w="7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77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144,275</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111,119</w:t>
            </w: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38,010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41,993</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42,985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36,750</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Amortization of operating lease right-of-use assets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15,171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17,365</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loss/(gain) on investments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Unrealized foreign currency exchange gain,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(16,813)</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 benefit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(5,621)</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Allowance for expected credit losses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2,444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Fair value changes in contingent consideration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Others,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1,240</w:t>
            </w: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 net of effects of acquisitions: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(46,488)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(68,066)</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Income taxes payable,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(12,022)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4,043</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(8,428)</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(4,624)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(1,927)</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Accrued employee costs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(11,778)</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13,685</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lease liabilities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(17,831)</w:t>
            </w: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132,160</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101,089</w:t>
            </w:r>
          </w:p>
        </w:tc>
      </w:tr>
      <w:tr>
        <w:trPr>
          <w:trHeight w:val="32"/>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(41,106)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(32,099)</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Investment in equity affiliate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Business acquisition (net of cash and cash equivalents acquired)</w:t>
            </w:r>
          </w:p>
        </w:tc>
        <w:tc>
          <w:tcPr>
            <w:tcW w:w="10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Purchases of investments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(165,021)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(164,313)</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redemption of investments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217,525</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124,355</w:t>
            </w:r>
          </w:p>
        </w:tc>
      </w:tr>
      <w:tr>
        <w:trPr>
          <w:trHeight w:val="227"/>
        </w:trPr>
        <w:tc>
          <w:tcPr>
            <w:tcW w:w="77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Net cash provided by/(used for) investing activities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(75,182)</w:t>
            </w:r>
          </w:p>
        </w:tc>
      </w:tr>
      <w:tr>
        <w:trPr>
          <w:trHeight w:val="188"/>
        </w:trPr>
        <w:tc>
          <w:tcPr>
            <w:tcW w:w="770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Cash flows from financing activities:</w:t>
            </w:r>
          </w:p>
        </w:tc>
        <w:tc>
          <w:tcPr>
            <w:tcW w:w="10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payments of finance lease liabilities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Proceeds from borrowings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borrowings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188"/>
        </w:trPr>
        <w:tc>
          <w:tcPr>
            <w:tcW w:w="7700" w:type="dxa"/>
            <w:vAlign w:val="bottom"/>
          </w:tcPr>
          <w:p>
            <w:pPr>
              <w:ind w:left="340"/>
              <w:spacing w:after="0"/>
              <w:rPr>
                <w:sz w:val="20"/>
                <w:szCs w:val="20"/>
                <w:color w:val="auto"/>
              </w:rPr>
            </w:pPr>
            <w:r>
              <w:rPr>
                <w:rFonts w:ascii="Arial" w:cs="Arial" w:eastAsia="Arial" w:hAnsi="Arial"/>
                <w:sz w:val="14"/>
                <w:szCs w:val="14"/>
                <w:color w:val="auto"/>
              </w:rPr>
              <w:t>Acquisition of treasury stock</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(100,542)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(71,712)</w:t>
            </w:r>
          </w:p>
        </w:tc>
      </w:tr>
      <w:tr>
        <w:trPr>
          <w:trHeight w:val="206"/>
        </w:trPr>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 of contingent consideration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ESPP contribution and exercise of stock options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for financing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(140,972)</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(61,820)</w:t>
            </w:r>
          </w:p>
        </w:tc>
      </w:tr>
      <w:tr>
        <w:trPr>
          <w:trHeight w:val="183"/>
        </w:trPr>
        <w:tc>
          <w:tcPr>
            <w:tcW w:w="77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(9,626)</w:t>
            </w:r>
          </w:p>
        </w:tc>
      </w:tr>
      <w:tr>
        <w:trPr>
          <w:trHeight w:val="197"/>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increase/(decrease) in cash, cash equivalents and restricted cash</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(45,539)</w:t>
            </w:r>
          </w:p>
        </w:tc>
      </w:tr>
      <w:tr>
        <w:trPr>
          <w:trHeight w:val="19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125,621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143,810</w:t>
            </w:r>
          </w:p>
        </w:tc>
      </w:tr>
      <w:tr>
        <w:trPr>
          <w:trHeight w:val="21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108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127,959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98,271</w:t>
            </w:r>
          </w:p>
        </w:tc>
      </w:tr>
      <w:tr>
        <w:trPr>
          <w:trHeight w:val="23"/>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Cash paid during the period for:</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08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4,982</w:t>
            </w: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Income taxes, net of refunds</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76,743</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35,192</w:t>
            </w:r>
          </w:p>
        </w:tc>
      </w:tr>
      <w:tr>
        <w:trPr>
          <w:trHeight w:val="206"/>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79"/>
        </w:trPr>
        <w:tc>
          <w:tcPr>
            <w:tcW w:w="7700" w:type="dxa"/>
            <w:vAlign w:val="bottom"/>
          </w:tcPr>
          <w:p>
            <w:pPr>
              <w:ind w:left="20"/>
              <w:spacing w:after="0"/>
              <w:rPr>
                <w:sz w:val="20"/>
                <w:szCs w:val="20"/>
                <w:color w:val="auto"/>
              </w:rPr>
            </w:pPr>
            <w:r>
              <w:rPr>
                <w:rFonts w:ascii="Arial" w:cs="Arial" w:eastAsia="Arial" w:hAnsi="Arial"/>
                <w:sz w:val="14"/>
                <w:szCs w:val="14"/>
                <w:color w:val="auto"/>
              </w:rPr>
              <w:t>Assets acquired under finance lease</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218</w:t>
            </w: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43" w:lineRule="exact"/>
        <w:rPr>
          <w:sz w:val="20"/>
          <w:szCs w:val="20"/>
          <w:color w:val="auto"/>
        </w:rPr>
      </w:pPr>
    </w:p>
    <w:p>
      <w:pPr>
        <w:jc w:val="both"/>
        <w:ind w:firstLine="393"/>
        <w:spacing w:after="0" w:line="243"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 the Company creates agile, scalable solutions and executes complex operations for the world’s leading corporations in industries including insurance, healthcare, banking and financial services, media, and retail, among others. The Company’s data-led value creation framework enables better and faster decision making, leveraging its end-to-end data and analytics capabilities to drive improved business outcomes, and re-designing of operating models to integrate advanced technology into operational workflows. The Company embeds digital operations and solutions into clients’ businesses and introduces its data led approach to transform operations.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clients are located principally in the United States of America (“U.S.”) and the United Kingdom (“U.K.”).</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Principles of Consolidation</w:t>
      </w:r>
    </w:p>
    <w:p>
      <w:pPr>
        <w:spacing w:after="0" w:line="23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2022.</w:t>
      </w:r>
    </w:p>
    <w:p>
      <w:pPr>
        <w:spacing w:after="0" w:line="186"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9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98"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20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Accounting policies of the respective individual subsidiaries and equity affiliates are aligned wherever necessary, so as to ensure consistency with the accounting policies that are adopted by the Company under U.S. GAAP.</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Stock Split</w:t>
      </w:r>
    </w:p>
    <w:p>
      <w:pPr>
        <w:spacing w:after="0" w:line="250"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Company recognizes the effects of a forward stock split in the financial statements if there are changes in the total par value of the increased shares upon such forward stock split. The Company reclassifies an amount equal to the par value of the increased shares resulting from the forward stock split from “Additional paid-in capital” to “Common stock.” The Company presents the effects of a forward stock split on earnings per share in the financial statements retroactively for all the periods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presented. The Company has an option to present other effects of the forward stock split, including changes in the total par value of the increased shares and count of shares of common stock, in the consolidated financial statements either retroactively for all the periods presented or only for the period in which the forward stock split of the common stock becomes effective. The Company has elected to present the effects of the forward stock split retroactively for all the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Use of Estimates</w:t>
      </w:r>
    </w:p>
    <w:p>
      <w:pPr>
        <w:spacing w:after="0" w:line="237"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estimates of the fair value of 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useful life of long-lived assets and other intangible assets, assumptions used to calculate stock-based compensation expense, assumptions used to determine the incremental borrowing rate to calculate lease liabilities and right-of-use (“ROU”) assets, lease term to calculate amortization of ROU, methods to calculate depreciation and amortization for long-lived assets and other intangible assets, and recoverability of long-lived assets, goodwill and other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Recent Accounting Pronouncements</w:t>
      </w:r>
    </w:p>
    <w:p>
      <w:pPr>
        <w:spacing w:after="0" w:line="237" w:lineRule="exact"/>
        <w:rPr>
          <w:sz w:val="20"/>
          <w:szCs w:val="20"/>
          <w:color w:val="auto"/>
        </w:rPr>
      </w:pPr>
    </w:p>
    <w:p>
      <w:pPr>
        <w:jc w:val="both"/>
        <w:ind w:firstLine="393"/>
        <w:spacing w:after="0" w:line="243" w:lineRule="auto"/>
        <w:rPr>
          <w:sz w:val="20"/>
          <w:szCs w:val="20"/>
          <w:color w:val="auto"/>
        </w:rPr>
      </w:pPr>
      <w:r>
        <w:rPr>
          <w:rFonts w:ascii="Arial" w:cs="Arial" w:eastAsia="Arial" w:hAnsi="Arial"/>
          <w:sz w:val="17"/>
          <w:szCs w:val="17"/>
          <w:color w:val="auto"/>
        </w:rPr>
        <w:t xml:space="preserve">In March 2023, the Financial Accounting Standard Board (“FASB”) issued Accounting Standard Update (“ASU”) No. 2023-01, </w:t>
      </w:r>
      <w:r>
        <w:rPr>
          <w:rFonts w:ascii="Arial" w:cs="Arial" w:eastAsia="Arial" w:hAnsi="Arial"/>
          <w:sz w:val="17"/>
          <w:szCs w:val="17"/>
          <w:i w:val="1"/>
          <w:iCs w:val="1"/>
          <w:color w:val="auto"/>
        </w:rPr>
        <w:t>Leases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Standards Codification (“ASC”) Topic 842”): Common Control Arrangements</w:t>
      </w:r>
      <w:r>
        <w:rPr>
          <w:rFonts w:ascii="Arial" w:cs="Arial" w:eastAsia="Arial" w:hAnsi="Arial"/>
          <w:sz w:val="17"/>
          <w:szCs w:val="17"/>
          <w:color w:val="auto"/>
        </w:rPr>
        <w:t>. This ASU provides guidance in ASC Topic 842 that leasehold improvements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common control leases should be (i) amortized by the lessee over the useful life of the leasehold improvements to the common control group, regardless of the lease term, as long as the lessee controls the use of the underlying asset through a lease, and (ii) accounted for as a transfer between entities under common control through an adjustment to equity if and when the lessee no longer controls the use of the underlying asset. The ASU is effective for fiscal years beginning after December 15, 2023. Early adoption is permitted for both interim and annual financial statements that have not yet been issued. When adopted in an interim period, it must be adopted from the beginning of the year that includes that interim period. The Company is currently evaluating the impact of this ASU on its consolidated financial statements.</w:t>
      </w:r>
    </w:p>
    <w:p>
      <w:pPr>
        <w:spacing w:after="0" w:line="200" w:lineRule="exact"/>
        <w:rPr>
          <w:sz w:val="20"/>
          <w:szCs w:val="20"/>
          <w:color w:val="auto"/>
        </w:rPr>
      </w:pPr>
    </w:p>
    <w:p>
      <w:pPr>
        <w:ind w:left="240" w:hanging="235"/>
        <w:spacing w:after="0"/>
        <w:tabs>
          <w:tab w:leader="none" w:pos="2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Recently adopted Accounting Pronouncements</w:t>
      </w:r>
    </w:p>
    <w:p>
      <w:pPr>
        <w:spacing w:after="0" w:line="237"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 xml:space="preserve">In October 2021, FASB issued ASU No. 2021-08, </w:t>
      </w:r>
      <w:r>
        <w:rPr>
          <w:rFonts w:ascii="Arial" w:cs="Arial" w:eastAsia="Arial" w:hAnsi="Arial"/>
          <w:sz w:val="17"/>
          <w:szCs w:val="17"/>
          <w:i w:val="1"/>
          <w:iCs w:val="1"/>
          <w:color w:val="auto"/>
        </w:rPr>
        <w:t>Business Combinations (“ASC Topic 805”)</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This ASU provides guidance in ASC Topic 805 to require the acquirer entity to recognize and measure contract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contract liabilities acquired in a business combination in accordance with ASC Topic 606, </w:t>
      </w:r>
      <w:r>
        <w:rPr>
          <w:rFonts w:ascii="Arial" w:cs="Arial" w:eastAsia="Arial" w:hAnsi="Arial"/>
          <w:sz w:val="17"/>
          <w:szCs w:val="17"/>
          <w:i w:val="1"/>
          <w:iCs w:val="1"/>
          <w:color w:val="auto"/>
        </w:rPr>
        <w:t>Revenue from Contract with Customers</w:t>
      </w:r>
      <w:r>
        <w:rPr>
          <w:rFonts w:ascii="Arial" w:cs="Arial" w:eastAsia="Arial" w:hAnsi="Arial"/>
          <w:sz w:val="17"/>
          <w:szCs w:val="17"/>
          <w:color w:val="auto"/>
        </w:rPr>
        <w:t>,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adoption of this ASU is applicable for future business combinations.</w:t>
      </w:r>
    </w:p>
    <w:p>
      <w:pPr>
        <w:spacing w:after="0" w:line="207"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In July 2023, the FASB issued ASU No. 2023-03, Presentation of Financial Statements (“ASC Topic 205”), Income Statement-Reporting Comprehensive Income (“ASC Topic 220”), Distinguishing Liabilities from Equity (“ASC Topic 480”), Equity (“ASC Topic 505”), and Compensation-Stock Compensation (“ASC Topic 718”) pursuant to SEC Staff Accounting Bulletin No. 120 and amends various SEC paragraphs in the ASC. The ASU is effective immediately upon issuance and did not have a material impact on the Company’s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Segment and Geographical Information</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is a provider of data analytics and digital operations and solutions.</w:t>
      </w:r>
    </w:p>
    <w:p>
      <w:pPr>
        <w:spacing w:after="0" w:line="237"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180"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85"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Revenues and cost of revenues for the three months ended September 30, 2023 and 2022, respectively, for each of the reportable segments, are as follows:</w:t>
      </w: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880" w:type="dxa"/>
            <w:vAlign w:val="bottom"/>
            <w:tcBorders>
              <w:top w:val="single" w:sz="8" w:color="auto"/>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Three months ended September 30, 2023</w:t>
            </w: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r>
      <w:tr>
        <w:trPr>
          <w:trHeight w:val="170"/>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4"/>
              </w:rPr>
              <w:t>Emerging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6"/>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7"/>
                <w:szCs w:val="17"/>
                <w:b w:val="1"/>
                <w:bCs w:val="1"/>
                <w:color w:val="auto"/>
              </w:rPr>
              <w:t>Insurance</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7"/>
                <w:szCs w:val="17"/>
                <w:b w:val="1"/>
                <w:bCs w:val="1"/>
                <w:color w:val="auto"/>
              </w:rPr>
              <w:t>Healthcare</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4"/>
              </w:rPr>
              <w:t>Business</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7"/>
                <w:szCs w:val="17"/>
                <w:b w:val="1"/>
                <w:bCs w:val="1"/>
                <w:color w:val="auto"/>
              </w:rPr>
              <w:t>Analytics</w:t>
            </w:r>
          </w:p>
        </w:tc>
        <w:tc>
          <w:tcPr>
            <w:tcW w:w="240" w:type="dxa"/>
            <w:vAlign w:val="bottom"/>
          </w:tcPr>
          <w:p>
            <w:pPr>
              <w:spacing w:after="0"/>
              <w:rPr>
                <w:sz w:val="20"/>
                <w:szCs w:val="20"/>
                <w:color w:val="auto"/>
              </w:rPr>
            </w:pPr>
          </w:p>
        </w:tc>
        <w:tc>
          <w:tcPr>
            <w:tcW w:w="940" w:type="dxa"/>
            <w:vAlign w:val="bottom"/>
          </w:tcPr>
          <w:p>
            <w:pPr>
              <w:jc w:val="right"/>
              <w:ind w:right="313"/>
              <w:spacing w:after="0"/>
              <w:rPr>
                <w:sz w:val="20"/>
                <w:szCs w:val="20"/>
                <w:color w:val="auto"/>
              </w:rPr>
            </w:pPr>
            <w:r>
              <w:rPr>
                <w:rFonts w:ascii="Arial" w:cs="Arial" w:eastAsia="Arial" w:hAnsi="Arial"/>
                <w:sz w:val="17"/>
                <w:szCs w:val="17"/>
                <w:b w:val="1"/>
                <w:bCs w:val="1"/>
                <w:color w:val="auto"/>
              </w:rPr>
              <w:t>Total</w:t>
            </w: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136,369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410,971</w:t>
            </w:r>
          </w:p>
        </w:tc>
      </w:tr>
      <w:tr>
        <w:trPr>
          <w:trHeight w:val="223"/>
        </w:trPr>
        <w:tc>
          <w:tcPr>
            <w:tcW w:w="464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256,002</w:t>
            </w:r>
          </w:p>
        </w:tc>
      </w:tr>
      <w:tr>
        <w:trPr>
          <w:trHeight w:val="241"/>
        </w:trPr>
        <w:tc>
          <w:tcPr>
            <w:tcW w:w="464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154,969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80"/>
        <w:spacing w:after="0"/>
        <w:rPr>
          <w:sz w:val="20"/>
          <w:szCs w:val="20"/>
          <w:color w:val="auto"/>
        </w:rPr>
      </w:pPr>
      <w:r>
        <w:rPr>
          <w:rFonts w:ascii="Arial" w:cs="Arial" w:eastAsia="Arial" w:hAnsi="Arial"/>
          <w:sz w:val="17"/>
          <w:szCs w:val="17"/>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17145</wp:posOffset>
            </wp:positionV>
            <wp:extent cx="7061200" cy="258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1200" cy="25844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5"/>
          <w:szCs w:val="15"/>
          <w:color w:val="auto"/>
        </w:rPr>
        <w:t>Foreign exchange gain, net, interest expense and other income,</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net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17145</wp:posOffset>
            </wp:positionV>
            <wp:extent cx="7061200" cy="141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1200" cy="14160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Gain from equity-method investment</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7"/>
          <w:szCs w:val="17"/>
          <w:color w:val="auto"/>
        </w:rPr>
        <w:t>Net income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(1) Exclusive of depreciation and amortization expense.</w:t>
      </w:r>
    </w:p>
    <w:p>
      <w:pPr>
        <w:spacing w:after="0" w:line="20" w:lineRule="exact"/>
        <w:rPr>
          <w:sz w:val="20"/>
          <w:szCs w:val="20"/>
          <w:color w:val="auto"/>
        </w:rPr>
      </w:pPr>
      <w:r>
        <w:rPr>
          <w:sz w:val="20"/>
          <w:szCs w:val="20"/>
          <w:color w:val="auto"/>
        </w:rPr>
        <w:br w:type="column"/>
      </w:r>
    </w:p>
    <w:p>
      <w:pPr>
        <w:ind w:left="606"/>
        <w:spacing w:after="0"/>
        <w:rPr>
          <w:sz w:val="20"/>
          <w:szCs w:val="20"/>
          <w:color w:val="auto"/>
        </w:rPr>
      </w:pPr>
      <w:r>
        <w:rPr>
          <w:rFonts w:ascii="Arial" w:cs="Arial" w:eastAsia="Arial" w:hAnsi="Arial"/>
          <w:sz w:val="17"/>
          <w:szCs w:val="17"/>
          <w:color w:val="auto"/>
        </w:rPr>
        <w:t>94,739</w:t>
      </w:r>
    </w:p>
    <w:p>
      <w:pPr>
        <w:spacing w:after="0" w:line="119"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(2,218)</w:t>
      </w:r>
    </w:p>
    <w:p>
      <w:pPr>
        <w:spacing w:after="0" w:line="119"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14,161</w:t>
      </w:r>
    </w:p>
    <w:p>
      <w:pPr>
        <w:spacing w:after="0" w:line="27"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7410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1" w:lineRule="exact"/>
        <w:rPr>
          <w:sz w:val="20"/>
          <w:szCs w:val="20"/>
          <w:color w:val="auto"/>
        </w:rPr>
      </w:pPr>
    </w:p>
    <w:p>
      <w:pPr>
        <w:ind w:left="606" w:hanging="606"/>
        <w:spacing w:after="0"/>
        <w:tabs>
          <w:tab w:leader="none" w:pos="606" w:val="left"/>
        </w:tabs>
        <w:numPr>
          <w:ilvl w:val="0"/>
          <w:numId w:val="9"/>
        </w:numPr>
        <w:rPr>
          <w:rFonts w:ascii="Arial" w:cs="Arial" w:eastAsia="Arial" w:hAnsi="Arial"/>
          <w:sz w:val="17"/>
          <w:szCs w:val="17"/>
          <w:color w:val="auto"/>
        </w:rPr>
      </w:pPr>
      <w:r>
        <w:rPr>
          <w:rFonts w:ascii="Arial" w:cs="Arial" w:eastAsia="Arial" w:hAnsi="Arial"/>
          <w:sz w:val="17"/>
          <w:szCs w:val="17"/>
          <w:color w:val="auto"/>
        </w:rPr>
        <w:t>43,876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7410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104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41910</wp:posOffset>
            </wp:positionV>
            <wp:extent cx="7410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9314" w:space="720"/>
            <w:col w:w="1206"/>
          </w:cols>
          <w:pgMar w:left="320" w:top="121" w:right="339" w:bottom="1440" w:gutter="0" w:footer="0" w:header="0"/>
          <w:type w:val="continuous"/>
        </w:sectPr>
      </w:pPr>
    </w:p>
    <w:p>
      <w:pPr>
        <w:spacing w:after="0" w:line="69"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760" w:type="dxa"/>
            <w:vAlign w:val="bottom"/>
            <w:tcBorders>
              <w:top w:val="single" w:sz="8" w:color="auto"/>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Three months ended September 30, 2022</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line="171" w:lineRule="exact"/>
              <w:rPr>
                <w:sz w:val="20"/>
                <w:szCs w:val="20"/>
                <w:color w:val="auto"/>
              </w:rPr>
            </w:pPr>
            <w:r>
              <w:rPr>
                <w:rFonts w:ascii="Arial" w:cs="Arial" w:eastAsia="Arial" w:hAnsi="Arial"/>
                <w:sz w:val="17"/>
                <w:szCs w:val="17"/>
                <w:b w:val="1"/>
                <w:bCs w:val="1"/>
                <w:color w:val="auto"/>
                <w:w w:val="94"/>
              </w:rPr>
              <w:t>Emerging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7"/>
                <w:szCs w:val="17"/>
                <w:b w:val="1"/>
                <w:bCs w:val="1"/>
                <w:color w:val="auto"/>
              </w:rPr>
              <w:t>Insurance</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7"/>
                <w:szCs w:val="17"/>
                <w:b w:val="1"/>
                <w:bCs w:val="1"/>
                <w:color w:val="auto"/>
              </w:rPr>
              <w:t>Healthcare</w:t>
            </w: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Business</w:t>
            </w:r>
          </w:p>
        </w:tc>
        <w:tc>
          <w:tcPr>
            <w:tcW w:w="1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Analytics</w:t>
            </w:r>
          </w:p>
        </w:tc>
        <w:tc>
          <w:tcPr>
            <w:tcW w:w="240" w:type="dxa"/>
            <w:vAlign w:val="bottom"/>
          </w:tcPr>
          <w:p>
            <w:pPr>
              <w:spacing w:after="0"/>
              <w:rPr>
                <w:sz w:val="20"/>
                <w:szCs w:val="20"/>
                <w:color w:val="auto"/>
              </w:rPr>
            </w:pPr>
          </w:p>
        </w:tc>
        <w:tc>
          <w:tcPr>
            <w:tcW w:w="880" w:type="dxa"/>
            <w:vAlign w:val="bottom"/>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361,351</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230,462</w:t>
            </w: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130,889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80,778</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Foreign exchange gain, net, interest expense and other loss,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12,447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from equity-method investment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(1) Exclusive of depreciation and amortization expense.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Revenues and cost of revenues for the nine months ended September 30, 2023 and 2022, respectively, for each of the reportable segments, are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542290</wp:posOffset>
            </wp:positionV>
            <wp:extent cx="42799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9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14"/>
          </w:tcPr>
          <w:p>
            <w:pPr>
              <w:jc w:val="right"/>
              <w:ind w:right="73"/>
              <w:spacing w:after="0"/>
              <w:rPr>
                <w:sz w:val="20"/>
                <w:szCs w:val="20"/>
                <w:color w:val="auto"/>
              </w:rPr>
            </w:pPr>
            <w:r>
              <w:rPr>
                <w:rFonts w:ascii="Arial" w:cs="Arial" w:eastAsia="Arial" w:hAnsi="Arial"/>
                <w:sz w:val="14"/>
                <w:szCs w:val="14"/>
                <w:b w:val="1"/>
                <w:bCs w:val="1"/>
                <w:color w:val="auto"/>
                <w:w w:val="96"/>
              </w:rPr>
              <w:t>Nine months ended September 30, 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ind w:left="260"/>
              <w:spacing w:after="0" w:line="163" w:lineRule="exact"/>
              <w:rPr>
                <w:sz w:val="20"/>
                <w:szCs w:val="20"/>
                <w:color w:val="auto"/>
              </w:rPr>
            </w:pPr>
            <w:r>
              <w:rPr>
                <w:rFonts w:ascii="Arial" w:cs="Arial" w:eastAsia="Arial" w:hAnsi="Arial"/>
                <w:sz w:val="17"/>
                <w:szCs w:val="17"/>
                <w:b w:val="1"/>
                <w:bCs w:val="1"/>
                <w:color w:val="auto"/>
              </w:rPr>
              <w:t>Emerging</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2"/>
              </w:rPr>
              <w:t>Insurance</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Healthcare</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7"/>
                <w:szCs w:val="17"/>
                <w:b w:val="1"/>
                <w:bCs w:val="1"/>
                <w:color w:val="auto"/>
              </w:rPr>
              <w:t>Business</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Analytics</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390,762</w:t>
            </w:r>
          </w:p>
        </w:tc>
        <w:tc>
          <w:tcPr>
            <w:tcW w:w="56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80,036</w:t>
            </w:r>
          </w:p>
        </w:tc>
        <w:tc>
          <w:tcPr>
            <w:tcW w:w="640" w:type="dxa"/>
            <w:vAlign w:val="bottom"/>
            <w:gridSpan w:val="3"/>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198,677</w:t>
            </w: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547,135</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1,216,610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253,081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52,882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111,414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343,314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760,691</w:t>
            </w: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137,681</w:t>
            </w:r>
          </w:p>
        </w:tc>
        <w:tc>
          <w:tcPr>
            <w:tcW w:w="56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27,154</w:t>
            </w:r>
          </w:p>
        </w:tc>
        <w:tc>
          <w:tcPr>
            <w:tcW w:w="640" w:type="dxa"/>
            <w:vAlign w:val="bottom"/>
            <w:gridSpan w:val="3"/>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87,263</w:t>
            </w:r>
          </w:p>
        </w:tc>
        <w:tc>
          <w:tcPr>
            <w:tcW w:w="2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203,821</w:t>
            </w: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455,919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271,430</w:t>
            </w:r>
          </w:p>
        </w:tc>
        <w:tc>
          <w:tcPr>
            <w:tcW w:w="0" w:type="dxa"/>
            <w:vAlign w:val="bottom"/>
          </w:tcPr>
          <w:p>
            <w:pPr>
              <w:spacing w:after="0"/>
              <w:rPr>
                <w:sz w:val="1"/>
                <w:szCs w:val="1"/>
                <w:color w:val="auto"/>
              </w:rPr>
            </w:pPr>
          </w:p>
        </w:tc>
      </w:tr>
      <w:tr>
        <w:trPr>
          <w:trHeight w:val="171"/>
        </w:trPr>
        <w:tc>
          <w:tcPr>
            <w:tcW w:w="4460" w:type="dxa"/>
            <w:vAlign w:val="bottom"/>
            <w:gridSpan w:val="3"/>
            <w:shd w:val="clear" w:color="auto" w:fill="CCEEFF"/>
          </w:tcPr>
          <w:p>
            <w:pPr>
              <w:ind w:left="20"/>
              <w:spacing w:after="0" w:line="172" w:lineRule="exact"/>
              <w:rPr>
                <w:sz w:val="20"/>
                <w:szCs w:val="20"/>
                <w:color w:val="auto"/>
              </w:rPr>
            </w:pPr>
            <w:r>
              <w:rPr>
                <w:rFonts w:ascii="Arial" w:cs="Arial" w:eastAsia="Arial" w:hAnsi="Arial"/>
                <w:sz w:val="17"/>
                <w:szCs w:val="17"/>
                <w:color w:val="auto"/>
                <w:w w:val="91"/>
              </w:rPr>
              <w:t>Foreign exchange gain, net, interest expense and other income,</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(2,598)</w:t>
            </w:r>
          </w:p>
        </w:tc>
        <w:tc>
          <w:tcPr>
            <w:tcW w:w="0" w:type="dxa"/>
            <w:vAlign w:val="bottom"/>
          </w:tcPr>
          <w:p>
            <w:pPr>
              <w:spacing w:after="0"/>
              <w:rPr>
                <w:sz w:val="1"/>
                <w:szCs w:val="1"/>
                <w:color w:val="auto"/>
              </w:rPr>
            </w:pPr>
          </w:p>
        </w:tc>
      </w:tr>
      <w:tr>
        <w:trPr>
          <w:trHeight w:val="143"/>
        </w:trPr>
        <w:tc>
          <w:tcPr>
            <w:tcW w:w="422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22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37,773</w:t>
            </w:r>
          </w:p>
        </w:tc>
        <w:tc>
          <w:tcPr>
            <w:tcW w:w="0" w:type="dxa"/>
            <w:vAlign w:val="bottom"/>
          </w:tcPr>
          <w:p>
            <w:pPr>
              <w:spacing w:after="0"/>
              <w:rPr>
                <w:sz w:val="1"/>
                <w:szCs w:val="1"/>
                <w:color w:val="auto"/>
              </w:rPr>
            </w:pPr>
          </w:p>
        </w:tc>
      </w:tr>
      <w:tr>
        <w:trPr>
          <w:trHeight w:val="22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from equity-method investment</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144,275</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7"/>
                <w:szCs w:val="17"/>
                <w:color w:val="auto"/>
              </w:rPr>
              <w:t>(1) Exclusive of depreciation and amortization expense.</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6"/>
          </w:tcPr>
          <w:p>
            <w:pPr>
              <w:spacing w:after="0"/>
              <w:rPr>
                <w:sz w:val="22"/>
                <w:szCs w:val="22"/>
                <w:color w:val="auto"/>
              </w:rPr>
            </w:pPr>
          </w:p>
        </w:tc>
        <w:tc>
          <w:tcPr>
            <w:tcW w:w="1420" w:type="dxa"/>
            <w:vAlign w:val="bottom"/>
            <w:tcBorders>
              <w:bottom w:val="single" w:sz="8" w:color="auto"/>
            </w:tcBorders>
            <w:gridSpan w:val="8"/>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14"/>
          </w:tcPr>
          <w:p>
            <w:pPr>
              <w:jc w:val="right"/>
              <w:ind w:right="193"/>
              <w:spacing w:after="0"/>
              <w:rPr>
                <w:sz w:val="20"/>
                <w:szCs w:val="20"/>
                <w:color w:val="auto"/>
              </w:rPr>
            </w:pPr>
            <w:r>
              <w:rPr>
                <w:rFonts w:ascii="Arial" w:cs="Arial" w:eastAsia="Arial" w:hAnsi="Arial"/>
                <w:sz w:val="14"/>
                <w:szCs w:val="14"/>
                <w:b w:val="1"/>
                <w:bCs w:val="1"/>
                <w:color w:val="auto"/>
                <w:w w:val="92"/>
              </w:rPr>
              <w:t>Nine months ended September 30, 2022</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640" w:type="dxa"/>
            <w:vAlign w:val="bottom"/>
            <w:tcBorders>
              <w:bottom w:val="single" w:sz="8" w:color="CCEEFF"/>
            </w:tcBorders>
          </w:tcPr>
          <w:p>
            <w:pPr>
              <w:spacing w:after="0"/>
              <w:rPr>
                <w:sz w:val="24"/>
                <w:szCs w:val="24"/>
                <w:color w:val="auto"/>
              </w:rPr>
            </w:pPr>
          </w:p>
        </w:tc>
        <w:tc>
          <w:tcPr>
            <w:tcW w:w="35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7"/>
                <w:szCs w:val="17"/>
                <w:b w:val="1"/>
                <w:bCs w:val="1"/>
                <w:color w:val="auto"/>
                <w:w w:val="94"/>
              </w:rPr>
              <w:t>Insurance</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7"/>
                <w:szCs w:val="17"/>
                <w:b w:val="1"/>
                <w:bCs w:val="1"/>
                <w:color w:val="auto"/>
              </w:rPr>
              <w:t>Healthcare</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8"/>
          </w:tcPr>
          <w:p>
            <w:pPr>
              <w:ind w:left="40"/>
              <w:spacing w:after="0"/>
              <w:rPr>
                <w:sz w:val="20"/>
                <w:szCs w:val="20"/>
                <w:color w:val="auto"/>
              </w:rPr>
            </w:pPr>
            <w:r>
              <w:rPr>
                <w:rFonts w:ascii="Arial" w:cs="Arial" w:eastAsia="Arial" w:hAnsi="Arial"/>
                <w:sz w:val="17"/>
                <w:szCs w:val="17"/>
                <w:b w:val="1"/>
                <w:bCs w:val="1"/>
                <w:color w:val="auto"/>
                <w:w w:val="89"/>
              </w:rPr>
              <w:t>Emerging Business</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Analytics</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328,021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72,027</w:t>
            </w:r>
          </w:p>
        </w:tc>
        <w:tc>
          <w:tcPr>
            <w:tcW w:w="2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160,655</w:t>
            </w: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476,638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1,037,341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center"/>
              <w:ind w:left="13"/>
              <w:spacing w:after="0"/>
              <w:rPr>
                <w:sz w:val="20"/>
                <w:szCs w:val="20"/>
                <w:color w:val="auto"/>
              </w:rPr>
            </w:pPr>
            <w:r>
              <w:rPr>
                <w:rFonts w:ascii="Arial" w:cs="Arial" w:eastAsia="Arial" w:hAnsi="Arial"/>
                <w:sz w:val="17"/>
                <w:szCs w:val="17"/>
                <w:color w:val="auto"/>
                <w:w w:val="91"/>
              </w:rPr>
              <w:t>210,768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9"/>
              </w:rPr>
              <w:t>52,464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92,790</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4"/>
              </w:rPr>
              <w:t>303,163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659,185</w:t>
            </w: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117,253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19,563</w:t>
            </w:r>
          </w:p>
        </w:tc>
        <w:tc>
          <w:tcPr>
            <w:tcW w:w="2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67,865</w:t>
            </w:r>
          </w:p>
        </w:tc>
        <w:tc>
          <w:tcPr>
            <w:tcW w:w="2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173,475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378,156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236,989</w:t>
            </w:r>
          </w:p>
        </w:tc>
        <w:tc>
          <w:tcPr>
            <w:tcW w:w="0" w:type="dxa"/>
            <w:vAlign w:val="bottom"/>
          </w:tcPr>
          <w:p>
            <w:pPr>
              <w:spacing w:after="0"/>
              <w:rPr>
                <w:sz w:val="1"/>
                <w:szCs w:val="1"/>
                <w:color w:val="auto"/>
              </w:rPr>
            </w:pPr>
          </w:p>
        </w:tc>
      </w:tr>
      <w:tr>
        <w:trPr>
          <w:trHeight w:val="171"/>
        </w:trPr>
        <w:tc>
          <w:tcPr>
            <w:tcW w:w="42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Foreign exchange gain, net, interest expense and other</w:t>
            </w: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4,361</w:t>
            </w:r>
          </w:p>
        </w:tc>
        <w:tc>
          <w:tcPr>
            <w:tcW w:w="0" w:type="dxa"/>
            <w:vAlign w:val="bottom"/>
          </w:tcPr>
          <w:p>
            <w:pPr>
              <w:spacing w:after="0"/>
              <w:rPr>
                <w:sz w:val="1"/>
                <w:szCs w:val="1"/>
                <w:color w:val="auto"/>
              </w:rPr>
            </w:pPr>
          </w:p>
        </w:tc>
      </w:tr>
      <w:tr>
        <w:trPr>
          <w:trHeight w:val="143"/>
        </w:trPr>
        <w:tc>
          <w:tcPr>
            <w:tcW w:w="422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income, net</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22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34,774</w:t>
            </w:r>
          </w:p>
        </w:tc>
        <w:tc>
          <w:tcPr>
            <w:tcW w:w="0" w:type="dxa"/>
            <w:vAlign w:val="bottom"/>
          </w:tcPr>
          <w:p>
            <w:pPr>
              <w:spacing w:after="0"/>
              <w:rPr>
                <w:sz w:val="1"/>
                <w:szCs w:val="1"/>
                <w:color w:val="auto"/>
              </w:rPr>
            </w:pPr>
          </w:p>
        </w:tc>
      </w:tr>
      <w:tr>
        <w:trPr>
          <w:trHeight w:val="22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from equity-method investment</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111,119</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7"/>
                <w:szCs w:val="17"/>
                <w:color w:val="auto"/>
              </w:rPr>
              <w:t>(1) Exclusive of depreciation and amortization expense.</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20" w:type="dxa"/>
            <w:vAlign w:val="bottom"/>
            <w:gridSpan w:val="2"/>
          </w:tcPr>
          <w:p>
            <w:pPr>
              <w:ind w:left="400"/>
              <w:spacing w:after="0"/>
              <w:rPr>
                <w:sz w:val="20"/>
                <w:szCs w:val="20"/>
                <w:color w:val="auto"/>
              </w:rPr>
            </w:pPr>
            <w:r>
              <w:rPr>
                <w:rFonts w:ascii="Arial" w:cs="Arial" w:eastAsia="Arial" w:hAnsi="Arial"/>
                <w:sz w:val="17"/>
                <w:szCs w:val="17"/>
                <w:color w:val="auto"/>
              </w:rPr>
              <w:t>Revenues, net by service type, were as follows: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6"/>
          </w:tcPr>
          <w:p>
            <w:pPr>
              <w:spacing w:after="0"/>
              <w:rPr>
                <w:sz w:val="10"/>
                <w:szCs w:val="10"/>
                <w:color w:val="auto"/>
              </w:rPr>
            </w:pPr>
          </w:p>
        </w:tc>
        <w:tc>
          <w:tcPr>
            <w:tcW w:w="1320" w:type="dxa"/>
            <w:vAlign w:val="bottom"/>
            <w:gridSpan w:val="6"/>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7"/>
          </w:tcPr>
          <w:p>
            <w:pPr>
              <w:spacing w:after="0"/>
              <w:rPr>
                <w:sz w:val="10"/>
                <w:szCs w:val="10"/>
                <w:color w:val="auto"/>
              </w:rPr>
            </w:pPr>
          </w:p>
        </w:tc>
        <w:tc>
          <w:tcPr>
            <w:tcW w:w="1060" w:type="dxa"/>
            <w:vAlign w:val="bottom"/>
            <w:gridSpan w:val="6"/>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13"/>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shd w:val="clear" w:color="auto" w:fill="CCEEFF"/>
          </w:tcPr>
          <w:p>
            <w:pPr>
              <w:spacing w:after="0"/>
              <w:rPr>
                <w:sz w:val="16"/>
                <w:szCs w:val="16"/>
                <w:color w:val="auto"/>
              </w:rPr>
            </w:pPr>
          </w:p>
        </w:tc>
        <w:tc>
          <w:tcPr>
            <w:tcW w:w="2360" w:type="dxa"/>
            <w:vAlign w:val="bottom"/>
            <w:gridSpan w:val="1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8"/>
              </w:rPr>
              <w:t>Nine months ended September 30,</w:t>
            </w:r>
          </w:p>
        </w:tc>
        <w:tc>
          <w:tcPr>
            <w:tcW w:w="280" w:type="dxa"/>
            <w:vAlign w:val="bottom"/>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6"/>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83"/>
              </w:rPr>
              <w:t>2022</w:t>
            </w:r>
          </w:p>
        </w:tc>
        <w:tc>
          <w:tcPr>
            <w:tcW w:w="280" w:type="dxa"/>
            <w:vAlign w:val="bottom"/>
            <w:tcBorders>
              <w:top w:val="single" w:sz="8" w:color="auto"/>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8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Digital operations and solutions</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227,862</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1"/>
              </w:rPr>
              <w:t>195,053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1"/>
              </w:rPr>
              <w:t>669,475</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7"/>
              </w:rPr>
              <w:t>560,703</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 services</w:t>
            </w: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183,109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1"/>
              </w:rPr>
              <w:t>166,298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91"/>
              </w:rPr>
              <w:t>547,135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97"/>
              </w:rPr>
              <w:t>476,638</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410,971</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1"/>
              </w:rPr>
              <w:t>361,351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1,216,610</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w w:val="92"/>
              </w:rPr>
              <w:t>1,037,341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right="320" w:firstLine="320"/>
        <w:spacing w:after="0" w:line="273" w:lineRule="auto"/>
        <w:tabs>
          <w:tab w:leader="none" w:pos="5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Digital operations and solutions include revenues of the Company’s Insurance, Healthcare and Emerging Business reportable segments. Refer to the reportable segment disclosure above.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attributes the revenues to regions based upon the location of its customers.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45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net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343,135</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310,652</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1,022,883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891,551</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Non-United States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560" w:type="dxa"/>
            <w:vAlign w:val="bottom"/>
          </w:tcPr>
          <w:p>
            <w:pPr>
              <w:ind w:left="200"/>
              <w:spacing w:after="0"/>
              <w:rPr>
                <w:sz w:val="20"/>
                <w:szCs w:val="20"/>
                <w:color w:val="auto"/>
              </w:rPr>
            </w:pPr>
            <w:r>
              <w:rPr>
                <w:rFonts w:ascii="Arial" w:cs="Arial" w:eastAsia="Arial" w:hAnsi="Arial"/>
                <w:sz w:val="17"/>
                <w:szCs w:val="17"/>
                <w:color w:val="auto"/>
              </w:rPr>
              <w:t>United Kingdom</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34,131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98,994</w:t>
            </w:r>
          </w:p>
        </w:tc>
      </w:tr>
      <w:tr>
        <w:trPr>
          <w:trHeight w:val="223"/>
        </w:trPr>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 of World</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46,796</w:t>
            </w:r>
          </w:p>
        </w:tc>
      </w:tr>
      <w:tr>
        <w:trPr>
          <w:trHeight w:val="21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Non-United States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50,699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145,790</w:t>
            </w: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410,971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361,351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1,216,610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1,037,341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As of</w:t>
            </w:r>
          </w:p>
        </w:tc>
        <w:tc>
          <w:tcPr>
            <w:tcW w:w="1460" w:type="dxa"/>
            <w:vAlign w:val="bottom"/>
          </w:tcPr>
          <w:p>
            <w:pPr>
              <w:spacing w:after="0"/>
              <w:rPr>
                <w:sz w:val="15"/>
                <w:szCs w:val="15"/>
                <w:color w:val="auto"/>
              </w:rPr>
            </w:pPr>
          </w:p>
        </w:tc>
      </w:tr>
      <w:tr>
        <w:trPr>
          <w:trHeight w:val="24"/>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2022</w:t>
            </w:r>
          </w:p>
        </w:tc>
      </w:tr>
      <w:tr>
        <w:trPr>
          <w:trHeight w:val="210"/>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62,642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60,709</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India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50,118</w:t>
            </w: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Philippines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21,895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18,406</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8,942</w:t>
            </w:r>
          </w:p>
        </w:tc>
      </w:tr>
      <w:tr>
        <w:trPr>
          <w:trHeight w:val="216"/>
        </w:trPr>
        <w:tc>
          <w:tcPr>
            <w:tcW w:w="628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153,546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138,175</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Revenues, net</w:t>
      </w:r>
    </w:p>
    <w:p>
      <w:pPr>
        <w:spacing w:after="0" w:line="243" w:lineRule="exact"/>
        <w:rPr>
          <w:sz w:val="20"/>
          <w:szCs w:val="20"/>
          <w:color w:val="auto"/>
        </w:rPr>
      </w:pPr>
    </w:p>
    <w:p>
      <w:pPr>
        <w:ind w:right="420" w:firstLine="393"/>
        <w:spacing w:after="0" w:line="273" w:lineRule="auto"/>
        <w:rPr>
          <w:sz w:val="20"/>
          <w:szCs w:val="20"/>
          <w:color w:val="auto"/>
        </w:rPr>
      </w:pPr>
      <w:r>
        <w:rPr>
          <w:rFonts w:ascii="Arial" w:cs="Arial" w:eastAsia="Arial" w:hAnsi="Arial"/>
          <w:sz w:val="17"/>
          <w:szCs w:val="17"/>
          <w:color w:val="auto"/>
        </w:rPr>
        <w:t>Refer to Note 3 - Segment and Geographical Information to the unaudited consolidated financial statements for revenues disaggregated by reportable segments and geography.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203"/>
        </w:trPr>
        <w:tc>
          <w:tcPr>
            <w:tcW w:w="6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6"/>
                <w:szCs w:val="16"/>
                <w:b w:val="1"/>
                <w:bCs w:val="1"/>
                <w:color w:val="auto"/>
                <w:w w:val="92"/>
              </w:rPr>
              <w:t>December 31, 2022</w:t>
            </w:r>
          </w:p>
        </w:tc>
      </w:tr>
      <w:tr>
        <w:trPr>
          <w:trHeight w:val="245"/>
        </w:trPr>
        <w:tc>
          <w:tcPr>
            <w:tcW w:w="69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2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259,222</w:t>
            </w:r>
          </w:p>
        </w:tc>
      </w:tr>
      <w:tr>
        <w:trPr>
          <w:trHeight w:val="223"/>
        </w:trPr>
        <w:tc>
          <w:tcPr>
            <w:tcW w:w="6900" w:type="dxa"/>
            <w:vAlign w:val="bottom"/>
          </w:tcPr>
          <w:p>
            <w:pPr>
              <w:spacing w:after="0"/>
              <w:rPr>
                <w:sz w:val="20"/>
                <w:szCs w:val="20"/>
                <w:color w:val="auto"/>
              </w:rPr>
            </w:pPr>
            <w:r>
              <w:rPr>
                <w:rFonts w:ascii="Arial" w:cs="Arial" w:eastAsia="Arial" w:hAnsi="Arial"/>
                <w:sz w:val="17"/>
                <w:szCs w:val="17"/>
                <w:color w:val="auto"/>
              </w:rPr>
              <w:t>Contract assets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11,086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2,768</w:t>
            </w:r>
          </w:p>
        </w:tc>
      </w:tr>
      <w:tr>
        <w:trPr>
          <w:trHeight w:val="22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3"/>
        </w:trPr>
        <w:tc>
          <w:tcPr>
            <w:tcW w:w="6900" w:type="dxa"/>
            <w:vAlign w:val="bottom"/>
          </w:tcPr>
          <w:p>
            <w:pPr>
              <w:ind w:left="200"/>
              <w:spacing w:after="0"/>
              <w:rPr>
                <w:sz w:val="20"/>
                <w:szCs w:val="20"/>
                <w:color w:val="auto"/>
              </w:rPr>
            </w:pPr>
            <w:r>
              <w:rPr>
                <w:rFonts w:ascii="Arial" w:cs="Arial" w:eastAsia="Arial" w:hAnsi="Arial"/>
                <w:sz w:val="17"/>
                <w:szCs w:val="17"/>
                <w:color w:val="auto"/>
              </w:rPr>
              <w:t>Deferred revenue (consideration received in advance)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11,285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17,079</w:t>
            </w:r>
          </w:p>
        </w:tc>
      </w:tr>
      <w:tr>
        <w:trPr>
          <w:trHeight w:val="223"/>
        </w:trPr>
        <w:tc>
          <w:tcPr>
            <w:tcW w:w="6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Consideration received for process transition activities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5,423</w:t>
            </w:r>
          </w:p>
        </w:tc>
      </w:tr>
    </w:tbl>
    <w:p>
      <w:pPr>
        <w:spacing w:after="0" w:line="289"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Accounts receivable includes $152,425 and $126,027 as of September 30, 2023 and December 31, 2022,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9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ind w:firstLine="354"/>
        <w:spacing w:after="0" w:line="249" w:lineRule="auto"/>
        <w:rPr>
          <w:sz w:val="20"/>
          <w:szCs w:val="20"/>
          <w:color w:val="auto"/>
        </w:rPr>
      </w:pPr>
      <w:r>
        <w:rPr>
          <w:rFonts w:ascii="Arial" w:cs="Arial" w:eastAsia="Arial" w:hAnsi="Arial"/>
          <w:sz w:val="17"/>
          <w:szCs w:val="17"/>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 and “Other non-current liabilities” in the consolidated balance sheets. The revenues are recognized as (or when) the performance obligation is fulfilled under the contract with customer.</w:t>
      </w:r>
    </w:p>
    <w:p>
      <w:pPr>
        <w:spacing w:after="0" w:line="20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Revenue recognized during the three and nine months ended September 30, 2023 and 2022, which was included in the contract liabilities balance at the beginning of the respective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29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58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53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(consideration received in advance)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16,682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16,326</w:t>
            </w:r>
          </w:p>
        </w:tc>
      </w:tr>
      <w:tr>
        <w:trPr>
          <w:trHeight w:val="222"/>
        </w:trPr>
        <w:tc>
          <w:tcPr>
            <w:tcW w:w="5320" w:type="dxa"/>
            <w:vAlign w:val="bottom"/>
          </w:tcPr>
          <w:p>
            <w:pPr>
              <w:ind w:left="20"/>
              <w:spacing w:after="0"/>
              <w:rPr>
                <w:sz w:val="20"/>
                <w:szCs w:val="20"/>
                <w:color w:val="auto"/>
              </w:rPr>
            </w:pPr>
            <w:r>
              <w:rPr>
                <w:rFonts w:ascii="Arial" w:cs="Arial" w:eastAsia="Arial" w:hAnsi="Arial"/>
                <w:sz w:val="17"/>
                <w:szCs w:val="17"/>
                <w:color w:val="auto"/>
              </w:rPr>
              <w:t>Consideration received for process transition activities</w:t>
            </w:r>
          </w:p>
        </w:tc>
        <w:tc>
          <w:tcPr>
            <w:tcW w:w="940" w:type="dxa"/>
            <w:vAlign w:val="bottom"/>
          </w:tcPr>
          <w:p>
            <w:pPr>
              <w:jc w:val="right"/>
              <w:ind w:right="76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1,381</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1,370</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 acquisition and fulfillment costs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details of the Company’s contract acquisition and fulfillment costs: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10"/>
          </w:tcPr>
          <w:p>
            <w:pPr>
              <w:jc w:val="right"/>
              <w:spacing w:after="0"/>
              <w:rPr>
                <w:sz w:val="20"/>
                <w:szCs w:val="20"/>
                <w:color w:val="auto"/>
              </w:rPr>
            </w:pPr>
            <w:r>
              <w:rPr>
                <w:rFonts w:ascii="Arial" w:cs="Arial" w:eastAsia="Arial" w:hAnsi="Arial"/>
                <w:sz w:val="17"/>
                <w:szCs w:val="17"/>
                <w:b w:val="1"/>
                <w:bCs w:val="1"/>
                <w:color w:val="auto"/>
              </w:rPr>
              <w:t>Contract Acquisition Costs</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9"/>
          </w:tcPr>
          <w:p>
            <w:pPr>
              <w:ind w:left="26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8"/>
                <w:szCs w:val="18"/>
                <w:color w:val="auto"/>
              </w:rPr>
            </w:pPr>
          </w:p>
        </w:tc>
        <w:tc>
          <w:tcPr>
            <w:tcW w:w="2380" w:type="dxa"/>
            <w:vAlign w:val="bottom"/>
            <w:gridSpan w:val="9"/>
          </w:tcPr>
          <w:p>
            <w:pPr>
              <w:ind w:left="280"/>
              <w:spacing w:after="0"/>
              <w:rPr>
                <w:sz w:val="20"/>
                <w:szCs w:val="20"/>
                <w:color w:val="auto"/>
              </w:rPr>
            </w:pPr>
            <w:r>
              <w:rPr>
                <w:rFonts w:ascii="Arial" w:cs="Arial" w:eastAsia="Arial" w:hAnsi="Arial"/>
                <w:sz w:val="17"/>
                <w:szCs w:val="17"/>
                <w:b w:val="1"/>
                <w:bCs w:val="1"/>
                <w:color w:val="auto"/>
              </w:rPr>
              <w:t>Nine months ended</w:t>
            </w: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Year ended</w:t>
            </w:r>
          </w:p>
        </w:tc>
      </w:tr>
      <w:tr>
        <w:trPr>
          <w:trHeight w:val="171"/>
        </w:trPr>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top w:val="single" w:sz="8" w:color="auto"/>
            </w:tcBorders>
            <w:gridSpan w:val="5"/>
          </w:tcPr>
          <w:p>
            <w:pPr>
              <w:jc w:val="center"/>
              <w:ind w:right="100"/>
              <w:spacing w:after="0" w:line="172" w:lineRule="exact"/>
              <w:rPr>
                <w:sz w:val="20"/>
                <w:szCs w:val="20"/>
                <w:color w:val="auto"/>
              </w:rPr>
            </w:pPr>
            <w:r>
              <w:rPr>
                <w:rFonts w:ascii="Arial" w:cs="Arial" w:eastAsia="Arial" w:hAnsi="Arial"/>
                <w:sz w:val="17"/>
                <w:szCs w:val="17"/>
                <w:b w:val="1"/>
                <w:bCs w:val="1"/>
                <w:color w:val="auto"/>
                <w:w w:val="91"/>
              </w:rPr>
              <w:t>September 30,</w:t>
            </w:r>
          </w:p>
        </w:tc>
        <w:tc>
          <w:tcPr>
            <w:tcW w:w="1240" w:type="dxa"/>
            <w:vAlign w:val="bottom"/>
            <w:tcBorders>
              <w:top w:val="single" w:sz="8" w:color="auto"/>
            </w:tcBorders>
            <w:gridSpan w:val="3"/>
          </w:tcPr>
          <w:p>
            <w:pPr>
              <w:jc w:val="center"/>
              <w:spacing w:after="0" w:line="172" w:lineRule="exact"/>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top w:val="single" w:sz="8" w:color="auto"/>
            </w:tcBorders>
            <w:gridSpan w:val="5"/>
          </w:tcPr>
          <w:p>
            <w:pPr>
              <w:jc w:val="center"/>
              <w:ind w:right="120"/>
              <w:spacing w:after="0" w:line="172" w:lineRule="exact"/>
              <w:rPr>
                <w:sz w:val="20"/>
                <w:szCs w:val="20"/>
                <w:color w:val="auto"/>
              </w:rPr>
            </w:pPr>
            <w:r>
              <w:rPr>
                <w:rFonts w:ascii="Arial" w:cs="Arial" w:eastAsia="Arial" w:hAnsi="Arial"/>
                <w:sz w:val="17"/>
                <w:szCs w:val="17"/>
                <w:b w:val="1"/>
                <w:bCs w:val="1"/>
                <w:color w:val="auto"/>
                <w:w w:val="92"/>
              </w:rPr>
              <w:t>September 30,</w:t>
            </w:r>
          </w:p>
        </w:tc>
        <w:tc>
          <w:tcPr>
            <w:tcW w:w="1240" w:type="dxa"/>
            <w:vAlign w:val="bottom"/>
            <w:tcBorders>
              <w:top w:val="single" w:sz="8" w:color="auto"/>
            </w:tcBorders>
            <w:gridSpan w:val="3"/>
          </w:tcPr>
          <w:p>
            <w:pPr>
              <w:jc w:val="center"/>
              <w:ind w:right="20"/>
              <w:spacing w:after="0" w:line="172" w:lineRule="exact"/>
              <w:rPr>
                <w:sz w:val="20"/>
                <w:szCs w:val="20"/>
                <w:color w:val="auto"/>
              </w:rPr>
            </w:pPr>
            <w:r>
              <w:rPr>
                <w:rFonts w:ascii="Arial" w:cs="Arial" w:eastAsia="Arial" w:hAnsi="Arial"/>
                <w:sz w:val="17"/>
                <w:szCs w:val="17"/>
                <w:b w:val="1"/>
                <w:bCs w:val="1"/>
                <w:color w:val="auto"/>
                <w:w w:val="91"/>
              </w:rPr>
              <w:t>September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160"/>
              <w:spacing w:after="0" w:line="172" w:lineRule="exact"/>
              <w:rPr>
                <w:sz w:val="20"/>
                <w:szCs w:val="20"/>
                <w:color w:val="auto"/>
              </w:rPr>
            </w:pPr>
            <w:r>
              <w:rPr>
                <w:rFonts w:ascii="Arial" w:cs="Arial" w:eastAsia="Arial" w:hAnsi="Arial"/>
                <w:sz w:val="17"/>
                <w:szCs w:val="17"/>
                <w:b w:val="1"/>
                <w:bCs w:val="1"/>
                <w:color w:val="auto"/>
                <w:w w:val="92"/>
              </w:rPr>
              <w:t>December 31,</w:t>
            </w:r>
          </w:p>
        </w:tc>
      </w:tr>
      <w:tr>
        <w:trPr>
          <w:trHeight w:val="228"/>
        </w:trPr>
        <w:tc>
          <w:tcPr>
            <w:tcW w:w="140" w:type="dxa"/>
            <w:vAlign w:val="bottom"/>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89"/>
              </w:rPr>
              <w:t>2023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5"/>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13"/>
              <w:spacing w:after="0"/>
              <w:rPr>
                <w:sz w:val="20"/>
                <w:szCs w:val="20"/>
                <w:color w:val="auto"/>
              </w:rPr>
            </w:pPr>
            <w:r>
              <w:rPr>
                <w:rFonts w:ascii="Arial" w:cs="Arial" w:eastAsia="Arial" w:hAnsi="Arial"/>
                <w:sz w:val="17"/>
                <w:szCs w:val="17"/>
                <w:b w:val="1"/>
                <w:bCs w:val="1"/>
                <w:color w:val="auto"/>
                <w:w w:val="89"/>
              </w:rPr>
              <w:t>2022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bottom w:val="single" w:sz="8" w:color="auto"/>
            </w:tcBorders>
          </w:tcPr>
          <w:p>
            <w:pPr>
              <w:spacing w:after="0"/>
              <w:rPr>
                <w:sz w:val="19"/>
                <w:szCs w:val="19"/>
                <w:color w:val="auto"/>
              </w:rPr>
            </w:pPr>
          </w:p>
        </w:tc>
      </w:tr>
      <w:tr>
        <w:trPr>
          <w:trHeight w:val="242"/>
        </w:trPr>
        <w:tc>
          <w:tcPr>
            <w:tcW w:w="140" w:type="dxa"/>
            <w:vAlign w:val="bottom"/>
          </w:tcPr>
          <w:p>
            <w:pPr>
              <w:spacing w:after="0"/>
              <w:rPr>
                <w:sz w:val="21"/>
                <w:szCs w:val="21"/>
                <w:color w:val="auto"/>
              </w:rPr>
            </w:pPr>
          </w:p>
        </w:tc>
        <w:tc>
          <w:tcPr>
            <w:tcW w:w="4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4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7"/>
                <w:szCs w:val="17"/>
                <w:color w:val="auto"/>
              </w:rPr>
              <w:t>Opening Balance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511</w:t>
            </w:r>
          </w:p>
        </w:tc>
        <w:tc>
          <w:tcPr>
            <w:tcW w:w="2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20" w:type="dxa"/>
            <w:vAlign w:val="bottom"/>
            <w:shd w:val="clear" w:color="auto" w:fill="CCEEFF"/>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Amortization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20" w:type="dxa"/>
            <w:vAlign w:val="bottom"/>
            <w:tcBorders>
              <w:bottom w:val="single" w:sz="8" w:color="auto"/>
            </w:tcBorders>
          </w:tcPr>
          <w:p>
            <w:pPr>
              <w:spacing w:after="0"/>
              <w:rPr>
                <w:sz w:val="19"/>
                <w:szCs w:val="19"/>
                <w:color w:val="auto"/>
              </w:rPr>
            </w:pPr>
          </w:p>
        </w:tc>
      </w:tr>
      <w:tr>
        <w:trPr>
          <w:trHeight w:val="241"/>
        </w:trPr>
        <w:tc>
          <w:tcPr>
            <w:tcW w:w="140" w:type="dxa"/>
            <w:vAlign w:val="bottom"/>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2,065</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988</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1,095</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49"/>
        </w:trPr>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spacing w:after="0"/>
              <w:rPr>
                <w:sz w:val="20"/>
                <w:szCs w:val="20"/>
                <w:color w:val="auto"/>
              </w:rPr>
            </w:pPr>
            <w:r>
              <w:rPr>
                <w:rFonts w:ascii="Arial" w:cs="Arial" w:eastAsia="Arial" w:hAnsi="Arial"/>
                <w:sz w:val="17"/>
                <w:szCs w:val="17"/>
                <w:b w:val="1"/>
                <w:bCs w:val="1"/>
                <w:color w:val="auto"/>
              </w:rPr>
              <w:t>Contract Fulfillment Costs</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9"/>
          </w:tcPr>
          <w:p>
            <w:pPr>
              <w:ind w:left="2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8"/>
                <w:szCs w:val="18"/>
                <w:color w:val="auto"/>
              </w:rPr>
            </w:pPr>
          </w:p>
        </w:tc>
        <w:tc>
          <w:tcPr>
            <w:tcW w:w="2380" w:type="dxa"/>
            <w:vAlign w:val="bottom"/>
            <w:gridSpan w:val="9"/>
          </w:tcPr>
          <w:p>
            <w:pPr>
              <w:ind w:left="280"/>
              <w:spacing w:after="0"/>
              <w:rPr>
                <w:sz w:val="20"/>
                <w:szCs w:val="20"/>
                <w:color w:val="auto"/>
              </w:rPr>
            </w:pPr>
            <w:r>
              <w:rPr>
                <w:rFonts w:ascii="Arial" w:cs="Arial" w:eastAsia="Arial" w:hAnsi="Arial"/>
                <w:sz w:val="17"/>
                <w:szCs w:val="17"/>
                <w:b w:val="1"/>
                <w:bCs w:val="1"/>
                <w:color w:val="auto"/>
              </w:rPr>
              <w:t>Nine months ended</w:t>
            </w:r>
          </w:p>
        </w:tc>
        <w:tc>
          <w:tcPr>
            <w:tcW w:w="140" w:type="dxa"/>
            <w:vAlign w:val="bottom"/>
          </w:tcPr>
          <w:p>
            <w:pPr>
              <w:spacing w:after="0"/>
              <w:rPr>
                <w:sz w:val="18"/>
                <w:szCs w:val="18"/>
                <w:color w:val="auto"/>
              </w:rPr>
            </w:pPr>
          </w:p>
        </w:tc>
        <w:tc>
          <w:tcPr>
            <w:tcW w:w="128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Year ended</w:t>
            </w:r>
          </w:p>
        </w:tc>
        <w:tc>
          <w:tcPr>
            <w:tcW w:w="20" w:type="dxa"/>
            <w:vAlign w:val="bottom"/>
          </w:tcPr>
          <w:p>
            <w:pPr>
              <w:spacing w:after="0"/>
              <w:rPr>
                <w:sz w:val="18"/>
                <w:szCs w:val="18"/>
                <w:color w:val="auto"/>
              </w:rPr>
            </w:pPr>
          </w:p>
        </w:tc>
      </w:tr>
      <w:tr>
        <w:trPr>
          <w:trHeight w:val="164"/>
        </w:trPr>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5"/>
          </w:tcPr>
          <w:p>
            <w:pPr>
              <w:jc w:val="center"/>
              <w:ind w:right="120"/>
              <w:spacing w:after="0" w:line="163" w:lineRule="exact"/>
              <w:rPr>
                <w:sz w:val="20"/>
                <w:szCs w:val="20"/>
                <w:color w:val="auto"/>
              </w:rPr>
            </w:pPr>
            <w:r>
              <w:rPr>
                <w:rFonts w:ascii="Arial" w:cs="Arial" w:eastAsia="Arial" w:hAnsi="Arial"/>
                <w:sz w:val="17"/>
                <w:szCs w:val="17"/>
                <w:b w:val="1"/>
                <w:bCs w:val="1"/>
                <w:color w:val="auto"/>
                <w:w w:val="92"/>
              </w:rPr>
              <w:t>September 30,</w:t>
            </w:r>
          </w:p>
        </w:tc>
        <w:tc>
          <w:tcPr>
            <w:tcW w:w="1220" w:type="dxa"/>
            <w:vAlign w:val="bottom"/>
            <w:tcBorders>
              <w:top w:val="single" w:sz="8" w:color="auto"/>
            </w:tcBorders>
            <w:gridSpan w:val="2"/>
          </w:tcPr>
          <w:p>
            <w:pPr>
              <w:jc w:val="center"/>
              <w:spacing w:after="0" w:line="163" w:lineRule="exact"/>
              <w:rPr>
                <w:sz w:val="20"/>
                <w:szCs w:val="20"/>
                <w:color w:val="auto"/>
              </w:rPr>
            </w:pPr>
            <w:r>
              <w:rPr>
                <w:rFonts w:ascii="Arial" w:cs="Arial" w:eastAsia="Arial" w:hAnsi="Arial"/>
                <w:sz w:val="17"/>
                <w:szCs w:val="17"/>
                <w:b w:val="1"/>
                <w:bCs w:val="1"/>
                <w:color w:val="auto"/>
                <w:w w:val="91"/>
              </w:rPr>
              <w:t>September 30,</w:t>
            </w:r>
          </w:p>
        </w:tc>
        <w:tc>
          <w:tcPr>
            <w:tcW w:w="10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5"/>
          </w:tcPr>
          <w:p>
            <w:pPr>
              <w:jc w:val="center"/>
              <w:ind w:right="140"/>
              <w:spacing w:after="0" w:line="163" w:lineRule="exact"/>
              <w:rPr>
                <w:sz w:val="20"/>
                <w:szCs w:val="20"/>
                <w:color w:val="auto"/>
              </w:rPr>
            </w:pPr>
            <w:r>
              <w:rPr>
                <w:rFonts w:ascii="Arial" w:cs="Arial" w:eastAsia="Arial" w:hAnsi="Arial"/>
                <w:sz w:val="17"/>
                <w:szCs w:val="17"/>
                <w:b w:val="1"/>
                <w:bCs w:val="1"/>
                <w:color w:val="auto"/>
                <w:w w:val="91"/>
              </w:rPr>
              <w:t>September 30,</w:t>
            </w:r>
          </w:p>
        </w:tc>
        <w:tc>
          <w:tcPr>
            <w:tcW w:w="1220" w:type="dxa"/>
            <w:vAlign w:val="bottom"/>
            <w:tcBorders>
              <w:top w:val="single" w:sz="8" w:color="auto"/>
            </w:tcBorders>
            <w:gridSpan w:val="2"/>
          </w:tcPr>
          <w:p>
            <w:pPr>
              <w:jc w:val="center"/>
              <w:spacing w:after="0" w:line="163" w:lineRule="exact"/>
              <w:rPr>
                <w:sz w:val="20"/>
                <w:szCs w:val="20"/>
                <w:color w:val="auto"/>
              </w:rPr>
            </w:pPr>
            <w:r>
              <w:rPr>
                <w:rFonts w:ascii="Arial" w:cs="Arial" w:eastAsia="Arial" w:hAnsi="Arial"/>
                <w:sz w:val="17"/>
                <w:szCs w:val="17"/>
                <w:b w:val="1"/>
                <w:bCs w:val="1"/>
                <w:color w:val="auto"/>
                <w:w w:val="91"/>
              </w:rPr>
              <w:t>September 30,</w:t>
            </w:r>
          </w:p>
        </w:tc>
        <w:tc>
          <w:tcPr>
            <w:tcW w:w="8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3"/>
              <w:spacing w:after="0" w:line="163" w:lineRule="exact"/>
              <w:rPr>
                <w:sz w:val="20"/>
                <w:szCs w:val="20"/>
                <w:color w:val="auto"/>
              </w:rPr>
            </w:pPr>
            <w:r>
              <w:rPr>
                <w:rFonts w:ascii="Arial" w:cs="Arial" w:eastAsia="Arial" w:hAnsi="Arial"/>
                <w:sz w:val="17"/>
                <w:szCs w:val="17"/>
                <w:b w:val="1"/>
                <w:bCs w:val="1"/>
                <w:color w:val="auto"/>
                <w:w w:val="92"/>
              </w:rPr>
              <w:t>December 31,</w:t>
            </w:r>
          </w:p>
        </w:tc>
        <w:tc>
          <w:tcPr>
            <w:tcW w:w="20" w:type="dxa"/>
            <w:vAlign w:val="bottom"/>
          </w:tcPr>
          <w:p>
            <w:pPr>
              <w:spacing w:after="0"/>
              <w:rPr>
                <w:sz w:val="14"/>
                <w:szCs w:val="14"/>
                <w:color w:val="auto"/>
              </w:rPr>
            </w:pPr>
          </w:p>
        </w:tc>
      </w:tr>
      <w:tr>
        <w:trPr>
          <w:trHeight w:val="232"/>
        </w:trPr>
        <w:tc>
          <w:tcPr>
            <w:tcW w:w="14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3"/>
              <w:spacing w:after="0"/>
              <w:rPr>
                <w:sz w:val="20"/>
                <w:szCs w:val="20"/>
                <w:color w:val="auto"/>
              </w:rPr>
            </w:pPr>
            <w:r>
              <w:rPr>
                <w:rFonts w:ascii="Arial" w:cs="Arial" w:eastAsia="Arial" w:hAnsi="Arial"/>
                <w:sz w:val="17"/>
                <w:szCs w:val="17"/>
                <w:b w:val="1"/>
                <w:bCs w:val="1"/>
                <w:color w:val="auto"/>
                <w:w w:val="95"/>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3"/>
              <w:spacing w:after="0"/>
              <w:rPr>
                <w:sz w:val="20"/>
                <w:szCs w:val="20"/>
                <w:color w:val="auto"/>
              </w:rPr>
            </w:pPr>
            <w:r>
              <w:rPr>
                <w:rFonts w:ascii="Arial" w:cs="Arial" w:eastAsia="Arial" w:hAnsi="Arial"/>
                <w:sz w:val="17"/>
                <w:szCs w:val="17"/>
                <w:b w:val="1"/>
                <w:bCs w:val="1"/>
                <w:color w:val="auto"/>
                <w:w w:val="89"/>
              </w:rPr>
              <w:t>2023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33"/>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Pr>
          <w:p>
            <w:pPr>
              <w:spacing w:after="0"/>
              <w:rPr>
                <w:sz w:val="20"/>
                <w:szCs w:val="20"/>
                <w:color w:val="auto"/>
              </w:rPr>
            </w:pPr>
          </w:p>
        </w:tc>
      </w:tr>
      <w:tr>
        <w:trPr>
          <w:trHeight w:val="246"/>
        </w:trPr>
        <w:tc>
          <w:tcPr>
            <w:tcW w:w="140" w:type="dxa"/>
            <w:vAlign w:val="bottom"/>
            <w:shd w:val="clear" w:color="auto" w:fill="CCEEFF"/>
          </w:tcPr>
          <w:p>
            <w:pPr>
              <w:spacing w:after="0"/>
              <w:rPr>
                <w:sz w:val="21"/>
                <w:szCs w:val="21"/>
                <w:color w:val="auto"/>
              </w:rPr>
            </w:pPr>
          </w:p>
        </w:tc>
        <w:tc>
          <w:tcPr>
            <w:tcW w:w="4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360" w:type="dxa"/>
            <w:vAlign w:val="bottom"/>
            <w:gridSpan w:val="3"/>
          </w:tcPr>
          <w:p>
            <w:pPr>
              <w:ind w:left="20"/>
              <w:spacing w:after="0"/>
              <w:rPr>
                <w:sz w:val="20"/>
                <w:szCs w:val="20"/>
                <w:color w:val="auto"/>
              </w:rPr>
            </w:pPr>
            <w:r>
              <w:rPr>
                <w:rFonts w:ascii="Arial" w:cs="Arial" w:eastAsia="Arial" w:hAnsi="Arial"/>
                <w:sz w:val="17"/>
                <w:szCs w:val="17"/>
                <w:color w:val="auto"/>
              </w:rPr>
              <w:t>Opening Balance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21,445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3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5,795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5,795</w:t>
            </w:r>
          </w:p>
        </w:tc>
        <w:tc>
          <w:tcPr>
            <w:tcW w:w="20" w:type="dxa"/>
            <w:vAlign w:val="bottom"/>
          </w:tcPr>
          <w:p>
            <w:pPr>
              <w:spacing w:after="0"/>
              <w:rPr>
                <w:sz w:val="19"/>
                <w:szCs w:val="19"/>
                <w:color w:val="auto"/>
              </w:rPr>
            </w:pPr>
          </w:p>
        </w:tc>
      </w:tr>
      <w:tr>
        <w:trPr>
          <w:trHeight w:val="223"/>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15,509</w:t>
            </w:r>
          </w:p>
        </w:tc>
        <w:tc>
          <w:tcPr>
            <w:tcW w:w="20" w:type="dxa"/>
            <w:vAlign w:val="bottom"/>
          </w:tcPr>
          <w:p>
            <w:pPr>
              <w:spacing w:after="0"/>
              <w:rPr>
                <w:sz w:val="19"/>
                <w:szCs w:val="19"/>
                <w:color w:val="auto"/>
              </w:rPr>
            </w:pPr>
          </w:p>
        </w:tc>
      </w:tr>
      <w:tr>
        <w:trPr>
          <w:trHeight w:val="223"/>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Amortization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(7,433)</w:t>
            </w:r>
          </w:p>
        </w:tc>
        <w:tc>
          <w:tcPr>
            <w:tcW w:w="20" w:type="dxa"/>
            <w:vAlign w:val="bottom"/>
          </w:tcPr>
          <w:p>
            <w:pPr>
              <w:spacing w:after="0"/>
              <w:rPr>
                <w:sz w:val="19"/>
                <w:szCs w:val="19"/>
                <w:color w:val="auto"/>
              </w:rPr>
            </w:pPr>
          </w:p>
        </w:tc>
      </w:tr>
      <w:tr>
        <w:trPr>
          <w:trHeight w:val="236"/>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24,357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24,357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11,961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13,871</w:t>
            </w:r>
          </w:p>
        </w:tc>
        <w:tc>
          <w:tcPr>
            <w:tcW w:w="20" w:type="dxa"/>
            <w:vAlign w:val="bottom"/>
          </w:tcPr>
          <w:p>
            <w:pPr>
              <w:spacing w:after="0"/>
              <w:rPr>
                <w:sz w:val="20"/>
                <w:szCs w:val="20"/>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There was no impairment for contract acquisition and contract fulfillment costs as of September 30, 2023 and December 31, 2022. The capitalized costs are amortized over the expected period of benefit of the contract.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expected credit losses</w:t>
      </w:r>
    </w:p>
    <w:p>
      <w:pPr>
        <w:spacing w:after="0" w:line="243"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6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As of</w:t>
            </w:r>
          </w:p>
        </w:tc>
        <w:tc>
          <w:tcPr>
            <w:tcW w:w="1820" w:type="dxa"/>
            <w:vAlign w:val="bottom"/>
            <w:tcBorders>
              <w:bottom w:val="single" w:sz="8" w:color="auto"/>
            </w:tcBorders>
          </w:tcPr>
          <w:p>
            <w:pPr>
              <w:spacing w:after="0"/>
              <w:rPr>
                <w:sz w:val="19"/>
                <w:szCs w:val="19"/>
                <w:color w:val="auto"/>
              </w:rPr>
            </w:pPr>
          </w:p>
        </w:tc>
      </w:tr>
      <w:tr>
        <w:trPr>
          <w:trHeight w:val="216"/>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2023</w:t>
            </w:r>
          </w:p>
        </w:tc>
        <w:tc>
          <w:tcPr>
            <w:tcW w:w="240" w:type="dxa"/>
            <w:vAlign w:val="bottom"/>
          </w:tcPr>
          <w:p>
            <w:pPr>
              <w:spacing w:after="0"/>
              <w:rPr>
                <w:sz w:val="18"/>
                <w:szCs w:val="18"/>
                <w:color w:val="auto"/>
              </w:rPr>
            </w:pPr>
          </w:p>
        </w:tc>
        <w:tc>
          <w:tcPr>
            <w:tcW w:w="182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December 31, 2022</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 including unbilled receivables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307,074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260,554</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expected credit losses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w:t>
            </w: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Accounts receivable, net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303,378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259,222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movement in “Allowance for expected credit losses” on customer balances was as follows:</w:t>
      </w:r>
    </w:p>
    <w:p>
      <w:pPr>
        <w:spacing w:after="0" w:line="52"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Three months ended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ind w:left="20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6"/>
                <w:szCs w:val="16"/>
                <w:b w:val="1"/>
                <w:bCs w:val="1"/>
                <w:color w:val="auto"/>
                <w:w w:val="95"/>
              </w:rPr>
              <w:t>Year ended</w:t>
            </w: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1140" w:type="dxa"/>
            <w:vAlign w:val="bottom"/>
            <w:tcBorders>
              <w:top w:val="single" w:sz="8" w:color="auto"/>
            </w:tcBorders>
            <w:gridSpan w:val="3"/>
          </w:tcPr>
          <w:p>
            <w:pPr>
              <w:ind w:left="40"/>
              <w:spacing w:after="0" w:line="154" w:lineRule="exact"/>
              <w:rPr>
                <w:sz w:val="20"/>
                <w:szCs w:val="20"/>
                <w:color w:val="auto"/>
              </w:rPr>
            </w:pPr>
            <w:r>
              <w:rPr>
                <w:rFonts w:ascii="Arial" w:cs="Arial" w:eastAsia="Arial" w:hAnsi="Arial"/>
                <w:sz w:val="16"/>
                <w:szCs w:val="16"/>
                <w:b w:val="1"/>
                <w:bCs w:val="1"/>
                <w:color w:val="auto"/>
                <w:w w:val="98"/>
              </w:rPr>
              <w:t>September 30,</w:t>
            </w:r>
          </w:p>
        </w:tc>
        <w:tc>
          <w:tcPr>
            <w:tcW w:w="1040" w:type="dxa"/>
            <w:vAlign w:val="bottom"/>
            <w:tcBorders>
              <w:top w:val="single" w:sz="8" w:color="auto"/>
            </w:tcBorders>
            <w:gridSpan w:val="2"/>
          </w:tcPr>
          <w:p>
            <w:pPr>
              <w:ind w:left="40"/>
              <w:spacing w:after="0" w:line="154" w:lineRule="exact"/>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3"/>
                <w:szCs w:val="13"/>
                <w:color w:val="auto"/>
              </w:rPr>
            </w:pPr>
          </w:p>
        </w:tc>
        <w:tc>
          <w:tcPr>
            <w:tcW w:w="1140" w:type="dxa"/>
            <w:vAlign w:val="bottom"/>
            <w:tcBorders>
              <w:top w:val="single" w:sz="8" w:color="auto"/>
            </w:tcBorders>
            <w:gridSpan w:val="3"/>
          </w:tcPr>
          <w:p>
            <w:pPr>
              <w:ind w:left="40"/>
              <w:spacing w:after="0" w:line="154" w:lineRule="exact"/>
              <w:rPr>
                <w:sz w:val="20"/>
                <w:szCs w:val="20"/>
                <w:color w:val="auto"/>
              </w:rPr>
            </w:pPr>
            <w:r>
              <w:rPr>
                <w:rFonts w:ascii="Arial" w:cs="Arial" w:eastAsia="Arial" w:hAnsi="Arial"/>
                <w:sz w:val="16"/>
                <w:szCs w:val="16"/>
                <w:b w:val="1"/>
                <w:bCs w:val="1"/>
                <w:color w:val="auto"/>
                <w:w w:val="98"/>
              </w:rPr>
              <w:t>September 30,</w:t>
            </w:r>
          </w:p>
        </w:tc>
        <w:tc>
          <w:tcPr>
            <w:tcW w:w="1040" w:type="dxa"/>
            <w:vAlign w:val="bottom"/>
            <w:tcBorders>
              <w:top w:val="single" w:sz="8" w:color="auto"/>
            </w:tcBorders>
            <w:gridSpan w:val="2"/>
          </w:tcPr>
          <w:p>
            <w:pPr>
              <w:ind w:left="40"/>
              <w:spacing w:after="0" w:line="154"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3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w w:val="87"/>
              </w:rPr>
              <w:t>December 31, 2022</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Balance</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7"/>
                <w:szCs w:val="17"/>
                <w:color w:val="auto"/>
              </w:rPr>
              <w:t>Additions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1,964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due to write-off of accounts receivables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Currency translation adjustments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Closing Balance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855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1,332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43"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To reduce credit risk, the Company conducts ongoing credit evaluations of its customers. No customer accounted for more than 10% of accounts receivable, net, as of September 30, 2023 and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43"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restricted stock units and employee stock purchase plans) issued and outstanding at the reporting date, using the treasury stock method. Common stock equivalents that are anti-dilutive are excluded from the computation of weighted average shares outstanding.</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0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5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43,876</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39,095</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144,275</w:t>
            </w:r>
          </w:p>
        </w:tc>
        <w:tc>
          <w:tcPr>
            <w:tcW w:w="8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111,119</w:t>
            </w:r>
          </w:p>
        </w:tc>
        <w:tc>
          <w:tcPr>
            <w:tcW w:w="0" w:type="dxa"/>
            <w:vAlign w:val="bottom"/>
          </w:tcPr>
          <w:p>
            <w:pPr>
              <w:spacing w:after="0"/>
              <w:rPr>
                <w:sz w:val="1"/>
                <w:szCs w:val="1"/>
                <w:color w:val="auto"/>
              </w:rPr>
            </w:pPr>
          </w:p>
        </w:tc>
      </w:tr>
      <w:tr>
        <w:trPr>
          <w:trHeight w:val="213"/>
        </w:trPr>
        <w:tc>
          <w:tcPr>
            <w:tcW w:w="54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Denominators</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340"/>
              <w:spacing w:after="0"/>
              <w:rPr>
                <w:sz w:val="20"/>
                <w:szCs w:val="20"/>
                <w:color w:val="auto"/>
              </w:rPr>
            </w:pPr>
            <w:r>
              <w:rPr>
                <w:rFonts w:ascii="Arial" w:cs="Arial" w:eastAsia="Arial" w:hAnsi="Arial"/>
                <w:sz w:val="16"/>
                <w:szCs w:val="16"/>
                <w:color w:val="auto"/>
              </w:rPr>
              <w:t>Basic weighted average common shares outstanding</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166,159,619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166,189,165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166,707,599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166,801,730</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Dilutive effect of stock-based awards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1,528,755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2,699,580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1,884,013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2,366,455</w:t>
            </w:r>
          </w:p>
        </w:tc>
        <w:tc>
          <w:tcPr>
            <w:tcW w:w="0" w:type="dxa"/>
            <w:vAlign w:val="bottom"/>
          </w:tcPr>
          <w:p>
            <w:pPr>
              <w:spacing w:after="0"/>
              <w:rPr>
                <w:sz w:val="1"/>
                <w:szCs w:val="1"/>
                <w:color w:val="auto"/>
              </w:rPr>
            </w:pPr>
          </w:p>
        </w:tc>
      </w:tr>
      <w:tr>
        <w:trPr>
          <w:trHeight w:val="206"/>
        </w:trPr>
        <w:tc>
          <w:tcPr>
            <w:tcW w:w="5440" w:type="dxa"/>
            <w:vAlign w:val="bottom"/>
          </w:tcPr>
          <w:p>
            <w:pPr>
              <w:ind w:left="340"/>
              <w:spacing w:after="0"/>
              <w:rPr>
                <w:sz w:val="20"/>
                <w:szCs w:val="20"/>
                <w:color w:val="auto"/>
              </w:rPr>
            </w:pPr>
            <w:r>
              <w:rPr>
                <w:rFonts w:ascii="Arial" w:cs="Arial" w:eastAsia="Arial" w:hAnsi="Arial"/>
                <w:sz w:val="16"/>
                <w:szCs w:val="16"/>
                <w:color w:val="auto"/>
              </w:rPr>
              <w:t>Diluted weighted average common shares outstanding</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167,688,374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168,888,745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168,591,612</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169,168,185</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 xml:space="preserve">Earnings per share attributable to ExlService Holdings, Inc. stockholders </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5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0.87</w:t>
            </w:r>
          </w:p>
        </w:tc>
        <w:tc>
          <w:tcPr>
            <w:tcW w:w="8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13"/>
        </w:trPr>
        <w:tc>
          <w:tcPr>
            <w:tcW w:w="5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161"/>
        </w:trPr>
        <w:tc>
          <w:tcPr>
            <w:tcW w:w="5440" w:type="dxa"/>
            <w:vAlign w:val="bottom"/>
          </w:tcPr>
          <w:p>
            <w:pPr>
              <w:ind w:left="20"/>
              <w:spacing w:after="0" w:line="161" w:lineRule="exact"/>
              <w:rPr>
                <w:sz w:val="20"/>
                <w:szCs w:val="20"/>
                <w:color w:val="auto"/>
              </w:rPr>
            </w:pPr>
            <w:r>
              <w:rPr>
                <w:rFonts w:ascii="Arial" w:cs="Arial" w:eastAsia="Arial" w:hAnsi="Arial"/>
                <w:sz w:val="16"/>
                <w:szCs w:val="16"/>
                <w:color w:val="auto"/>
              </w:rPr>
              <w:t>Weighted average potentially dilutive shares considered anti-dilutive and not</w:t>
            </w:r>
          </w:p>
        </w:tc>
        <w:tc>
          <w:tcPr>
            <w:tcW w:w="2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2,899,035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6"/>
                <w:szCs w:val="16"/>
                <w:color w:val="auto"/>
              </w:rPr>
              <w:t>1,564,844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268"/>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included in computing diluted earnings per share </w:t>
            </w:r>
            <w:r>
              <w:rPr>
                <w:rFonts w:ascii="Arial" w:cs="Arial" w:eastAsia="Arial" w:hAnsi="Arial"/>
                <w:sz w:val="20"/>
                <w:szCs w:val="20"/>
                <w:color w:val="auto"/>
                <w:vertAlign w:val="superscript"/>
              </w:rPr>
              <w:t>(1)</w:t>
            </w:r>
          </w:p>
        </w:tc>
        <w:tc>
          <w:tcPr>
            <w:tcW w:w="24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firstLine="5"/>
        <w:spacing w:after="0" w:line="243" w:lineRule="auto"/>
        <w:tabs>
          <w:tab w:leader="none" w:pos="238"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Income, net</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income, net consists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9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4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on investments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center"/>
              <w:ind w:left="456"/>
              <w:spacing w:after="0"/>
              <w:rPr>
                <w:sz w:val="20"/>
                <w:szCs w:val="20"/>
                <w:color w:val="auto"/>
              </w:rPr>
            </w:pPr>
            <w:r>
              <w:rPr>
                <w:rFonts w:ascii="Arial" w:cs="Arial" w:eastAsia="Arial" w:hAnsi="Arial"/>
                <w:sz w:val="17"/>
                <w:szCs w:val="17"/>
                <w:color w:val="auto"/>
                <w:w w:val="89"/>
              </w:rPr>
              <w:t>3,341</w:t>
            </w:r>
          </w:p>
        </w:tc>
      </w:tr>
      <w:tr>
        <w:trPr>
          <w:trHeight w:val="223"/>
        </w:trPr>
        <w:tc>
          <w:tcPr>
            <w:tcW w:w="520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left="456"/>
              <w:spacing w:after="0"/>
              <w:rPr>
                <w:sz w:val="20"/>
                <w:szCs w:val="20"/>
                <w:color w:val="auto"/>
              </w:rPr>
            </w:pPr>
            <w:r>
              <w:rPr>
                <w:rFonts w:ascii="Arial" w:cs="Arial" w:eastAsia="Arial" w:hAnsi="Arial"/>
                <w:sz w:val="17"/>
                <w:szCs w:val="17"/>
                <w:color w:val="auto"/>
                <w:w w:val="89"/>
              </w:rPr>
              <w:t>3,674</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 of contingent consideration*</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6"/>
              </w:rPr>
              <w:t>(1,000)</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 net</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color w:val="auto"/>
                <w:w w:val="96"/>
              </w:rPr>
              <w:t>(1,517)</w:t>
            </w: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7"/>
                <w:szCs w:val="17"/>
                <w:color w:val="auto"/>
                <w:w w:val="89"/>
              </w:rPr>
              <w:t>4,498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Refer to Note 16 - Fair Value Measurements to the unaudited consolidated financial statements for further details.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Cash, Cash Equivalents and Restricted Cash</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the purposes of unaudited statements of cash flows, cash, cash equivalents and restricted cash consist of the following: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4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9"/>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5"/>
                <w:szCs w:val="15"/>
                <w:color w:val="auto"/>
              </w:rPr>
            </w:pPr>
          </w:p>
        </w:tc>
        <w:tc>
          <w:tcPr>
            <w:tcW w:w="156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December 31, 2022</w:t>
            </w:r>
          </w:p>
        </w:tc>
      </w:tr>
      <w:tr>
        <w:trPr>
          <w:trHeight w:val="24"/>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118,669</w:t>
            </w:r>
          </w:p>
        </w:tc>
      </w:tr>
      <w:tr>
        <w:trPr>
          <w:trHeight w:val="223"/>
        </w:trPr>
        <w:tc>
          <w:tcPr>
            <w:tcW w:w="5640" w:type="dxa"/>
            <w:vAlign w:val="bottom"/>
          </w:tcPr>
          <w:p>
            <w:pPr>
              <w:spacing w:after="0"/>
              <w:rPr>
                <w:sz w:val="20"/>
                <w:szCs w:val="20"/>
                <w:color w:val="auto"/>
              </w:rPr>
            </w:pPr>
            <w:r>
              <w:rPr>
                <w:rFonts w:ascii="Arial" w:cs="Arial" w:eastAsia="Arial" w:hAnsi="Arial"/>
                <w:sz w:val="17"/>
                <w:szCs w:val="17"/>
                <w:color w:val="auto"/>
              </w:rPr>
              <w:t>Restricted cash (current)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4,897</w:t>
            </w: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(non-current)</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2,055</w:t>
            </w:r>
          </w:p>
        </w:tc>
      </w:tr>
      <w:tr>
        <w:trPr>
          <w:trHeight w:val="216"/>
        </w:trPr>
        <w:tc>
          <w:tcPr>
            <w:tcW w:w="5640" w:type="dxa"/>
            <w:vAlign w:val="bottom"/>
          </w:tcPr>
          <w:p>
            <w:pPr>
              <w:spacing w:after="0"/>
              <w:rPr>
                <w:sz w:val="20"/>
                <w:szCs w:val="20"/>
                <w:color w:val="auto"/>
              </w:rPr>
            </w:pPr>
            <w:r>
              <w:rPr>
                <w:rFonts w:ascii="Arial" w:cs="Arial" w:eastAsia="Arial" w:hAnsi="Arial"/>
                <w:sz w:val="17"/>
                <w:szCs w:val="17"/>
                <w:color w:val="auto"/>
              </w:rPr>
              <w:t>Cash, cash equivalents and restricted cash</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125,621</w:t>
            </w: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Restricted cash (current) primarily represents funds held on behalf of clients in dedicated bank accounts. The corresponding liability against the same is included under “Accrued Expenses and other current liabilities.” Restricted cash (non-current) represents amounts on deposit with banks against bank guarantees issued through banks in favor of relevant statutory authorities for equipment imports, deposits for obtaining indirect tax registrations and for demands against pending income tax assessments. These deposits with banks will mature one year after the balance sheet date.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Investments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Investments consist of the following:</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183"/>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158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4"/>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Short-term investments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20"/>
              <w:spacing w:after="0"/>
              <w:rPr>
                <w:sz w:val="20"/>
                <w:szCs w:val="20"/>
                <w:color w:val="auto"/>
              </w:rPr>
            </w:pPr>
            <w:r>
              <w:rPr>
                <w:rFonts w:ascii="Arial" w:cs="Arial" w:eastAsia="Arial" w:hAnsi="Arial"/>
                <w:sz w:val="17"/>
                <w:szCs w:val="17"/>
                <w:color w:val="auto"/>
              </w:rPr>
              <w:t>Mutual funds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76,476</w:t>
            </w:r>
          </w:p>
        </w:tc>
        <w:tc>
          <w:tcPr>
            <w:tcW w:w="8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110,964</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Term deposits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68,063</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7"/>
                <w:szCs w:val="17"/>
                <w:b w:val="1"/>
                <w:bCs w:val="1"/>
                <w:color w:val="auto"/>
              </w:rPr>
              <w:t>Total Short-term investments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151,581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179,027</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Long-term investments</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Term deposits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Investment in equity affiliate</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3,438</w:t>
            </w:r>
          </w:p>
        </w:tc>
        <w:tc>
          <w:tcPr>
            <w:tcW w:w="0" w:type="dxa"/>
            <w:vAlign w:val="bottom"/>
          </w:tcPr>
          <w:p>
            <w:pPr>
              <w:spacing w:after="0"/>
              <w:rPr>
                <w:sz w:val="1"/>
                <w:szCs w:val="1"/>
                <w:color w:val="auto"/>
              </w:rPr>
            </w:pPr>
          </w:p>
        </w:tc>
      </w:tr>
      <w:tr>
        <w:trPr>
          <w:trHeight w:val="241"/>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Long-term investments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5,273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34,779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Refer to Note 16 - Fair Value Measurements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Property and Equipment</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consists of the following:</w:t>
      </w: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5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As of</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1820" w:type="dxa"/>
            <w:vAlign w:val="bottom"/>
            <w:gridSpan w:val="2"/>
            <w:vMerge w:val="restart"/>
          </w:tcPr>
          <w:p>
            <w:pPr>
              <w:jc w:val="center"/>
              <w:ind w:right="120"/>
              <w:spacing w:after="0" w:line="155" w:lineRule="exact"/>
              <w:rPr>
                <w:sz w:val="20"/>
                <w:szCs w:val="20"/>
                <w:color w:val="auto"/>
              </w:rPr>
            </w:pPr>
            <w:r>
              <w:rPr>
                <w:rFonts w:ascii="Arial" w:cs="Arial" w:eastAsia="Arial" w:hAnsi="Arial"/>
                <w:sz w:val="14"/>
                <w:szCs w:val="14"/>
                <w:b w:val="1"/>
                <w:bCs w:val="1"/>
                <w:color w:val="auto"/>
                <w:w w:val="88"/>
              </w:rPr>
              <w:t>Estimated useful lives</w:t>
            </w: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558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9"/>
                <w:szCs w:val="9"/>
                <w:color w:val="auto"/>
              </w:rPr>
            </w:pPr>
          </w:p>
        </w:tc>
        <w:tc>
          <w:tcPr>
            <w:tcW w:w="15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(Years)</w:t>
            </w:r>
          </w:p>
        </w:tc>
        <w:tc>
          <w:tcPr>
            <w:tcW w:w="2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Owned Assets:</w:t>
            </w: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7"/>
                <w:szCs w:val="17"/>
                <w:color w:val="auto"/>
              </w:rPr>
              <w:t>Network equipment and computers</w:t>
            </w: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3-5</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143,357</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130,218</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88,487</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39,470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42,890</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7"/>
                <w:szCs w:val="17"/>
                <w:color w:val="auto"/>
              </w:rPr>
              <w:t>Motor vehicles</w:t>
            </w: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7"/>
                <w:szCs w:val="17"/>
                <w:color w:val="auto"/>
              </w:rPr>
              <w:t>Land</w:t>
            </w:r>
          </w:p>
        </w:tc>
        <w:tc>
          <w:tcPr>
            <w:tcW w:w="182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Capital work in progress</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14,459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319,834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298,460</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(223,760)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(216,132)</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82,328</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Right-of-use assets under finance leases: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7"/>
                <w:szCs w:val="17"/>
                <w:color w:val="auto"/>
              </w:rPr>
              <w:t>Network equipment and computers</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662</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Motor vehicles</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1,985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2,499</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82,828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Capital work in progress represents advances paid towards acquisition of property and equipment and costs incurred on internally developed software not yet ready for its intended use.</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During the three and nine months ended September 30, 2023, there were no material changes in estimated useful lives of property and equipment during the ordinary course of operations.</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The depreciation and amortization expense, excluding amortization of acquisition-related intangibles, recognized in the unaudited consolidated statements of income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40" w:type="dxa"/>
            <w:vAlign w:val="bottom"/>
          </w:tcPr>
          <w:p>
            <w:pPr>
              <w:spacing w:after="0"/>
              <w:rPr>
                <w:sz w:val="15"/>
                <w:szCs w:val="15"/>
                <w:color w:val="auto"/>
              </w:rPr>
            </w:pPr>
          </w:p>
        </w:tc>
        <w:tc>
          <w:tcPr>
            <w:tcW w:w="28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48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8,426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10,137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29,182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effect of foreign exchange loss upon settlement of cash flow hedges recorded under depreciation and amortization expense,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00" w:type="dxa"/>
            <w:vAlign w:val="bottom"/>
          </w:tcPr>
          <w:p>
            <w:pPr>
              <w:spacing w:after="0"/>
              <w:rPr>
                <w:sz w:val="15"/>
                <w:szCs w:val="15"/>
                <w:color w:val="auto"/>
              </w:rPr>
            </w:pPr>
          </w:p>
        </w:tc>
        <w:tc>
          <w:tcPr>
            <w:tcW w:w="29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50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foreign exchange loss</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Internally developed software costs, included under Software, was as follows:</w:t>
      </w:r>
    </w:p>
    <w:p>
      <w:pPr>
        <w:spacing w:after="0" w:line="44"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As of</w:t>
            </w:r>
          </w:p>
        </w:tc>
        <w:tc>
          <w:tcPr>
            <w:tcW w:w="1840" w:type="dxa"/>
            <w:vAlign w:val="bottom"/>
          </w:tcPr>
          <w:p>
            <w:pPr>
              <w:spacing w:after="0"/>
              <w:rPr>
                <w:sz w:val="15"/>
                <w:szCs w:val="15"/>
                <w:color w:val="auto"/>
              </w:rPr>
            </w:pPr>
          </w:p>
        </w:tc>
      </w:tr>
      <w:tr>
        <w:trPr>
          <w:trHeight w:val="24"/>
        </w:trPr>
        <w:tc>
          <w:tcPr>
            <w:tcW w:w="6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3"/>
        </w:trPr>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1840" w:type="dxa"/>
            <w:vAlign w:val="bottom"/>
          </w:tcPr>
          <w:p>
            <w:pPr>
              <w:ind w:left="20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center"/>
              <w:ind w:left="1140"/>
              <w:spacing w:after="0"/>
              <w:rPr>
                <w:sz w:val="20"/>
                <w:szCs w:val="20"/>
                <w:color w:val="auto"/>
              </w:rPr>
            </w:pPr>
            <w:r>
              <w:rPr>
                <w:rFonts w:ascii="Arial" w:cs="Arial" w:eastAsia="Arial" w:hAnsi="Arial"/>
                <w:sz w:val="17"/>
                <w:szCs w:val="17"/>
                <w:color w:val="auto"/>
                <w:w w:val="92"/>
              </w:rPr>
              <w:t>42,585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shd w:val="clear" w:color="auto" w:fill="CCEEFF"/>
          </w:tcPr>
          <w:p>
            <w:pPr>
              <w:jc w:val="center"/>
              <w:ind w:left="1117"/>
              <w:spacing w:after="0"/>
              <w:rPr>
                <w:sz w:val="20"/>
                <w:szCs w:val="20"/>
                <w:color w:val="auto"/>
              </w:rPr>
            </w:pPr>
            <w:r>
              <w:rPr>
                <w:rFonts w:ascii="Arial" w:cs="Arial" w:eastAsia="Arial" w:hAnsi="Arial"/>
                <w:sz w:val="17"/>
                <w:szCs w:val="17"/>
                <w:color w:val="auto"/>
                <w:w w:val="92"/>
              </w:rPr>
              <w:t>31,544</w:t>
            </w:r>
          </w:p>
        </w:tc>
      </w:tr>
      <w:tr>
        <w:trPr>
          <w:trHeight w:val="223"/>
        </w:trPr>
        <w:tc>
          <w:tcPr>
            <w:tcW w:w="63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 Accumulated amortization</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1100"/>
              <w:spacing w:after="0"/>
              <w:rPr>
                <w:sz w:val="20"/>
                <w:szCs w:val="20"/>
                <w:color w:val="auto"/>
              </w:rPr>
            </w:pPr>
            <w:r>
              <w:rPr>
                <w:rFonts w:ascii="Arial" w:cs="Arial" w:eastAsia="Arial" w:hAnsi="Arial"/>
                <w:sz w:val="17"/>
                <w:szCs w:val="17"/>
                <w:color w:val="auto"/>
                <w:w w:val="94"/>
              </w:rPr>
              <w:t>(22,843)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117"/>
              <w:spacing w:after="0"/>
              <w:rPr>
                <w:sz w:val="20"/>
                <w:szCs w:val="20"/>
                <w:color w:val="auto"/>
              </w:rPr>
            </w:pPr>
            <w:r>
              <w:rPr>
                <w:rFonts w:ascii="Arial" w:cs="Arial" w:eastAsia="Arial" w:hAnsi="Arial"/>
                <w:sz w:val="17"/>
                <w:szCs w:val="17"/>
                <w:color w:val="auto"/>
                <w:w w:val="94"/>
              </w:rPr>
              <w:t>(16,134)</w:t>
            </w:r>
          </w:p>
        </w:tc>
      </w:tr>
      <w:tr>
        <w:trPr>
          <w:trHeight w:val="241"/>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Internally developed software,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center"/>
              <w:ind w:left="1140"/>
              <w:spacing w:after="0"/>
              <w:rPr>
                <w:sz w:val="20"/>
                <w:szCs w:val="20"/>
                <w:color w:val="auto"/>
              </w:rPr>
            </w:pPr>
            <w:r>
              <w:rPr>
                <w:rFonts w:ascii="Arial" w:cs="Arial" w:eastAsia="Arial" w:hAnsi="Arial"/>
                <w:sz w:val="17"/>
                <w:szCs w:val="17"/>
                <w:color w:val="auto"/>
                <w:w w:val="92"/>
              </w:rPr>
              <w:t>19,742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center"/>
              <w:ind w:left="1117"/>
              <w:spacing w:after="0"/>
              <w:rPr>
                <w:sz w:val="20"/>
                <w:szCs w:val="20"/>
                <w:color w:val="auto"/>
              </w:rPr>
            </w:pPr>
            <w:r>
              <w:rPr>
                <w:rFonts w:ascii="Arial" w:cs="Arial" w:eastAsia="Arial" w:hAnsi="Arial"/>
                <w:sz w:val="17"/>
                <w:szCs w:val="17"/>
                <w:color w:val="auto"/>
                <w:w w:val="92"/>
              </w:rPr>
              <w:t>15,410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122"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4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6,711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4,414</w:t>
            </w:r>
          </w:p>
        </w:tc>
      </w:tr>
    </w:tbl>
    <w:p>
      <w:pPr>
        <w:spacing w:after="0" w:line="302"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As of September 30, 2023 and December 31, 2022, the Company believes no impairment exists because the long-lived asset's future undiscounted net cash flows expected to be generated exceeds its carrying value; however, there can be no assurance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the asset’s residual value, if any. It is reasonably possible that the judgments and estimates described above could change in future periods.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details of changes in goodwill by reportable segment of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Healthcare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Emerging</w:t>
            </w:r>
          </w:p>
        </w:tc>
        <w:tc>
          <w:tcPr>
            <w:tcW w:w="16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16"/>
                <w:szCs w:val="16"/>
                <w:color w:val="auto"/>
              </w:rPr>
            </w:pPr>
          </w:p>
        </w:tc>
        <w:tc>
          <w:tcPr>
            <w:tcW w:w="86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1"/>
              </w:rPr>
              <w:t>Business</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286,732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405,637</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286,731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405,579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393"/>
        <w:spacing w:after="0" w:line="263" w:lineRule="auto"/>
        <w:rPr>
          <w:sz w:val="20"/>
          <w:szCs w:val="20"/>
          <w:color w:val="auto"/>
        </w:rPr>
      </w:pPr>
      <w:r>
        <w:rPr>
          <w:rFonts w:ascii="Arial" w:cs="Arial" w:eastAsia="Arial" w:hAnsi="Arial"/>
          <w:sz w:val="16"/>
          <w:szCs w:val="16"/>
          <w:color w:val="auto"/>
        </w:rPr>
        <w:t>As of September 30, 2023, the Company performed an assessment to determine whether events or circumstances exist that may lead to a determination that it is more likely than not that the fair value of a reporting unit is less than its carrying amount. The Company considered current and forecasted economic and market conditions and qualitative factors, such as the Company’s performance during nine months of the current fiscal year, business forecasts for the remainder of the year, stock price movements, generation and availability of cash and expansion plans. The Company reviewed key assumptions, including revisions of projected future revenues for reporting units against the results of the annual impairment test performed during the fourth quarter of 2022. The Company did not identify any triggers or indications of potential impairment for its reporting units as of September 30, 2023.</w:t>
      </w:r>
    </w:p>
    <w:p>
      <w:pPr>
        <w:spacing w:after="0" w:line="193"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Information regarding the Company’s intangible assets is set forth below: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ind w:left="1380"/>
              <w:spacing w:after="0"/>
              <w:rPr>
                <w:sz w:val="20"/>
                <w:szCs w:val="20"/>
                <w:color w:val="auto"/>
              </w:rPr>
            </w:pPr>
            <w:r>
              <w:rPr>
                <w:rFonts w:ascii="Arial" w:cs="Arial" w:eastAsia="Arial" w:hAnsi="Arial"/>
                <w:sz w:val="16"/>
                <w:szCs w:val="16"/>
                <w:b w:val="1"/>
                <w:bCs w:val="1"/>
                <w:color w:val="auto"/>
                <w:w w:val="88"/>
              </w:rPr>
              <w:t>As of September 30, 2023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54"/>
        </w:trPr>
        <w:tc>
          <w:tcPr>
            <w:tcW w:w="6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140"/>
              <w:spacing w:after="0" w:line="154" w:lineRule="exact"/>
              <w:rPr>
                <w:sz w:val="20"/>
                <w:szCs w:val="20"/>
                <w:color w:val="auto"/>
              </w:rPr>
            </w:pPr>
            <w:r>
              <w:rPr>
                <w:rFonts w:ascii="Arial" w:cs="Arial" w:eastAsia="Arial" w:hAnsi="Arial"/>
                <w:sz w:val="16"/>
                <w:szCs w:val="16"/>
                <w:b w:val="1"/>
                <w:bCs w:val="1"/>
                <w:color w:val="auto"/>
                <w:w w:val="86"/>
              </w:rPr>
              <w:t>Gross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right="260"/>
              <w:spacing w:after="0" w:line="154" w:lineRule="exact"/>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35"/>
              <w:spacing w:after="0" w:line="154" w:lineRule="exact"/>
              <w:rPr>
                <w:sz w:val="20"/>
                <w:szCs w:val="20"/>
                <w:color w:val="auto"/>
              </w:rPr>
            </w:pPr>
            <w:r>
              <w:rPr>
                <w:rFonts w:ascii="Arial" w:cs="Arial" w:eastAsia="Arial" w:hAnsi="Arial"/>
                <w:sz w:val="16"/>
                <w:szCs w:val="16"/>
                <w:b w:val="1"/>
                <w:bCs w:val="1"/>
                <w:color w:val="auto"/>
                <w:w w:val="93"/>
              </w:rPr>
              <w:t>Net Carrying</w:t>
            </w:r>
          </w:p>
        </w:tc>
      </w:tr>
      <w:tr>
        <w:trPr>
          <w:trHeight w:val="207"/>
        </w:trPr>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Carrying Amount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6"/>
                <w:szCs w:val="16"/>
                <w:b w:val="1"/>
                <w:bCs w:val="1"/>
                <w:color w:val="auto"/>
                <w:w w:val="92"/>
              </w:rPr>
              <w:t>Amount</w:t>
            </w:r>
          </w:p>
        </w:tc>
      </w:tr>
      <w:tr>
        <w:trPr>
          <w:trHeight w:val="20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99,146</w:t>
            </w:r>
          </w:p>
        </w:tc>
        <w:tc>
          <w:tcPr>
            <w:tcW w:w="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(48,313)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50,833</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w:t>
            </w:r>
          </w:p>
        </w:tc>
      </w:tr>
      <w:tr>
        <w:trPr>
          <w:trHeight w:val="223"/>
        </w:trPr>
        <w:tc>
          <w:tcPr>
            <w:tcW w:w="6420" w:type="dxa"/>
            <w:vAlign w:val="bottom"/>
          </w:tcPr>
          <w:p>
            <w:pPr>
              <w:ind w:left="20"/>
              <w:spacing w:after="0"/>
              <w:rPr>
                <w:sz w:val="20"/>
                <w:szCs w:val="20"/>
                <w:color w:val="auto"/>
              </w:rPr>
            </w:pPr>
            <w:r>
              <w:rPr>
                <w:rFonts w:ascii="Arial" w:cs="Arial" w:eastAsia="Arial" w:hAnsi="Arial"/>
                <w:sz w:val="17"/>
                <w:szCs w:val="17"/>
                <w:color w:val="auto"/>
              </w:rPr>
              <w:t>Trade names and trademarks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16"/>
        </w:trPr>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104,672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(52,257)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52,415</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Indefinite-lived intangible assets: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 names and trademarks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r>
      <w:tr>
        <w:trPr>
          <w:trHeight w:val="23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105,572</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(52,257)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53,315</w:t>
            </w:r>
          </w:p>
        </w:tc>
      </w:tr>
      <w:tr>
        <w:trPr>
          <w:trHeight w:val="20"/>
        </w:trPr>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89"/>
        </w:trPr>
        <w:tc>
          <w:tcPr>
            <w:tcW w:w="6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ind w:left="1360"/>
              <w:spacing w:after="0"/>
              <w:rPr>
                <w:sz w:val="20"/>
                <w:szCs w:val="20"/>
                <w:color w:val="auto"/>
              </w:rPr>
            </w:pPr>
            <w:r>
              <w:rPr>
                <w:rFonts w:ascii="Arial" w:cs="Arial" w:eastAsia="Arial" w:hAnsi="Arial"/>
                <w:sz w:val="16"/>
                <w:szCs w:val="16"/>
                <w:b w:val="1"/>
                <w:bCs w:val="1"/>
                <w:color w:val="auto"/>
                <w:w w:val="92"/>
              </w:rPr>
              <w:t>As of December 31, 2022</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4"/>
        </w:trPr>
        <w:tc>
          <w:tcPr>
            <w:tcW w:w="6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4" w:lineRule="exact"/>
              <w:rPr>
                <w:sz w:val="20"/>
                <w:szCs w:val="20"/>
                <w:color w:val="auto"/>
              </w:rPr>
            </w:pPr>
            <w:r>
              <w:rPr>
                <w:rFonts w:ascii="Arial" w:cs="Arial" w:eastAsia="Arial" w:hAnsi="Arial"/>
                <w:sz w:val="16"/>
                <w:szCs w:val="16"/>
                <w:b w:val="1"/>
                <w:bCs w:val="1"/>
                <w:color w:val="auto"/>
                <w:w w:val="86"/>
              </w:rPr>
              <w:t>Gross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right="300"/>
              <w:spacing w:after="0" w:line="154" w:lineRule="exact"/>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95"/>
              <w:spacing w:after="0" w:line="154" w:lineRule="exact"/>
              <w:rPr>
                <w:sz w:val="20"/>
                <w:szCs w:val="20"/>
                <w:color w:val="auto"/>
              </w:rPr>
            </w:pPr>
            <w:r>
              <w:rPr>
                <w:rFonts w:ascii="Arial" w:cs="Arial" w:eastAsia="Arial" w:hAnsi="Arial"/>
                <w:sz w:val="16"/>
                <w:szCs w:val="16"/>
                <w:b w:val="1"/>
                <w:bCs w:val="1"/>
                <w:color w:val="auto"/>
                <w:w w:val="93"/>
              </w:rPr>
              <w:t>Net Carrying</w:t>
            </w:r>
          </w:p>
        </w:tc>
      </w:tr>
      <w:tr>
        <w:trPr>
          <w:trHeight w:val="207"/>
        </w:trPr>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Carrying Amount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Amount</w:t>
            </w:r>
          </w:p>
        </w:tc>
      </w:tr>
      <w:tr>
        <w:trPr>
          <w:trHeight w:val="20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gridSpan w:val="2"/>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99,146</w:t>
            </w:r>
          </w:p>
        </w:tc>
        <w:tc>
          <w:tcPr>
            <w:tcW w:w="80" w:type="dxa"/>
            <w:vAlign w:val="bottom"/>
          </w:tcPr>
          <w:p>
            <w:pPr>
              <w:spacing w:after="0"/>
              <w:rPr>
                <w:sz w:val="19"/>
                <w:szCs w:val="19"/>
                <w:color w:val="auto"/>
              </w:rPr>
            </w:pPr>
          </w:p>
        </w:tc>
        <w:tc>
          <w:tcPr>
            <w:tcW w:w="260" w:type="dxa"/>
            <w:vAlign w:val="bottom"/>
            <w:gridSpan w:val="3"/>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(39,848)</w:t>
            </w: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59,298</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(20,902)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w:t>
            </w:r>
          </w:p>
        </w:tc>
      </w:tr>
      <w:tr>
        <w:trPr>
          <w:trHeight w:val="223"/>
        </w:trPr>
        <w:tc>
          <w:tcPr>
            <w:tcW w:w="6420" w:type="dxa"/>
            <w:vAlign w:val="bottom"/>
          </w:tcPr>
          <w:p>
            <w:pPr>
              <w:ind w:left="20"/>
              <w:spacing w:after="0"/>
              <w:rPr>
                <w:sz w:val="20"/>
                <w:szCs w:val="20"/>
                <w:color w:val="auto"/>
              </w:rPr>
            </w:pPr>
            <w:r>
              <w:rPr>
                <w:rFonts w:ascii="Arial" w:cs="Arial" w:eastAsia="Arial" w:hAnsi="Arial"/>
                <w:sz w:val="17"/>
                <w:szCs w:val="17"/>
                <w:color w:val="auto"/>
              </w:rPr>
              <w:t>Trade names and trademarks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(1,303)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16"/>
        </w:trPr>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126,060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(62,141)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63,919</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Indefinite-lived intangible assets: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 names and trademarks</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0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r>
      <w:tr>
        <w:trPr>
          <w:trHeight w:val="236"/>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2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126,960</w:t>
            </w:r>
          </w:p>
        </w:tc>
        <w:tc>
          <w:tcPr>
            <w:tcW w:w="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(62,141)</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64,819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amortization expense recognized in the unaudited consolidated statements of income was as follows:</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6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3"/>
        </w:trPr>
        <w:tc>
          <w:tcPr>
            <w:tcW w:w="620" w:type="dxa"/>
            <w:vAlign w:val="bottom"/>
            <w:tcBorders>
              <w:bottom w:val="single" w:sz="8" w:color="CCEEFF"/>
            </w:tcBorders>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r>
      <w:tr>
        <w:trPr>
          <w:trHeight w:val="248"/>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12,875</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654"/>
        </w:trPr>
        <w:tc>
          <w:tcPr>
            <w:tcW w:w="620" w:type="dxa"/>
            <w:vAlign w:val="bottom"/>
          </w:tcPr>
          <w:p>
            <w:pPr>
              <w:spacing w:after="0"/>
              <w:rPr>
                <w:sz w:val="24"/>
                <w:szCs w:val="24"/>
                <w:color w:val="auto"/>
              </w:rPr>
            </w:pPr>
          </w:p>
        </w:tc>
        <w:tc>
          <w:tcPr>
            <w:tcW w:w="8920" w:type="dxa"/>
            <w:vAlign w:val="bottom"/>
            <w:gridSpan w:val="11"/>
          </w:tcPr>
          <w:p>
            <w:pPr>
              <w:ind w:left="20"/>
              <w:spacing w:after="0"/>
              <w:rPr>
                <w:sz w:val="20"/>
                <w:szCs w:val="20"/>
                <w:color w:val="auto"/>
              </w:rPr>
            </w:pPr>
            <w:r>
              <w:rPr>
                <w:rFonts w:ascii="Arial" w:cs="Arial" w:eastAsia="Arial" w:hAnsi="Arial"/>
                <w:sz w:val="17"/>
                <w:szCs w:val="17"/>
                <w:color w:val="auto"/>
                <w:w w:val="98"/>
              </w:rPr>
              <w:t>Estimated future amortization expense related to finite-lived intangible assets as of September 30, 2023 was as follows: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 (October 1 - December 31)</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3,147</w:t>
            </w:r>
          </w:p>
        </w:tc>
        <w:tc>
          <w:tcPr>
            <w:tcW w:w="620" w:type="dxa"/>
            <w:vAlign w:val="bottom"/>
          </w:tcPr>
          <w:p>
            <w:pPr>
              <w:spacing w:after="0"/>
              <w:rPr>
                <w:sz w:val="19"/>
                <w:szCs w:val="19"/>
                <w:color w:val="auto"/>
              </w:rPr>
            </w:pPr>
          </w:p>
        </w:tc>
      </w:tr>
      <w:tr>
        <w:trPr>
          <w:trHeight w:val="223"/>
        </w:trPr>
        <w:tc>
          <w:tcPr>
            <w:tcW w:w="4460" w:type="dxa"/>
            <w:vAlign w:val="bottom"/>
            <w:gridSpan w:val="2"/>
          </w:tcPr>
          <w:p>
            <w:pPr>
              <w:ind w:left="640"/>
              <w:spacing w:after="0"/>
              <w:rPr>
                <w:sz w:val="20"/>
                <w:szCs w:val="20"/>
                <w:color w:val="auto"/>
              </w:rPr>
            </w:pPr>
            <w:r>
              <w:rPr>
                <w:rFonts w:ascii="Arial" w:cs="Arial" w:eastAsia="Arial" w:hAnsi="Arial"/>
                <w:sz w:val="17"/>
                <w:szCs w:val="17"/>
                <w:color w:val="auto"/>
              </w:rPr>
              <w:t>2024</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12,135</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10,699</w:t>
            </w:r>
          </w:p>
        </w:tc>
        <w:tc>
          <w:tcPr>
            <w:tcW w:w="620" w:type="dxa"/>
            <w:vAlign w:val="bottom"/>
          </w:tcPr>
          <w:p>
            <w:pPr>
              <w:spacing w:after="0"/>
              <w:rPr>
                <w:sz w:val="19"/>
                <w:szCs w:val="19"/>
                <w:color w:val="auto"/>
              </w:rPr>
            </w:pPr>
          </w:p>
        </w:tc>
      </w:tr>
      <w:tr>
        <w:trPr>
          <w:trHeight w:val="223"/>
        </w:trPr>
        <w:tc>
          <w:tcPr>
            <w:tcW w:w="4460" w:type="dxa"/>
            <w:vAlign w:val="bottom"/>
            <w:gridSpan w:val="2"/>
          </w:tcPr>
          <w:p>
            <w:pPr>
              <w:ind w:left="640"/>
              <w:spacing w:after="0"/>
              <w:rPr>
                <w:sz w:val="20"/>
                <w:szCs w:val="20"/>
                <w:color w:val="auto"/>
              </w:rPr>
            </w:pPr>
            <w:r>
              <w:rPr>
                <w:rFonts w:ascii="Arial" w:cs="Arial" w:eastAsia="Arial" w:hAnsi="Arial"/>
                <w:sz w:val="17"/>
                <w:szCs w:val="17"/>
                <w:color w:val="auto"/>
              </w:rPr>
              <w:t>2026</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10,363</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9,364</w:t>
            </w:r>
          </w:p>
        </w:tc>
        <w:tc>
          <w:tcPr>
            <w:tcW w:w="62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2028 and thereafter</w:t>
            </w:r>
          </w:p>
        </w:tc>
        <w:tc>
          <w:tcPr>
            <w:tcW w:w="10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6,707</w:t>
            </w:r>
          </w:p>
        </w:tc>
        <w:tc>
          <w:tcPr>
            <w:tcW w:w="620" w:type="dxa"/>
            <w:vAlign w:val="bottom"/>
          </w:tcPr>
          <w:p>
            <w:pPr>
              <w:spacing w:after="0"/>
              <w:rPr>
                <w:sz w:val="19"/>
                <w:szCs w:val="19"/>
                <w:color w:val="auto"/>
              </w:rPr>
            </w:pPr>
          </w:p>
        </w:tc>
      </w:tr>
      <w:tr>
        <w:trPr>
          <w:trHeight w:val="236"/>
        </w:trPr>
        <w:tc>
          <w:tcPr>
            <w:tcW w:w="62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52,415</w:t>
            </w:r>
          </w:p>
        </w:tc>
        <w:tc>
          <w:tcPr>
            <w:tcW w:w="6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Other Current Assets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current assets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6"/>
              </w:rPr>
              <w:t>September 30, 2023</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8"/>
              </w:rPr>
              <w:t>December 31, 2022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Advance income tax, net</w:t>
            </w:r>
          </w:p>
        </w:tc>
        <w:tc>
          <w:tcPr>
            <w:tcW w:w="19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26,630</w:t>
            </w:r>
          </w:p>
        </w:tc>
        <w:tc>
          <w:tcPr>
            <w:tcW w:w="400" w:type="dxa"/>
            <w:vAlign w:val="bottom"/>
            <w:gridSpan w:val="5"/>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7"/>
                <w:szCs w:val="17"/>
                <w:color w:val="auto"/>
              </w:rPr>
              <w:t>Receivables from statutory authorities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15,996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15,724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15,066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18,132</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7"/>
                <w:szCs w:val="17"/>
                <w:color w:val="auto"/>
              </w:rPr>
              <w:t>Deferred contract fulfillment costs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3,091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1,178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Derivative instruments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7"/>
                <w:szCs w:val="17"/>
                <w:color w:val="auto"/>
              </w:rPr>
              <w:t>Contract assets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2,286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904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Advances to suppliers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Others</w:t>
            </w: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3,572</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180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70,697</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50,979</w:t>
            </w:r>
          </w:p>
        </w:tc>
        <w:tc>
          <w:tcPr>
            <w:tcW w:w="3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12. Other Assets</w:t>
            </w: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46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ind w:left="40"/>
              <w:spacing w:after="0"/>
              <w:rPr>
                <w:sz w:val="20"/>
                <w:szCs w:val="20"/>
                <w:color w:val="auto"/>
              </w:rPr>
            </w:pPr>
            <w:r>
              <w:rPr>
                <w:rFonts w:ascii="Arial" w:cs="Arial" w:eastAsia="Arial" w:hAnsi="Arial"/>
                <w:sz w:val="17"/>
                <w:szCs w:val="17"/>
                <w:color w:val="auto"/>
              </w:rPr>
              <w:t>Other assets consist of the following:</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7"/>
              </w:rPr>
              <w:t>September 30, 2023</w:t>
            </w:r>
          </w:p>
        </w:tc>
        <w:tc>
          <w:tcPr>
            <w:tcW w:w="10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0"/>
              </w:rPr>
              <w:t>December 31, 2022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fulfillment costs</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21,266</w:t>
            </w:r>
          </w:p>
        </w:tc>
        <w:tc>
          <w:tcPr>
            <w:tcW w:w="10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Contract assets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8,800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1,864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 with statutory authorities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Lease deposits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6,621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w:t>
            </w: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32,069</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13. Accrued Expenses and Other Current Liabilities</w:t>
            </w: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46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2"/>
          </w:tcPr>
          <w:p>
            <w:pPr>
              <w:ind w:left="80"/>
              <w:spacing w:after="0"/>
              <w:rPr>
                <w:sz w:val="20"/>
                <w:szCs w:val="20"/>
                <w:color w:val="auto"/>
              </w:rPr>
            </w:pPr>
            <w:r>
              <w:rPr>
                <w:rFonts w:ascii="Arial" w:cs="Arial" w:eastAsia="Arial" w:hAnsi="Arial"/>
                <w:sz w:val="17"/>
                <w:szCs w:val="17"/>
                <w:color w:val="auto"/>
                <w:w w:val="95"/>
              </w:rPr>
              <w:t>Accrued expenses and other current liabilities consist of the following:</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7"/>
              </w:rPr>
              <w:t>September 30, 2023</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December 31, 2022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55,071</w:t>
            </w:r>
          </w:p>
        </w:tc>
        <w:tc>
          <w:tcPr>
            <w:tcW w:w="400" w:type="dxa"/>
            <w:vAlign w:val="bottom"/>
            <w:gridSpan w:val="5"/>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47,854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Arial" w:cs="Arial" w:eastAsia="Arial" w:hAnsi="Arial"/>
                <w:sz w:val="17"/>
                <w:szCs w:val="17"/>
                <w:color w:val="auto"/>
              </w:rPr>
              <w:t>Payable to statutory authorities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19,067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20,430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15,600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Arial" w:cs="Arial" w:eastAsia="Arial" w:hAnsi="Arial"/>
                <w:sz w:val="17"/>
                <w:szCs w:val="17"/>
                <w:color w:val="auto"/>
              </w:rPr>
              <w:t>Client liabilities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5,251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5,110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5,089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Arial" w:cs="Arial" w:eastAsia="Arial" w:hAnsi="Arial"/>
                <w:sz w:val="17"/>
                <w:szCs w:val="17"/>
                <w:color w:val="auto"/>
              </w:rPr>
              <w:t>Accrued capital expenditures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3,978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4,032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3,674</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94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107,730</w:t>
            </w:r>
          </w:p>
        </w:tc>
        <w:tc>
          <w:tcPr>
            <w:tcW w:w="400" w:type="dxa"/>
            <w:vAlign w:val="bottom"/>
            <w:gridSpan w:val="5"/>
          </w:tcPr>
          <w:p>
            <w:pPr>
              <w:jc w:val="center"/>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95,352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20" w:type="dxa"/>
            <w:vAlign w:val="bottom"/>
            <w:vMerge w:val="restart"/>
          </w:tcPr>
          <w:p>
            <w:pPr>
              <w:jc w:val="right"/>
              <w:ind w:right="1373"/>
              <w:spacing w:after="0"/>
              <w:rPr>
                <w:sz w:val="20"/>
                <w:szCs w:val="20"/>
                <w:color w:val="auto"/>
              </w:rPr>
            </w:pPr>
            <w:r>
              <w:rPr>
                <w:rFonts w:ascii="Arial" w:cs="Arial" w:eastAsia="Arial" w:hAnsi="Arial"/>
                <w:sz w:val="17"/>
                <w:szCs w:val="17"/>
                <w:color w:val="auto"/>
              </w:rPr>
              <w:t>21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Other Non-Current Liabilities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Other non-current liabilities consist of the following:</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5"/>
                <w:szCs w:val="15"/>
                <w:color w:val="auto"/>
              </w:rPr>
            </w:pPr>
          </w:p>
        </w:tc>
        <w:tc>
          <w:tcPr>
            <w:tcW w:w="14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December 31, 2022</w:t>
            </w:r>
          </w:p>
        </w:tc>
      </w:tr>
      <w:tr>
        <w:trPr>
          <w:trHeight w:val="223"/>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Retirement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12,982</w:t>
            </w:r>
          </w:p>
        </w:tc>
      </w:tr>
      <w:tr>
        <w:trPr>
          <w:trHeight w:val="223"/>
        </w:trPr>
        <w:tc>
          <w:tcPr>
            <w:tcW w:w="6920" w:type="dxa"/>
            <w:vAlign w:val="bottom"/>
          </w:tcPr>
          <w:p>
            <w:pPr>
              <w:spacing w:after="0"/>
              <w:rPr>
                <w:sz w:val="20"/>
                <w:szCs w:val="20"/>
                <w:color w:val="auto"/>
              </w:rPr>
            </w:pPr>
            <w:r>
              <w:rPr>
                <w:rFonts w:ascii="Arial" w:cs="Arial" w:eastAsia="Arial" w:hAnsi="Arial"/>
                <w:sz w:val="17"/>
                <w:szCs w:val="17"/>
                <w:color w:val="auto"/>
              </w:rPr>
              <w:t>Deferred transition revenue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11,807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4,408</w:t>
            </w: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r>
      <w:tr>
        <w:trPr>
          <w:trHeight w:val="223"/>
        </w:trPr>
        <w:tc>
          <w:tcPr>
            <w:tcW w:w="6920" w:type="dxa"/>
            <w:vAlign w:val="bottom"/>
          </w:tcPr>
          <w:p>
            <w:pPr>
              <w:spacing w:after="0"/>
              <w:rPr>
                <w:sz w:val="20"/>
                <w:szCs w:val="20"/>
                <w:color w:val="auto"/>
              </w:rPr>
            </w:pPr>
            <w:r>
              <w:rPr>
                <w:rFonts w:ascii="Arial" w:cs="Arial" w:eastAsia="Arial" w:hAnsi="Arial"/>
                <w:sz w:val="17"/>
                <w:szCs w:val="17"/>
                <w:color w:val="auto"/>
              </w:rPr>
              <w:t>Derivative instruments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6,218</w:t>
            </w: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13,689</w:t>
            </w:r>
          </w:p>
        </w:tc>
      </w:tr>
      <w:tr>
        <w:trPr>
          <w:trHeight w:val="223"/>
        </w:trPr>
        <w:tc>
          <w:tcPr>
            <w:tcW w:w="6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w:t>
            </w:r>
          </w:p>
        </w:tc>
      </w:tr>
      <w:tr>
        <w:trPr>
          <w:trHeight w:val="241"/>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41,292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Accumulated Other Comprehensive Income/(Loss)</w:t>
      </w:r>
    </w:p>
    <w:p>
      <w:pPr>
        <w:spacing w:after="0" w:line="243"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unaudited consolidated statements of income when a foreign operation is disposed or partially disposed. The following table sets forth the changes in AOCI during the nine months ended September 30, 2023 and 2022:</w:t>
      </w:r>
    </w:p>
    <w:p>
      <w:pPr>
        <w:spacing w:after="0" w:line="13" w:lineRule="exact"/>
        <w:rPr>
          <w:sz w:val="20"/>
          <w:szCs w:val="20"/>
          <w:color w:val="auto"/>
        </w:rPr>
      </w:pPr>
    </w:p>
    <w:tbl>
      <w:tblPr>
        <w:tblLayout w:type="fixed"/>
        <w:tblInd w:w="1020" w:type="dxa"/>
        <w:tblCellMar>
          <w:top w:w="0" w:type="dxa"/>
          <w:left w:w="0" w:type="dxa"/>
          <w:bottom w:w="0" w:type="dxa"/>
          <w:right w:w="0" w:type="dxa"/>
        </w:tblCellMar>
      </w:tblPr>
      <w:tr>
        <w:trPr>
          <w:trHeight w:val="18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gridSpan w:val="9"/>
          </w:tcPr>
          <w:p>
            <w:pPr>
              <w:jc w:val="right"/>
              <w:ind w:right="93"/>
              <w:spacing w:after="0"/>
              <w:rPr>
                <w:sz w:val="20"/>
                <w:szCs w:val="20"/>
                <w:color w:val="auto"/>
              </w:rPr>
            </w:pPr>
            <w:r>
              <w:rPr>
                <w:rFonts w:ascii="Arial" w:cs="Arial" w:eastAsia="Arial" w:hAnsi="Arial"/>
                <w:sz w:val="14"/>
                <w:szCs w:val="14"/>
                <w:b w:val="1"/>
                <w:bCs w:val="1"/>
                <w:color w:val="auto"/>
              </w:rPr>
              <w:t>Accumulated Other Comprehensive Income/(Loss)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0"/>
              </w:rPr>
              <w:t>Foreign currency</w:t>
            </w:r>
          </w:p>
        </w:tc>
        <w:tc>
          <w:tcPr>
            <w:tcW w:w="200" w:type="dxa"/>
            <w:vAlign w:val="bottom"/>
          </w:tcPr>
          <w:p>
            <w:pPr>
              <w:spacing w:after="0"/>
              <w:rPr>
                <w:sz w:val="10"/>
                <w:szCs w:val="10"/>
                <w:color w:val="auto"/>
              </w:rPr>
            </w:pPr>
          </w:p>
        </w:tc>
        <w:tc>
          <w:tcPr>
            <w:tcW w:w="116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0"/>
              </w:rPr>
              <w:t>Unrealized</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Retirement benefits</w:t>
            </w:r>
          </w:p>
        </w:tc>
        <w:tc>
          <w:tcPr>
            <w:tcW w:w="300" w:type="dxa"/>
            <w:vAlign w:val="bottom"/>
          </w:tcPr>
          <w:p>
            <w:pPr>
              <w:spacing w:after="0"/>
              <w:rPr>
                <w:sz w:val="10"/>
                <w:szCs w:val="10"/>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translation</w:t>
            </w:r>
          </w:p>
        </w:tc>
        <w:tc>
          <w:tcPr>
            <w:tcW w:w="13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gain/(loss) on cash</w:t>
            </w:r>
          </w:p>
        </w:tc>
        <w:tc>
          <w:tcPr>
            <w:tcW w:w="13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gain/(loss)</w:t>
            </w:r>
          </w:p>
        </w:tc>
        <w:tc>
          <w:tcPr>
            <w:tcW w:w="2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flow hedges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(144,143)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7"/>
                <w:szCs w:val="17"/>
                <w:color w:val="auto"/>
              </w:rPr>
              <w:t>Gains/(losses) recognized during the period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5,637</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4,191</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0" w:type="dxa"/>
            <w:vAlign w:val="bottom"/>
          </w:tcPr>
          <w:p>
            <w:pPr>
              <w:spacing w:after="0"/>
              <w:rPr>
                <w:sz w:val="1"/>
                <w:szCs w:val="1"/>
                <w:color w:val="auto"/>
              </w:rPr>
            </w:pPr>
          </w:p>
        </w:tc>
      </w:tr>
      <w:tr>
        <w:trPr>
          <w:trHeight w:val="150"/>
        </w:trPr>
        <w:tc>
          <w:tcPr>
            <w:tcW w:w="424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b w:val="1"/>
                <w:bCs w:val="1"/>
                <w:color w:val="auto"/>
                <w:w w:val="94"/>
              </w:rPr>
              <w:t>Accumulated other comprehensive income/(loss) as of</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(135,278)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(1,700)</w:t>
            </w:r>
          </w:p>
        </w:tc>
        <w:tc>
          <w:tcPr>
            <w:tcW w:w="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6"/>
              <w:spacing w:after="0"/>
              <w:rPr>
                <w:sz w:val="20"/>
                <w:szCs w:val="20"/>
                <w:color w:val="auto"/>
              </w:rPr>
            </w:pPr>
            <w:r>
              <w:rPr>
                <w:rFonts w:ascii="Arial" w:cs="Arial" w:eastAsia="Arial" w:hAnsi="Arial"/>
                <w:sz w:val="17"/>
                <w:szCs w:val="17"/>
                <w:b w:val="1"/>
                <w:bCs w:val="1"/>
                <w:color w:val="auto"/>
                <w:w w:val="84"/>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173</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(136,805)</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September 30, 2023</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(89,474)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7"/>
                <w:szCs w:val="17"/>
                <w:color w:val="auto"/>
              </w:rPr>
              <w:t>Losses recognized during the period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(28,638)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(78,009)</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5,948</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14,710</w:t>
            </w:r>
          </w:p>
        </w:tc>
        <w:tc>
          <w:tcPr>
            <w:tcW w:w="0" w:type="dxa"/>
            <w:vAlign w:val="bottom"/>
          </w:tcPr>
          <w:p>
            <w:pPr>
              <w:spacing w:after="0"/>
              <w:rPr>
                <w:sz w:val="1"/>
                <w:szCs w:val="1"/>
                <w:color w:val="auto"/>
              </w:rPr>
            </w:pPr>
          </w:p>
        </w:tc>
      </w:tr>
      <w:tr>
        <w:trPr>
          <w:trHeight w:val="150"/>
        </w:trPr>
        <w:tc>
          <w:tcPr>
            <w:tcW w:w="4240" w:type="dxa"/>
            <w:vAlign w:val="bottom"/>
          </w:tcPr>
          <w:p>
            <w:pPr>
              <w:ind w:left="20"/>
              <w:spacing w:after="0" w:line="150" w:lineRule="exact"/>
              <w:rPr>
                <w:sz w:val="20"/>
                <w:szCs w:val="20"/>
                <w:color w:val="auto"/>
              </w:rPr>
            </w:pPr>
            <w:r>
              <w:rPr>
                <w:rFonts w:ascii="Arial" w:cs="Arial" w:eastAsia="Arial" w:hAnsi="Arial"/>
                <w:sz w:val="17"/>
                <w:szCs w:val="17"/>
                <w:b w:val="1"/>
                <w:bCs w:val="1"/>
                <w:color w:val="auto"/>
                <w:w w:val="94"/>
              </w:rPr>
              <w:t>Accumulated other comprehensive income/(loss) as of</w:t>
            </w: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(135,910)</w:t>
            </w:r>
          </w:p>
        </w:tc>
        <w:tc>
          <w:tcPr>
            <w:tcW w:w="100" w:type="dxa"/>
            <w:vAlign w:val="bottom"/>
          </w:tcPr>
          <w:p>
            <w:pPr>
              <w:spacing w:after="0"/>
              <w:rPr>
                <w:sz w:val="13"/>
                <w:szCs w:val="13"/>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(16,151)</w:t>
            </w:r>
          </w:p>
        </w:tc>
        <w:tc>
          <w:tcPr>
            <w:tcW w:w="80" w:type="dxa"/>
            <w:vAlign w:val="bottom"/>
          </w:tcPr>
          <w:p>
            <w:pPr>
              <w:spacing w:after="0"/>
              <w:rPr>
                <w:sz w:val="13"/>
                <w:szCs w:val="13"/>
                <w:color w:val="auto"/>
              </w:rPr>
            </w:pPr>
          </w:p>
        </w:tc>
        <w:tc>
          <w:tcPr>
            <w:tcW w:w="420" w:type="dxa"/>
            <w:vAlign w:val="bottom"/>
            <w:vMerge w:val="restart"/>
          </w:tcPr>
          <w:p>
            <w:pPr>
              <w:jc w:val="right"/>
              <w:ind w:right="236"/>
              <w:spacing w:after="0"/>
              <w:rPr>
                <w:sz w:val="20"/>
                <w:szCs w:val="20"/>
                <w:color w:val="auto"/>
              </w:rPr>
            </w:pPr>
            <w:r>
              <w:rPr>
                <w:rFonts w:ascii="Arial" w:cs="Arial" w:eastAsia="Arial" w:hAnsi="Arial"/>
                <w:sz w:val="17"/>
                <w:szCs w:val="17"/>
                <w:b w:val="1"/>
                <w:bCs w:val="1"/>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(2,142)</w:t>
            </w:r>
          </w:p>
        </w:tc>
        <w:tc>
          <w:tcPr>
            <w:tcW w:w="80" w:type="dxa"/>
            <w:vAlign w:val="bottom"/>
          </w:tcPr>
          <w:p>
            <w:pPr>
              <w:spacing w:after="0"/>
              <w:rPr>
                <w:sz w:val="13"/>
                <w:szCs w:val="13"/>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(154,203)</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September 30, 2022</w:t>
            </w:r>
          </w:p>
        </w:tc>
        <w:tc>
          <w:tcPr>
            <w:tcW w:w="1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940" w:hanging="620"/>
        <w:spacing w:after="0" w:line="260" w:lineRule="auto"/>
        <w:tabs>
          <w:tab w:leader="none" w:pos="674"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Refer to Note 17 - Derivatives and Hedge Accounting and Note 20 - Employee Benefit Plans to the unaudited consolidated financial statements for reclassification to net income.</w:t>
      </w:r>
    </w:p>
    <w:p>
      <w:pPr>
        <w:spacing w:after="0" w:line="204" w:lineRule="exact"/>
        <w:rPr>
          <w:rFonts w:ascii="Arial" w:cs="Arial" w:eastAsia="Arial" w:hAnsi="Arial"/>
          <w:sz w:val="16"/>
          <w:szCs w:val="16"/>
          <w:i w:val="1"/>
          <w:iCs w:val="1"/>
          <w:color w:val="auto"/>
        </w:rPr>
      </w:pPr>
    </w:p>
    <w:p>
      <w:pPr>
        <w:ind w:left="940" w:hanging="620"/>
        <w:spacing w:after="0" w:line="260" w:lineRule="auto"/>
        <w:tabs>
          <w:tab w:leader="none" w:pos="68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income tax effects recognized on cash flow hedges, retirement benefits and foreign currency translation gain/(loss). Refer to Note 22 - Income Taxes to the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Measurements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Company’s assets and liabilities that were recognized at fair value: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Quoted Prices in</w:t>
            </w:r>
          </w:p>
        </w:tc>
        <w:tc>
          <w:tcPr>
            <w:tcW w:w="20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Significant Other</w:t>
            </w: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Unobservable</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Identical Assets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Inputs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220" w:type="dxa"/>
            <w:vAlign w:val="bottom"/>
            <w:tcBorders>
              <w:bottom w:val="single" w:sz="8" w:color="CCEEFF"/>
            </w:tcBorders>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20" w:type="dxa"/>
            <w:vAlign w:val="bottom"/>
          </w:tcPr>
          <w:p>
            <w:pPr>
              <w:ind w:left="20"/>
              <w:spacing w:after="0" w:line="249" w:lineRule="exact"/>
              <w:rPr>
                <w:sz w:val="20"/>
                <w:szCs w:val="20"/>
                <w:color w:val="auto"/>
              </w:rPr>
            </w:pPr>
            <w:r>
              <w:rPr>
                <w:rFonts w:ascii="Arial" w:cs="Arial" w:eastAsia="Arial" w:hAnsi="Arial"/>
                <w:sz w:val="17"/>
                <w:szCs w:val="17"/>
                <w:color w:val="auto"/>
              </w:rPr>
              <w:t xml:space="preserve">Cash equivalents - Money market funds </w:t>
            </w:r>
            <w:r>
              <w:rPr>
                <w:rFonts w:ascii="Arial" w:cs="Arial" w:eastAsia="Arial" w:hAnsi="Arial"/>
                <w:sz w:val="22"/>
                <w:szCs w:val="22"/>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17,718</w:t>
            </w:r>
          </w:p>
        </w:tc>
        <w:tc>
          <w:tcPr>
            <w:tcW w:w="12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Mutual funds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76,47</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0" w:type="dxa"/>
            <w:vAlign w:val="bottom"/>
          </w:tcPr>
          <w:p>
            <w:pPr>
              <w:spacing w:after="0"/>
              <w:rPr>
                <w:sz w:val="1"/>
                <w:szCs w:val="1"/>
                <w:color w:val="auto"/>
              </w:rPr>
            </w:pPr>
          </w:p>
        </w:tc>
      </w:tr>
      <w:tr>
        <w:trPr>
          <w:trHeight w:val="249"/>
        </w:trPr>
        <w:tc>
          <w:tcPr>
            <w:tcW w:w="4220" w:type="dxa"/>
            <w:vAlign w:val="bottom"/>
            <w:tcBorders>
              <w:bottom w:val="single" w:sz="8" w:color="CCEEFF"/>
            </w:tcBorders>
          </w:tcPr>
          <w:p>
            <w:pPr>
              <w:ind w:left="20"/>
              <w:spacing w:after="0" w:line="249" w:lineRule="exact"/>
              <w:rPr>
                <w:sz w:val="20"/>
                <w:szCs w:val="20"/>
                <w:color w:val="auto"/>
              </w:rPr>
            </w:pPr>
            <w:r>
              <w:rPr>
                <w:rFonts w:ascii="Arial" w:cs="Arial" w:eastAsia="Arial" w:hAnsi="Arial"/>
                <w:sz w:val="17"/>
                <w:szCs w:val="17"/>
                <w:color w:val="auto"/>
              </w:rPr>
              <w:t xml:space="preserve">Contingent consideration </w:t>
            </w:r>
            <w:r>
              <w:rPr>
                <w:rFonts w:ascii="Arial" w:cs="Arial" w:eastAsia="Arial" w:hAnsi="Arial"/>
                <w:sz w:val="22"/>
                <w:szCs w:val="22"/>
                <w:color w:val="auto"/>
                <w:vertAlign w:val="superscript"/>
              </w:rPr>
              <w:t>(3)</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16,189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line="190"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6,623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line="190"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16,189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line="190"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22,81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jc w:val="center"/>
              <w:ind w:right="119"/>
              <w:spacing w:after="0" w:line="104" w:lineRule="exact"/>
              <w:rPr>
                <w:sz w:val="20"/>
                <w:szCs w:val="20"/>
                <w:color w:val="auto"/>
              </w:rPr>
            </w:pPr>
            <w:r>
              <w:rPr>
                <w:rFonts w:ascii="Arial" w:cs="Arial" w:eastAsia="Arial" w:hAnsi="Arial"/>
                <w:sz w:val="12"/>
                <w:szCs w:val="12"/>
                <w:b w:val="1"/>
                <w:bCs w:val="1"/>
                <w:color w:val="auto"/>
              </w:rPr>
              <w:t>Quoted Prices in</w:t>
            </w: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jc w:val="center"/>
              <w:ind w:right="139"/>
              <w:spacing w:after="0" w:line="104" w:lineRule="exact"/>
              <w:rPr>
                <w:sz w:val="20"/>
                <w:szCs w:val="20"/>
                <w:color w:val="auto"/>
              </w:rPr>
            </w:pPr>
            <w:r>
              <w:rPr>
                <w:rFonts w:ascii="Arial" w:cs="Arial" w:eastAsia="Arial" w:hAnsi="Arial"/>
                <w:sz w:val="12"/>
                <w:szCs w:val="12"/>
                <w:b w:val="1"/>
                <w:bCs w:val="1"/>
                <w:color w:val="auto"/>
              </w:rPr>
              <w:t>Significant Other</w:t>
            </w: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jc w:val="center"/>
              <w:ind w:right="119"/>
              <w:spacing w:after="0" w:line="104" w:lineRule="exact"/>
              <w:rPr>
                <w:sz w:val="20"/>
                <w:szCs w:val="20"/>
                <w:color w:val="auto"/>
              </w:rPr>
            </w:pPr>
            <w:r>
              <w:rPr>
                <w:rFonts w:ascii="Arial" w:cs="Arial" w:eastAsia="Arial" w:hAnsi="Arial"/>
                <w:sz w:val="12"/>
                <w:szCs w:val="12"/>
                <w:b w:val="1"/>
                <w:bCs w:val="1"/>
                <w:color w:val="auto"/>
              </w:rPr>
              <w:t>Significant Other</w:t>
            </w: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Unobservable</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Identical Assets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Inputs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220" w:type="dxa"/>
            <w:vAlign w:val="bottom"/>
            <w:vMerge w:val="continue"/>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ind w:left="20"/>
              <w:spacing w:after="0" w:line="249" w:lineRule="exact"/>
              <w:rPr>
                <w:sz w:val="20"/>
                <w:szCs w:val="20"/>
                <w:color w:val="auto"/>
              </w:rPr>
            </w:pPr>
            <w:r>
              <w:rPr>
                <w:rFonts w:ascii="Arial" w:cs="Arial" w:eastAsia="Arial" w:hAnsi="Arial"/>
                <w:sz w:val="17"/>
                <w:szCs w:val="17"/>
                <w:color w:val="auto"/>
              </w:rPr>
              <w:t xml:space="preserve">Cash equivalents - Money market funds </w:t>
            </w:r>
            <w:r>
              <w:rPr>
                <w:rFonts w:ascii="Arial" w:cs="Arial" w:eastAsia="Arial" w:hAnsi="Arial"/>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Mutual funds </w:t>
            </w:r>
            <w:r>
              <w:rPr>
                <w:rFonts w:ascii="Arial" w:cs="Arial" w:eastAsia="Arial" w:hAnsi="Arial"/>
                <w:sz w:val="22"/>
                <w:szCs w:val="22"/>
                <w:color w:val="auto"/>
                <w:vertAlign w:val="superscript"/>
              </w:rPr>
              <w:t>(2)</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110,964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110,96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112,101</w:t>
            </w:r>
          </w:p>
        </w:tc>
        <w:tc>
          <w:tcPr>
            <w:tcW w:w="12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2,346</w:t>
            </w:r>
          </w:p>
        </w:tc>
        <w:tc>
          <w:tcPr>
            <w:tcW w:w="1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114,44</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16,277</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ind w:left="20"/>
              <w:spacing w:after="0" w:line="249" w:lineRule="exact"/>
              <w:rPr>
                <w:sz w:val="20"/>
                <w:szCs w:val="20"/>
                <w:color w:val="auto"/>
              </w:rPr>
            </w:pPr>
            <w:r>
              <w:rPr>
                <w:rFonts w:ascii="Arial" w:cs="Arial" w:eastAsia="Arial" w:hAnsi="Arial"/>
                <w:sz w:val="17"/>
                <w:szCs w:val="17"/>
                <w:color w:val="auto"/>
              </w:rPr>
              <w:t xml:space="preserve">Contingent consideration </w:t>
            </w:r>
            <w:r>
              <w:rPr>
                <w:rFonts w:ascii="Arial" w:cs="Arial" w:eastAsia="Arial" w:hAnsi="Arial"/>
                <w:sz w:val="22"/>
                <w:szCs w:val="22"/>
                <w:color w:val="auto"/>
                <w:vertAlign w:val="superscript"/>
              </w:rPr>
              <w:t>(3)</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16,277</w:t>
            </w:r>
          </w:p>
        </w:tc>
        <w:tc>
          <w:tcPr>
            <w:tcW w:w="1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18,689</w:t>
            </w:r>
          </w:p>
        </w:tc>
        <w:tc>
          <w:tcPr>
            <w:tcW w:w="10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34,96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money market funds which are carried at the fair value option under ASC Topic 825 “Financial Instruments”.</w:t>
      </w:r>
    </w:p>
    <w:p>
      <w:pPr>
        <w:spacing w:after="0" w:line="250" w:lineRule="exact"/>
        <w:rPr>
          <w:rFonts w:ascii="Arial" w:cs="Arial" w:eastAsia="Arial" w:hAnsi="Arial"/>
          <w:sz w:val="17"/>
          <w:szCs w:val="17"/>
          <w:i w:val="1"/>
          <w:iCs w:val="1"/>
          <w:color w:val="auto"/>
        </w:rPr>
      </w:pPr>
    </w:p>
    <w:p>
      <w:pPr>
        <w:ind w:left="260" w:hanging="255"/>
        <w:spacing w:after="0"/>
        <w:tabs>
          <w:tab w:leader="none" w:pos="2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those short-term investments which are carried at the fair value option under ASC Topic 825 “Financial Instruments”.</w:t>
      </w:r>
    </w:p>
    <w:p>
      <w:pPr>
        <w:spacing w:after="0" w:line="250" w:lineRule="exact"/>
        <w:rPr>
          <w:rFonts w:ascii="Arial" w:cs="Arial" w:eastAsia="Arial" w:hAnsi="Arial"/>
          <w:sz w:val="17"/>
          <w:szCs w:val="17"/>
          <w:i w:val="1"/>
          <w:iCs w:val="1"/>
          <w:color w:val="auto"/>
        </w:rPr>
      </w:pPr>
    </w:p>
    <w:p>
      <w:pPr>
        <w:ind w:right="100" w:firstLine="5"/>
        <w:spacing w:after="0" w:line="264" w:lineRule="auto"/>
        <w:tabs>
          <w:tab w:leader="none" w:pos="253"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Contingent consideration is presented under “Accrued Expenses and Other Current Liabilities” and “Other Non-Current Liabilities,” as applicable, in the consolidated balance sheets.</w:t>
      </w:r>
    </w:p>
    <w:p>
      <w:pPr>
        <w:spacing w:after="0" w:line="1" w:lineRule="exact"/>
        <w:rPr>
          <w:rFonts w:ascii="Arial" w:cs="Arial" w:eastAsia="Arial" w:hAnsi="Arial"/>
          <w:sz w:val="17"/>
          <w:szCs w:val="17"/>
          <w:i w:val="1"/>
          <w:iCs w:val="1"/>
          <w:color w:val="auto"/>
        </w:rPr>
      </w:pPr>
    </w:p>
    <w:p>
      <w:pPr>
        <w:spacing w:after="0"/>
        <w:rPr>
          <w:rFonts w:ascii="Arial" w:cs="Arial" w:eastAsia="Arial" w:hAnsi="Arial"/>
          <w:sz w:val="17"/>
          <w:szCs w:val="17"/>
          <w:i w:val="1"/>
          <w:iCs w:val="1"/>
          <w:color w:val="auto"/>
        </w:rPr>
      </w:pPr>
      <w:r>
        <w:rPr>
          <w:rFonts w:ascii="Arial" w:cs="Arial" w:eastAsia="Arial" w:hAnsi="Arial"/>
          <w:sz w:val="17"/>
          <w:szCs w:val="17"/>
          <w:i w:val="1"/>
          <w:iCs w:val="1"/>
          <w:color w:val="auto"/>
        </w:rPr>
        <w:t>Fair Value of Derivative Financial Instruments:</w:t>
      </w:r>
    </w:p>
    <w:p>
      <w:pPr>
        <w:spacing w:after="0" w:line="212" w:lineRule="exact"/>
        <w:rPr>
          <w:sz w:val="20"/>
          <w:szCs w:val="20"/>
          <w:color w:val="auto"/>
        </w:rPr>
      </w:pPr>
    </w:p>
    <w:p>
      <w:pPr>
        <w:jc w:val="both"/>
        <w:ind w:right="100" w:firstLine="393"/>
        <w:spacing w:after="0" w:line="257" w:lineRule="auto"/>
        <w:rPr>
          <w:sz w:val="20"/>
          <w:szCs w:val="20"/>
          <w:color w:val="auto"/>
        </w:rPr>
      </w:pPr>
      <w:r>
        <w:rPr>
          <w:rFonts w:ascii="Arial" w:cs="Arial" w:eastAsia="Arial" w:hAnsi="Arial"/>
          <w:sz w:val="17"/>
          <w:szCs w:val="17"/>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Contingent Consideration:</w:t>
      </w:r>
    </w:p>
    <w:p>
      <w:pPr>
        <w:spacing w:after="0" w:line="250"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 and scenario-based method.</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changes in the fair value of contingent consideration:</w:t>
      </w:r>
    </w:p>
    <w:p>
      <w:pPr>
        <w:spacing w:after="0" w:line="52"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03"/>
        </w:trPr>
        <w:tc>
          <w:tcPr>
            <w:tcW w:w="29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2022</w:t>
            </w: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Opening balance</w:t>
            </w: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r>
      <w:tr>
        <w:trPr>
          <w:trHeight w:val="223"/>
        </w:trPr>
        <w:tc>
          <w:tcPr>
            <w:tcW w:w="292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1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1,439</w:t>
            </w: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3"/>
        </w:trPr>
        <w:tc>
          <w:tcPr>
            <w:tcW w:w="2920" w:type="dxa"/>
            <w:vAlign w:val="bottom"/>
          </w:tcPr>
          <w:p>
            <w:pPr>
              <w:ind w:left="20"/>
              <w:spacing w:after="0"/>
              <w:rPr>
                <w:sz w:val="20"/>
                <w:szCs w:val="20"/>
                <w:color w:val="auto"/>
              </w:rPr>
            </w:pPr>
            <w:r>
              <w:rPr>
                <w:rFonts w:ascii="Arial" w:cs="Arial" w:eastAsia="Arial" w:hAnsi="Arial"/>
                <w:sz w:val="17"/>
                <w:szCs w:val="17"/>
                <w:color w:val="auto"/>
              </w:rPr>
              <w:t>Payments</w:t>
            </w:r>
          </w:p>
        </w:tc>
        <w:tc>
          <w:tcPr>
            <w:tcW w:w="1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Closing balance</w:t>
            </w:r>
          </w:p>
        </w:tc>
        <w:tc>
          <w:tcPr>
            <w:tcW w:w="112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16,189</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16,189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three and nine months ended September 30, 2023 and 2022, there were no transfers among Level 1, Level 2 and Level 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Carried at Fair Value</w:t>
      </w:r>
      <w:r>
        <w:rPr>
          <w:rFonts w:ascii="Arial" w:cs="Arial" w:eastAsia="Arial" w:hAnsi="Arial"/>
          <w:sz w:val="17"/>
          <w:szCs w:val="17"/>
          <w:color w:val="auto"/>
        </w:rPr>
        <w:t>:</w:t>
      </w:r>
    </w:p>
    <w:p>
      <w:pPr>
        <w:spacing w:after="0" w:line="237" w:lineRule="exact"/>
        <w:rPr>
          <w:sz w:val="20"/>
          <w:szCs w:val="20"/>
          <w:color w:val="auto"/>
        </w:rPr>
      </w:pPr>
    </w:p>
    <w:p>
      <w:pPr>
        <w:jc w:val="both"/>
        <w:ind w:firstLine="393"/>
        <w:spacing w:after="0" w:line="245" w:lineRule="auto"/>
        <w:rPr>
          <w:sz w:val="20"/>
          <w:szCs w:val="20"/>
          <w:color w:val="auto"/>
        </w:rPr>
      </w:pPr>
      <w:r>
        <w:rPr>
          <w:rFonts w:ascii="Arial" w:cs="Arial" w:eastAsia="Arial" w:hAnsi="Arial"/>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Derivatives and Hedge Accounting</w:t>
      </w:r>
    </w:p>
    <w:p>
      <w:pPr>
        <w:spacing w:after="0" w:line="243"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and are with counterparties that are highly rated financial institutions. For derivatives in cash flow hedging relationships as of September 30, 2023 and December 31, 2022, the Company had outstanding foreign currency forward contracts totaling $797,400 and $841,620, respectively and interest rate swaps totaling $75,000, each.</w:t>
      </w:r>
    </w:p>
    <w:p>
      <w:pPr>
        <w:spacing w:after="0" w:line="209"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Company estimates that approximately $2,399 of derivative losses, net, excluding tax effects, included in AOCI, representing changes in the value of cash flow hedges based on exchange rates prevailing as of September 30, 2023, could be reclassified into earnings within the next twelve months. As of September 30, 2023, the maximum outstanding term of the cash flow hedges was approximately 36 months.</w:t>
      </w:r>
    </w:p>
    <w:p>
      <w:pPr>
        <w:spacing w:after="0" w:line="205"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w:t>
      </w:r>
      <w:r>
        <w:rPr>
          <w:rFonts w:ascii="Arial" w:cs="Arial" w:eastAsia="Arial" w:hAnsi="Arial"/>
          <w:sz w:val="17"/>
          <w:szCs w:val="17"/>
          <w:color w:val="auto"/>
        </w:rPr>
        <w:t>. Changes in the fair value of these financial instruments are recognized in the unaudited consolidated statements of income and are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exchange gain/(loss) line item. The Company’s primary exchange rate exposure is with the Indian rupee, the Philippine peso and the U.K. pound sterling (GBP). The Company also has exposure to Colombian pesos (COP), the Euro (EUR), South African rand (ZAR), the Australian dollar (AUD), the Canadian dollar (CAD) and other local currencies in which it operates.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firstLine="393"/>
        <w:spacing w:after="0" w:line="267" w:lineRule="auto"/>
        <w:rPr>
          <w:sz w:val="20"/>
          <w:szCs w:val="20"/>
          <w:color w:val="auto"/>
        </w:rPr>
      </w:pPr>
      <w:r>
        <w:rPr>
          <w:rFonts w:ascii="Arial" w:cs="Arial" w:eastAsia="Arial" w:hAnsi="Arial"/>
          <w:sz w:val="17"/>
          <w:szCs w:val="17"/>
          <w:color w:val="auto"/>
        </w:rPr>
        <w:t>The following table sets forth the aggregate notional principal amounts of outstanding foreign currency forward contracts for derivatives not designated as hedging instruments: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
          </w:tcPr>
          <w:p>
            <w:pPr>
              <w:ind w:left="2040"/>
              <w:spacing w:after="0"/>
              <w:rPr>
                <w:sz w:val="20"/>
                <w:szCs w:val="20"/>
                <w:color w:val="auto"/>
              </w:rPr>
            </w:pPr>
            <w:r>
              <w:rPr>
                <w:rFonts w:ascii="Arial" w:cs="Arial" w:eastAsia="Arial" w:hAnsi="Arial"/>
                <w:sz w:val="14"/>
                <w:szCs w:val="14"/>
                <w:b w:val="1"/>
                <w:bCs w:val="1"/>
                <w:color w:val="auto"/>
              </w:rPr>
              <w:t>As of</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Foreign currency forward contracts denominated in:</w:t>
            </w:r>
          </w:p>
        </w:tc>
        <w:tc>
          <w:tcPr>
            <w:tcW w:w="100" w:type="dxa"/>
            <w:vAlign w:val="bottom"/>
            <w:vMerge w:val="restart"/>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 S. dollar (USD)</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163,990</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Arial" w:cs="Arial" w:eastAsia="Arial" w:hAnsi="Arial"/>
                <w:sz w:val="17"/>
                <w:szCs w:val="17"/>
                <w:color w:val="auto"/>
              </w:rPr>
              <w:t>U.K. pound sterling (GBP)</w:t>
            </w:r>
          </w:p>
        </w:tc>
        <w:tc>
          <w:tcPr>
            <w:tcW w:w="2140" w:type="dxa"/>
            <w:vAlign w:val="bottom"/>
          </w:tcPr>
          <w:p>
            <w:pPr>
              <w:jc w:val="right"/>
              <w:spacing w:after="0"/>
              <w:rPr>
                <w:sz w:val="20"/>
                <w:szCs w:val="20"/>
                <w:color w:val="auto"/>
              </w:rPr>
            </w:pPr>
            <w:r>
              <w:rPr>
                <w:rFonts w:ascii="Arial" w:cs="Arial" w:eastAsia="Arial" w:hAnsi="Arial"/>
                <w:sz w:val="17"/>
                <w:szCs w:val="17"/>
                <w:color w:val="auto"/>
              </w:rPr>
              <w:t>10,435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8,351</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 (EUR)</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Arial" w:cs="Arial" w:eastAsia="Arial" w:hAnsi="Arial"/>
                <w:sz w:val="17"/>
                <w:szCs w:val="17"/>
                <w:color w:val="auto"/>
              </w:rPr>
              <w:t>Australian dollar (AUD)</w:t>
            </w:r>
          </w:p>
        </w:tc>
        <w:tc>
          <w:tcPr>
            <w:tcW w:w="2140" w:type="dxa"/>
            <w:vAlign w:val="bottom"/>
          </w:tcPr>
          <w:p>
            <w:pPr>
              <w:jc w:val="right"/>
              <w:spacing w:after="0"/>
              <w:rPr>
                <w:sz w:val="20"/>
                <w:szCs w:val="20"/>
                <w:color w:val="auto"/>
              </w:rPr>
            </w:pPr>
            <w:r>
              <w:rPr>
                <w:rFonts w:ascii="Arial" w:cs="Arial" w:eastAsia="Arial" w:hAnsi="Arial"/>
                <w:sz w:val="17"/>
                <w:szCs w:val="17"/>
                <w:color w:val="auto"/>
              </w:rPr>
              <w:t>3,991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1,951</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South African rand (ZAR)</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200" w:type="dxa"/>
            <w:vAlign w:val="bottom"/>
            <w:gridSpan w:val="2"/>
          </w:tcPr>
          <w:p>
            <w:pPr>
              <w:ind w:left="20"/>
              <w:spacing w:after="0"/>
              <w:rPr>
                <w:sz w:val="20"/>
                <w:szCs w:val="20"/>
                <w:color w:val="auto"/>
              </w:rPr>
            </w:pPr>
            <w:r>
              <w:rPr>
                <w:rFonts w:ascii="Arial" w:cs="Arial" w:eastAsia="Arial" w:hAnsi="Arial"/>
                <w:sz w:val="17"/>
                <w:szCs w:val="17"/>
                <w:color w:val="auto"/>
              </w:rPr>
              <w:t>Colombian peso (COP)</w:t>
            </w:r>
          </w:p>
        </w:tc>
        <w:tc>
          <w:tcPr>
            <w:tcW w:w="2140" w:type="dxa"/>
            <w:vAlign w:val="bottom"/>
          </w:tcPr>
          <w:p>
            <w:pPr>
              <w:jc w:val="right"/>
              <w:spacing w:after="0"/>
              <w:rPr>
                <w:sz w:val="20"/>
                <w:szCs w:val="20"/>
                <w:color w:val="auto"/>
              </w:rPr>
            </w:pPr>
            <w:r>
              <w:rPr>
                <w:rFonts w:ascii="Arial" w:cs="Arial" w:eastAsia="Arial" w:hAnsi="Arial"/>
                <w:sz w:val="17"/>
                <w:szCs w:val="17"/>
                <w:color w:val="auto"/>
              </w:rPr>
              <w:t>2,286,550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100" w:firstLine="393"/>
        <w:spacing w:after="0" w:line="257" w:lineRule="auto"/>
        <w:rPr>
          <w:sz w:val="20"/>
          <w:szCs w:val="20"/>
          <w:color w:val="auto"/>
        </w:rPr>
      </w:pPr>
      <w:r>
        <w:rPr>
          <w:rFonts w:ascii="Arial" w:cs="Arial" w:eastAsia="Arial" w:hAnsi="Arial"/>
          <w:sz w:val="17"/>
          <w:szCs w:val="17"/>
          <w:color w:val="auto"/>
        </w:rPr>
        <w:t>The following table sets forth the fair value of the foreign currency forward contracts and interest rate swaps and their location on the consolidated balance sheets:</w:t>
      </w:r>
    </w:p>
    <w:p>
      <w:pPr>
        <w:spacing w:after="0" w:line="288"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7"/>
              </w:rPr>
              <w:t>Derivatives in cash flow hedging</w:t>
            </w:r>
          </w:p>
        </w:tc>
        <w:tc>
          <w:tcPr>
            <w:tcW w:w="160" w:type="dxa"/>
            <w:vAlign w:val="bottom"/>
          </w:tcPr>
          <w:p>
            <w:pPr>
              <w:spacing w:after="0"/>
              <w:rPr>
                <w:sz w:val="16"/>
                <w:szCs w:val="16"/>
                <w:color w:val="auto"/>
              </w:rPr>
            </w:pPr>
          </w:p>
        </w:tc>
        <w:tc>
          <w:tcPr>
            <w:tcW w:w="3080" w:type="dxa"/>
            <w:vAlign w:val="bottom"/>
            <w:gridSpan w:val="3"/>
          </w:tcPr>
          <w:p>
            <w:pPr>
              <w:jc w:val="center"/>
              <w:ind w:left="177"/>
              <w:spacing w:after="0"/>
              <w:rPr>
                <w:sz w:val="20"/>
                <w:szCs w:val="20"/>
                <w:color w:val="auto"/>
              </w:rPr>
            </w:pPr>
            <w:r>
              <w:rPr>
                <w:rFonts w:ascii="Arial" w:cs="Arial" w:eastAsia="Arial" w:hAnsi="Arial"/>
                <w:sz w:val="16"/>
                <w:szCs w:val="16"/>
                <w:b w:val="1"/>
                <w:bCs w:val="1"/>
                <w:color w:val="auto"/>
                <w:w w:val="86"/>
              </w:rPr>
              <w:t>Derivatives not designated as hedging</w:t>
            </w:r>
          </w:p>
        </w:tc>
        <w:tc>
          <w:tcPr>
            <w:tcW w:w="220" w:type="dxa"/>
            <w:vAlign w:val="bottom"/>
          </w:tcPr>
          <w:p>
            <w:pPr>
              <w:spacing w:after="0"/>
              <w:rPr>
                <w:sz w:val="16"/>
                <w:szCs w:val="16"/>
                <w:color w:val="auto"/>
              </w:rPr>
            </w:pPr>
          </w:p>
        </w:tc>
      </w:tr>
      <w:tr>
        <w:trPr>
          <w:trHeight w:val="207"/>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6"/>
              </w:rPr>
              <w:t>relationships</w:t>
            </w:r>
          </w:p>
        </w:tc>
        <w:tc>
          <w:tcPr>
            <w:tcW w:w="160" w:type="dxa"/>
            <w:vAlign w:val="bottom"/>
          </w:tcPr>
          <w:p>
            <w:pPr>
              <w:spacing w:after="0"/>
              <w:rPr>
                <w:sz w:val="18"/>
                <w:szCs w:val="18"/>
                <w:color w:val="auto"/>
              </w:rPr>
            </w:pPr>
          </w:p>
        </w:tc>
        <w:tc>
          <w:tcPr>
            <w:tcW w:w="3080" w:type="dxa"/>
            <w:vAlign w:val="bottom"/>
            <w:gridSpan w:val="3"/>
          </w:tcPr>
          <w:p>
            <w:pPr>
              <w:jc w:val="center"/>
              <w:ind w:left="217"/>
              <w:spacing w:after="0"/>
              <w:rPr>
                <w:sz w:val="20"/>
                <w:szCs w:val="20"/>
                <w:color w:val="auto"/>
              </w:rPr>
            </w:pPr>
            <w:r>
              <w:rPr>
                <w:rFonts w:ascii="Arial" w:cs="Arial" w:eastAsia="Arial" w:hAnsi="Arial"/>
                <w:sz w:val="16"/>
                <w:szCs w:val="16"/>
                <w:b w:val="1"/>
                <w:bCs w:val="1"/>
                <w:color w:val="auto"/>
                <w:w w:val="89"/>
              </w:rPr>
              <w:t>instruments</w:t>
            </w:r>
          </w:p>
        </w:tc>
        <w:tc>
          <w:tcPr>
            <w:tcW w:w="220" w:type="dxa"/>
            <w:vAlign w:val="bottom"/>
          </w:tcPr>
          <w:p>
            <w:pPr>
              <w:spacing w:after="0"/>
              <w:rPr>
                <w:sz w:val="18"/>
                <w:szCs w:val="18"/>
                <w:color w:val="auto"/>
              </w:rPr>
            </w:pPr>
          </w:p>
        </w:tc>
      </w:tr>
      <w:tr>
        <w:trPr>
          <w:trHeight w:val="203"/>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080" w:type="dxa"/>
            <w:vAlign w:val="bottom"/>
            <w:tcBorders>
              <w:top w:val="single" w:sz="8" w:color="auto"/>
              <w:bottom w:val="single" w:sz="8" w:color="auto"/>
            </w:tcBorders>
            <w:gridSpan w:val="3"/>
          </w:tcPr>
          <w:p>
            <w:pPr>
              <w:jc w:val="center"/>
              <w:ind w:left="217"/>
              <w:spacing w:after="0"/>
              <w:rPr>
                <w:sz w:val="20"/>
                <w:szCs w:val="20"/>
                <w:color w:val="auto"/>
              </w:rPr>
            </w:pPr>
            <w:r>
              <w:rPr>
                <w:rFonts w:ascii="Arial" w:cs="Arial" w:eastAsia="Arial" w:hAnsi="Arial"/>
                <w:sz w:val="16"/>
                <w:szCs w:val="16"/>
                <w:b w:val="1"/>
                <w:bCs w:val="1"/>
                <w:color w:val="auto"/>
                <w:w w:val="84"/>
              </w:rPr>
              <w:t>As of</w:t>
            </w:r>
          </w:p>
        </w:tc>
        <w:tc>
          <w:tcPr>
            <w:tcW w:w="220" w:type="dxa"/>
            <w:vAlign w:val="bottom"/>
            <w:tcBorders>
              <w:top w:val="single" w:sz="8" w:color="auto"/>
              <w:bottom w:val="single" w:sz="8" w:color="auto"/>
            </w:tcBorders>
          </w:tcPr>
          <w:p>
            <w:pPr>
              <w:spacing w:after="0"/>
              <w:rPr>
                <w:sz w:val="17"/>
                <w:szCs w:val="17"/>
                <w:color w:val="auto"/>
              </w:rPr>
            </w:pPr>
          </w:p>
        </w:tc>
      </w:tr>
      <w:tr>
        <w:trPr>
          <w:trHeight w:val="203"/>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9"/>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Other current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2,542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1,271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1340" w:type="dxa"/>
            <w:vAlign w:val="bottom"/>
          </w:tcPr>
          <w:p>
            <w:pPr>
              <w:jc w:val="right"/>
              <w:ind w:right="1154"/>
              <w:spacing w:after="0"/>
              <w:rPr>
                <w:sz w:val="20"/>
                <w:szCs w:val="20"/>
                <w:color w:val="auto"/>
              </w:rPr>
            </w:pPr>
            <w:r>
              <w:rPr>
                <w:rFonts w:ascii="Arial" w:cs="Arial" w:eastAsia="Arial" w:hAnsi="Arial"/>
                <w:sz w:val="17"/>
                <w:szCs w:val="17"/>
                <w:color w:val="auto"/>
                <w:w w:val="84"/>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54"/>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9"/>
                <w:szCs w:val="19"/>
                <w:color w:val="auto"/>
              </w:rPr>
            </w:pP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71"/>
        </w:trPr>
        <w:tc>
          <w:tcPr>
            <w:tcW w:w="36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Accrued expenses and other</w:t>
            </w:r>
          </w:p>
        </w:tc>
        <w:tc>
          <w:tcPr>
            <w:tcW w:w="16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4,941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10,044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54"/>
              <w:spacing w:after="0" w:line="172" w:lineRule="exact"/>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4"/>
                <w:szCs w:val="14"/>
                <w:color w:val="auto"/>
              </w:rPr>
            </w:pPr>
          </w:p>
        </w:tc>
      </w:tr>
      <w:tr>
        <w:trPr>
          <w:trHeight w:val="235"/>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22"/>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1,534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6,218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154"/>
              <w:spacing w:after="0"/>
              <w:rPr>
                <w:sz w:val="20"/>
                <w:szCs w:val="20"/>
                <w:color w:val="auto"/>
              </w:rPr>
            </w:pPr>
            <w:r>
              <w:rPr>
                <w:rFonts w:ascii="Arial" w:cs="Arial" w:eastAsia="Arial" w:hAnsi="Arial"/>
                <w:sz w:val="17"/>
                <w:szCs w:val="17"/>
                <w:color w:val="auto"/>
                <w:w w:val="84"/>
              </w:rPr>
              <w:t>$</w:t>
            </w:r>
          </w:p>
        </w:tc>
        <w:tc>
          <w:tcPr>
            <w:tcW w:w="220" w:type="dxa"/>
            <w:vAlign w:val="bottom"/>
          </w:tcPr>
          <w:p>
            <w:pPr>
              <w:spacing w:after="0"/>
              <w:rPr>
                <w:sz w:val="19"/>
                <w:szCs w:val="19"/>
                <w:color w:val="auto"/>
              </w:rPr>
            </w:pPr>
          </w:p>
        </w:tc>
      </w:tr>
    </w:tbl>
    <w:p>
      <w:pPr>
        <w:spacing w:after="0" w:line="303" w:lineRule="exact"/>
        <w:rPr>
          <w:sz w:val="20"/>
          <w:szCs w:val="20"/>
          <w:color w:val="auto"/>
        </w:rPr>
      </w:pPr>
    </w:p>
    <w:p>
      <w:pPr>
        <w:ind w:right="100" w:firstLine="393"/>
        <w:spacing w:after="0" w:line="272" w:lineRule="auto"/>
        <w:rPr>
          <w:sz w:val="20"/>
          <w:szCs w:val="20"/>
          <w:color w:val="auto"/>
        </w:rPr>
      </w:pPr>
      <w:r>
        <w:rPr>
          <w:rFonts w:ascii="Arial" w:cs="Arial" w:eastAsia="Arial" w:hAnsi="Arial"/>
          <w:sz w:val="17"/>
          <w:szCs w:val="17"/>
          <w:color w:val="auto"/>
        </w:rPr>
        <w:t>The following table sets forth the effect of foreign currency forward contracts and interest rate swaps on AOCI and the unaudited consolidated statements of income:</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880" w:type="dxa"/>
            <w:vAlign w:val="bottom"/>
            <w:gridSpan w:val="4"/>
          </w:tcPr>
          <w:p>
            <w:pPr>
              <w:jc w:val="right"/>
              <w:ind w:right="336"/>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3"/>
        </w:trPr>
        <w:tc>
          <w:tcPr>
            <w:tcW w:w="4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 financial instruments:</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2022</w:t>
            </w:r>
          </w:p>
        </w:tc>
      </w:tr>
      <w:tr>
        <w:trPr>
          <w:trHeight w:val="20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Unrealized gain/(loss) recognized in AOCI</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Derivatives in cash flow hedging relationships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(7,903)</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(13,489)</w:t>
            </w:r>
          </w:p>
        </w:tc>
        <w:tc>
          <w:tcPr>
            <w:tcW w:w="8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8,242</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(28,638)</w:t>
            </w:r>
          </w:p>
        </w:tc>
      </w:tr>
      <w:tr>
        <w:trPr>
          <w:trHeight w:val="262"/>
        </w:trPr>
        <w:tc>
          <w:tcPr>
            <w:tcW w:w="4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157"/>
        </w:trPr>
        <w:tc>
          <w:tcPr>
            <w:tcW w:w="45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3"/>
              </w:rPr>
              <w:t>Gain/(loss) recognized in unaudited consolidated statements of</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7"/>
        </w:trPr>
        <w:tc>
          <w:tcPr>
            <w:tcW w:w="456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Derivatives not designated as hedging instruments</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60" w:firstLine="393"/>
        <w:spacing w:after="0" w:line="289" w:lineRule="auto"/>
        <w:rPr>
          <w:sz w:val="20"/>
          <w:szCs w:val="20"/>
          <w:color w:val="auto"/>
        </w:rPr>
      </w:pPr>
      <w:r>
        <w:rPr>
          <w:rFonts w:ascii="Arial" w:cs="Arial" w:eastAsia="Arial" w:hAnsi="Arial"/>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00"/>
        </w:trPr>
        <w:tc>
          <w:tcPr>
            <w:tcW w:w="5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180" w:type="dxa"/>
            <w:vAlign w:val="bottom"/>
            <w:tcBorders>
              <w:bottom w:val="single" w:sz="8" w:color="auto"/>
            </w:tcBorders>
          </w:tcPr>
          <w:p>
            <w:pPr>
              <w:spacing w:after="0"/>
              <w:rPr>
                <w:sz w:val="17"/>
                <w:szCs w:val="17"/>
                <w:color w:val="auto"/>
              </w:rPr>
            </w:pPr>
          </w:p>
        </w:tc>
      </w:tr>
      <w:tr>
        <w:trPr>
          <w:trHeight w:val="153"/>
        </w:trPr>
        <w:tc>
          <w:tcPr>
            <w:tcW w:w="5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center"/>
              <w:ind w:right="120"/>
              <w:spacing w:after="0" w:line="153" w:lineRule="exact"/>
              <w:rPr>
                <w:sz w:val="20"/>
                <w:szCs w:val="20"/>
                <w:color w:val="auto"/>
              </w:rPr>
            </w:pPr>
            <w:r>
              <w:rPr>
                <w:rFonts w:ascii="Arial" w:cs="Arial" w:eastAsia="Arial" w:hAnsi="Arial"/>
                <w:sz w:val="16"/>
                <w:szCs w:val="16"/>
                <w:b w:val="1"/>
                <w:bCs w:val="1"/>
                <w:color w:val="auto"/>
                <w:w w:val="88"/>
              </w:rPr>
              <w:t>As per unaudited</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76"/>
              <w:spacing w:after="0" w:line="153" w:lineRule="exact"/>
              <w:rPr>
                <w:sz w:val="20"/>
                <w:szCs w:val="20"/>
                <w:color w:val="auto"/>
              </w:rPr>
            </w:pPr>
            <w:r>
              <w:rPr>
                <w:rFonts w:ascii="Arial" w:cs="Arial" w:eastAsia="Arial" w:hAnsi="Arial"/>
                <w:sz w:val="16"/>
                <w:szCs w:val="16"/>
                <w:b w:val="1"/>
                <w:bCs w:val="1"/>
                <w:color w:val="auto"/>
                <w:w w:val="88"/>
              </w:rPr>
              <w:t>Gain/(loss) on</w:t>
            </w:r>
          </w:p>
        </w:tc>
        <w:tc>
          <w:tcPr>
            <w:tcW w:w="10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center"/>
              <w:ind w:right="120"/>
              <w:spacing w:after="0" w:line="153" w:lineRule="exact"/>
              <w:rPr>
                <w:sz w:val="20"/>
                <w:szCs w:val="20"/>
                <w:color w:val="auto"/>
              </w:rPr>
            </w:pPr>
            <w:r>
              <w:rPr>
                <w:rFonts w:ascii="Arial" w:cs="Arial" w:eastAsia="Arial" w:hAnsi="Arial"/>
                <w:sz w:val="16"/>
                <w:szCs w:val="16"/>
                <w:b w:val="1"/>
                <w:bCs w:val="1"/>
                <w:color w:val="auto"/>
                <w:w w:val="88"/>
              </w:rPr>
              <w:t>As per unaudited</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75"/>
              <w:spacing w:after="0" w:line="153" w:lineRule="exact"/>
              <w:rPr>
                <w:sz w:val="20"/>
                <w:szCs w:val="20"/>
                <w:color w:val="auto"/>
              </w:rPr>
            </w:pPr>
            <w:r>
              <w:rPr>
                <w:rFonts w:ascii="Arial" w:cs="Arial" w:eastAsia="Arial" w:hAnsi="Arial"/>
                <w:sz w:val="16"/>
                <w:szCs w:val="16"/>
                <w:b w:val="1"/>
                <w:bCs w:val="1"/>
                <w:color w:val="auto"/>
                <w:w w:val="88"/>
              </w:rPr>
              <w:t>Gain/(loss) on</w:t>
            </w:r>
          </w:p>
        </w:tc>
      </w:tr>
      <w:tr>
        <w:trPr>
          <w:trHeight w:val="157"/>
        </w:trPr>
        <w:tc>
          <w:tcPr>
            <w:tcW w:w="5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derivative</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55"/>
              <w:spacing w:after="0" w:line="158" w:lineRule="exact"/>
              <w:rPr>
                <w:sz w:val="20"/>
                <w:szCs w:val="20"/>
                <w:color w:val="auto"/>
              </w:rPr>
            </w:pPr>
            <w:r>
              <w:rPr>
                <w:rFonts w:ascii="Arial" w:cs="Arial" w:eastAsia="Arial" w:hAnsi="Arial"/>
                <w:sz w:val="16"/>
                <w:szCs w:val="16"/>
                <w:b w:val="1"/>
                <w:bCs w:val="1"/>
                <w:color w:val="auto"/>
                <w:w w:val="90"/>
              </w:rPr>
              <w:t>derivative</w:t>
            </w:r>
          </w:p>
        </w:tc>
      </w:tr>
      <w:tr>
        <w:trPr>
          <w:trHeight w:val="157"/>
        </w:trPr>
        <w:tc>
          <w:tcPr>
            <w:tcW w:w="5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financial</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75"/>
              <w:spacing w:after="0" w:line="158" w:lineRule="exact"/>
              <w:rPr>
                <w:sz w:val="20"/>
                <w:szCs w:val="20"/>
                <w:color w:val="auto"/>
              </w:rPr>
            </w:pPr>
            <w:r>
              <w:rPr>
                <w:rFonts w:ascii="Arial" w:cs="Arial" w:eastAsia="Arial" w:hAnsi="Arial"/>
                <w:sz w:val="16"/>
                <w:szCs w:val="16"/>
                <w:b w:val="1"/>
                <w:bCs w:val="1"/>
                <w:color w:val="auto"/>
                <w:w w:val="89"/>
              </w:rPr>
              <w:t>financial</w:t>
            </w:r>
          </w:p>
        </w:tc>
      </w:tr>
      <w:tr>
        <w:trPr>
          <w:trHeight w:val="210"/>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5"/>
              </w:rPr>
              <w:t>income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7"/>
              </w:rPr>
              <w:t>instruments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5"/>
              </w:rPr>
              <w:t>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55"/>
              <w:spacing w:after="0"/>
              <w:rPr>
                <w:sz w:val="20"/>
                <w:szCs w:val="20"/>
                <w:color w:val="auto"/>
              </w:rPr>
            </w:pPr>
            <w:r>
              <w:rPr>
                <w:rFonts w:ascii="Arial" w:cs="Arial" w:eastAsia="Arial" w:hAnsi="Arial"/>
                <w:sz w:val="16"/>
                <w:szCs w:val="16"/>
                <w:b w:val="1"/>
                <w:bCs w:val="1"/>
                <w:color w:val="auto"/>
                <w:w w:val="87"/>
              </w:rPr>
              <w:t>instruments</w:t>
            </w:r>
          </w:p>
        </w:tc>
      </w:tr>
      <w:tr>
        <w:trPr>
          <w:trHeight w:val="216"/>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Derivatives in cash flow hedging relationships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171"/>
        </w:trPr>
        <w:tc>
          <w:tcPr>
            <w:tcW w:w="52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gain/(loss) was reclassified from AOCI</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62"/>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42,519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11,583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before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(1,567)</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effects on above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of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8"/>
        </w:trPr>
        <w:tc>
          <w:tcPr>
            <w:tcW w:w="5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Derivatives not designated as hedging instruments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71"/>
        </w:trPr>
        <w:tc>
          <w:tcPr>
            <w:tcW w:w="52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gain/(loss) was recognized</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62"/>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 gain/(loss),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(4,889)</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(4,889)</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315"/>
        <w:spacing w:after="0" w:line="289" w:lineRule="auto"/>
        <w:rPr>
          <w:sz w:val="20"/>
          <w:szCs w:val="20"/>
          <w:color w:val="auto"/>
        </w:rPr>
      </w:pPr>
      <w:r>
        <w:rPr>
          <w:rFonts w:ascii="Arial" w:cs="Arial" w:eastAsia="Arial" w:hAnsi="Arial"/>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5"/>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Nine months ended September 30,</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52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1160"/>
              <w:spacing w:after="0"/>
              <w:rPr>
                <w:sz w:val="20"/>
                <w:szCs w:val="20"/>
                <w:color w:val="auto"/>
              </w:rPr>
            </w:pPr>
            <w:r>
              <w:rPr>
                <w:rFonts w:ascii="Arial" w:cs="Arial" w:eastAsia="Arial" w:hAnsi="Arial"/>
                <w:sz w:val="16"/>
                <w:szCs w:val="16"/>
                <w:b w:val="1"/>
                <w:bCs w:val="1"/>
                <w:color w:val="auto"/>
                <w:w w:val="84"/>
              </w:rPr>
              <w:t>2023</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w w:val="89"/>
              </w:rPr>
              <w:t>2022</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5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4"/>
            <w:shd w:val="clear" w:color="auto" w:fill="CCEEFF"/>
          </w:tcPr>
          <w:p>
            <w:pPr>
              <w:jc w:val="center"/>
              <w:ind w:right="240"/>
              <w:spacing w:after="0" w:line="153" w:lineRule="exact"/>
              <w:rPr>
                <w:sz w:val="20"/>
                <w:szCs w:val="20"/>
                <w:color w:val="auto"/>
              </w:rPr>
            </w:pPr>
            <w:r>
              <w:rPr>
                <w:rFonts w:ascii="Arial" w:cs="Arial" w:eastAsia="Arial" w:hAnsi="Arial"/>
                <w:sz w:val="16"/>
                <w:szCs w:val="16"/>
                <w:b w:val="1"/>
                <w:bCs w:val="1"/>
                <w:color w:val="auto"/>
                <w:w w:val="88"/>
              </w:rPr>
              <w:t>As per unaudited</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56"/>
              <w:spacing w:after="0" w:line="153" w:lineRule="exact"/>
              <w:rPr>
                <w:sz w:val="20"/>
                <w:szCs w:val="20"/>
                <w:color w:val="auto"/>
              </w:rPr>
            </w:pPr>
            <w:r>
              <w:rPr>
                <w:rFonts w:ascii="Arial" w:cs="Arial" w:eastAsia="Arial" w:hAnsi="Arial"/>
                <w:sz w:val="16"/>
                <w:szCs w:val="16"/>
                <w:b w:val="1"/>
                <w:bCs w:val="1"/>
                <w:color w:val="auto"/>
                <w:w w:val="86"/>
              </w:rPr>
              <w:t>Gain/(loss) on</w:t>
            </w:r>
          </w:p>
        </w:tc>
        <w:tc>
          <w:tcPr>
            <w:tcW w:w="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center"/>
              <w:spacing w:after="0" w:line="153" w:lineRule="exact"/>
              <w:rPr>
                <w:sz w:val="20"/>
                <w:szCs w:val="20"/>
                <w:color w:val="auto"/>
              </w:rPr>
            </w:pPr>
            <w:r>
              <w:rPr>
                <w:rFonts w:ascii="Arial" w:cs="Arial" w:eastAsia="Arial" w:hAnsi="Arial"/>
                <w:sz w:val="16"/>
                <w:szCs w:val="16"/>
                <w:b w:val="1"/>
                <w:bCs w:val="1"/>
                <w:color w:val="auto"/>
                <w:w w:val="88"/>
              </w:rPr>
              <w:t>As per unaudited</w:t>
            </w: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Gain/(loss) on</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4"/>
            <w:vMerge w:val="restart"/>
            <w:shd w:val="clear" w:color="auto" w:fill="CCEEFF"/>
          </w:tcPr>
          <w:p>
            <w:pPr>
              <w:jc w:val="center"/>
              <w:ind w:right="24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2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derivative</w:t>
            </w:r>
          </w:p>
        </w:tc>
        <w:tc>
          <w:tcPr>
            <w:tcW w:w="140" w:type="dxa"/>
            <w:vAlign w:val="bottom"/>
            <w:shd w:val="clear" w:color="auto" w:fill="CCEEFF"/>
          </w:tcPr>
          <w:p>
            <w:pPr>
              <w:spacing w:after="0"/>
              <w:rPr>
                <w:sz w:val="6"/>
                <w:szCs w:val="6"/>
                <w:color w:val="auto"/>
              </w:rPr>
            </w:pPr>
          </w:p>
        </w:tc>
        <w:tc>
          <w:tcPr>
            <w:tcW w:w="1160" w:type="dxa"/>
            <w:vAlign w:val="bottom"/>
            <w:gridSpan w:val="2"/>
            <w:vMerge w:val="restart"/>
            <w:shd w:val="clear" w:color="auto" w:fill="CCEEFF"/>
          </w:tcPr>
          <w:p>
            <w:pPr>
              <w:jc w:val="center"/>
              <w:ind w:right="41"/>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0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gridSpan w:val="2"/>
            <w:vMerge w:val="restart"/>
            <w:shd w:val="clear" w:color="auto" w:fill="CCEEFF"/>
          </w:tcPr>
          <w:p>
            <w:pPr>
              <w:jc w:val="right"/>
              <w:spacing w:after="0" w:line="158" w:lineRule="exact"/>
              <w:rPr>
                <w:sz w:val="20"/>
                <w:szCs w:val="20"/>
                <w:color w:val="auto"/>
              </w:rPr>
            </w:pPr>
            <w:r>
              <w:rPr>
                <w:rFonts w:ascii="Arial" w:cs="Arial" w:eastAsia="Arial" w:hAnsi="Arial"/>
                <w:sz w:val="16"/>
                <w:szCs w:val="16"/>
                <w:b w:val="1"/>
                <w:bCs w:val="1"/>
                <w:color w:val="auto"/>
                <w:w w:val="98"/>
              </w:rPr>
              <w:t>derivative finan</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4"/>
            <w:vMerge w:val="restart"/>
            <w:shd w:val="clear" w:color="auto" w:fill="CCEEFF"/>
          </w:tcPr>
          <w:p>
            <w:pPr>
              <w:jc w:val="center"/>
              <w:ind w:right="240"/>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2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financial</w:t>
            </w:r>
          </w:p>
        </w:tc>
        <w:tc>
          <w:tcPr>
            <w:tcW w:w="140" w:type="dxa"/>
            <w:vAlign w:val="bottom"/>
            <w:shd w:val="clear" w:color="auto" w:fill="CCEEFF"/>
          </w:tcPr>
          <w:p>
            <w:pPr>
              <w:spacing w:after="0"/>
              <w:rPr>
                <w:sz w:val="6"/>
                <w:szCs w:val="6"/>
                <w:color w:val="auto"/>
              </w:rPr>
            </w:pPr>
          </w:p>
        </w:tc>
        <w:tc>
          <w:tcPr>
            <w:tcW w:w="1160" w:type="dxa"/>
            <w:vAlign w:val="bottom"/>
            <w:gridSpan w:val="2"/>
            <w:vMerge w:val="restart"/>
            <w:shd w:val="clear" w:color="auto" w:fill="CCEEFF"/>
          </w:tcPr>
          <w:p>
            <w:pPr>
              <w:jc w:val="center"/>
              <w:ind w:right="41"/>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0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instruments</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5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80" w:type="dxa"/>
            <w:vAlign w:val="bottom"/>
            <w:gridSpan w:val="4"/>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5"/>
              </w:rPr>
              <w:t>income</w:t>
            </w:r>
          </w:p>
        </w:tc>
        <w:tc>
          <w:tcPr>
            <w:tcW w:w="12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7"/>
              </w:rPr>
              <w:t>instruments</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center"/>
              <w:ind w:right="141"/>
              <w:spacing w:after="0"/>
              <w:rPr>
                <w:sz w:val="20"/>
                <w:szCs w:val="20"/>
                <w:color w:val="auto"/>
              </w:rPr>
            </w:pPr>
            <w:r>
              <w:rPr>
                <w:rFonts w:ascii="Arial" w:cs="Arial" w:eastAsia="Arial" w:hAnsi="Arial"/>
                <w:sz w:val="16"/>
                <w:szCs w:val="16"/>
                <w:b w:val="1"/>
                <w:bCs w:val="1"/>
                <w:color w:val="auto"/>
                <w:w w:val="85"/>
              </w:rPr>
              <w:t>income</w:t>
            </w:r>
          </w:p>
        </w:tc>
        <w:tc>
          <w:tcPr>
            <w:tcW w:w="100" w:type="dxa"/>
            <w:vAlign w:val="bottom"/>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40" w:type="dxa"/>
            <w:vAlign w:val="bottom"/>
          </w:tcPr>
          <w:p>
            <w:pPr>
              <w:spacing w:after="0"/>
              <w:rPr>
                <w:sz w:val="7"/>
                <w:szCs w:val="7"/>
                <w:color w:val="auto"/>
              </w:rPr>
            </w:pPr>
          </w:p>
        </w:tc>
        <w:tc>
          <w:tcPr>
            <w:tcW w:w="5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80" w:type="dxa"/>
            <w:vAlign w:val="bottom"/>
            <w:gridSpan w:val="4"/>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in cash flow hedging relationships</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5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7"/>
                <w:szCs w:val="17"/>
                <w:color w:val="auto"/>
              </w:rPr>
              <w:t>Location in unaudited consolidated statements of income where</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gain/(loss) was reclassified from AOCI</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760,691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659,185</w:t>
            </w:r>
          </w:p>
        </w:tc>
        <w:tc>
          <w:tcPr>
            <w:tcW w:w="800" w:type="dxa"/>
            <w:vAlign w:val="bottom"/>
            <w:gridSpan w:val="2"/>
            <w:shd w:val="clear" w:color="auto" w:fill="CCEEFF"/>
          </w:tcPr>
          <w:p>
            <w:pPr>
              <w:jc w:val="right"/>
              <w:ind w:right="519"/>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 expenses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144,564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122,898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88,674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72,034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38,192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(185)</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42,057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10,030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before tax</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effects on above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of tax</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(3,560)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gridSpan w:val="2"/>
          </w:tcPr>
          <w:p>
            <w:pPr>
              <w:jc w:val="right"/>
              <w:ind w:right="519"/>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5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5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7"/>
                <w:szCs w:val="17"/>
                <w:color w:val="auto"/>
              </w:rPr>
              <w:t>Location in unaudited consolidated statements of income where</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gain/(loss) was recognized</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 gain/(loss),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838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574</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4,683</w:t>
            </w:r>
          </w:p>
        </w:tc>
        <w:tc>
          <w:tcPr>
            <w:tcW w:w="800" w:type="dxa"/>
            <w:vAlign w:val="bottom"/>
            <w:gridSpan w:val="2"/>
          </w:tcPr>
          <w:p>
            <w:pPr>
              <w:jc w:val="right"/>
              <w:ind w:right="519"/>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18. Borrowings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57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720" w:type="dxa"/>
            <w:vAlign w:val="bottom"/>
            <w:gridSpan w:val="3"/>
          </w:tcPr>
          <w:p>
            <w:pPr>
              <w:ind w:left="400"/>
              <w:spacing w:after="0"/>
              <w:rPr>
                <w:sz w:val="20"/>
                <w:szCs w:val="20"/>
                <w:color w:val="auto"/>
              </w:rPr>
            </w:pPr>
            <w:r>
              <w:rPr>
                <w:rFonts w:ascii="Arial" w:cs="Arial" w:eastAsia="Arial" w:hAnsi="Arial"/>
                <w:sz w:val="17"/>
                <w:szCs w:val="17"/>
                <w:color w:val="auto"/>
              </w:rPr>
              <w:t>The following table summarizes the Company’s debt position:</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 of</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5"/>
              </w:rPr>
              <w:t>September 30, 2023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December 31, 2022</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4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4"/>
                <w:szCs w:val="14"/>
                <w:b w:val="1"/>
                <w:bCs w:val="1"/>
                <w:color w:val="auto"/>
              </w:rPr>
              <w:t>Revolving credit facility</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portion of long-term borrowings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160" w:type="dxa"/>
            <w:vAlign w:val="bottom"/>
            <w:gridSpan w:val="2"/>
            <w:shd w:val="clear" w:color="auto" w:fill="CCEEFF"/>
          </w:tcPr>
          <w:p>
            <w:pPr>
              <w:jc w:val="right"/>
              <w:ind w:right="881"/>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72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160,000</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220,000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borrowings</w:t>
            </w:r>
          </w:p>
        </w:tc>
        <w:tc>
          <w:tcPr>
            <w:tcW w:w="140" w:type="dxa"/>
            <w:vAlign w:val="bottom"/>
          </w:tcPr>
          <w:p>
            <w:pPr>
              <w:spacing w:after="0"/>
              <w:rPr>
                <w:sz w:val="18"/>
                <w:szCs w:val="18"/>
                <w:color w:val="auto"/>
              </w:rPr>
            </w:pPr>
          </w:p>
        </w:tc>
        <w:tc>
          <w:tcPr>
            <w:tcW w:w="138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210,000</w:t>
            </w:r>
          </w:p>
        </w:tc>
        <w:tc>
          <w:tcPr>
            <w:tcW w:w="1160" w:type="dxa"/>
            <w:vAlign w:val="bottom"/>
            <w:gridSpan w:val="2"/>
          </w:tcPr>
          <w:p>
            <w:pPr>
              <w:jc w:val="right"/>
              <w:ind w:right="881"/>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250,000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Unamortized debt issuance costs for the Company’s revolving credit facility of $972 and $1,177 as of September 30, 2023 and December 31, 2022, respectively, are presented under “Other current assets” and “Other assets,” as applicable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24"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198"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Secured Overnight Financing Rate (“SOFR”) as the reference rate for the U.S. dollar borrowings.</w:t>
      </w:r>
    </w:p>
    <w:p>
      <w:pPr>
        <w:spacing w:after="0" w:line="209"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20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Obligations under the 2022 Credit Agreement are guaranteed by the Company’s material domestic subsidiaries and are secured by all or substantially all of the Company’s and its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revolving credit facility carried an effective interest rate as shown below:</w:t>
      </w:r>
    </w:p>
    <w:p>
      <w:pPr>
        <w:spacing w:after="0" w:line="28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2900" w:type="dxa"/>
            <w:vAlign w:val="bottom"/>
            <w:gridSpan w:val="5"/>
          </w:tcPr>
          <w:p>
            <w:pPr>
              <w:ind w:left="200"/>
              <w:spacing w:after="0"/>
              <w:rPr>
                <w:sz w:val="20"/>
                <w:szCs w:val="20"/>
                <w:color w:val="auto"/>
              </w:rPr>
            </w:pPr>
            <w:r>
              <w:rPr>
                <w:rFonts w:ascii="Arial" w:cs="Arial" w:eastAsia="Arial" w:hAnsi="Arial"/>
                <w:sz w:val="16"/>
                <w:szCs w:val="16"/>
                <w:b w:val="1"/>
                <w:bCs w:val="1"/>
                <w:color w:val="auto"/>
                <w:w w:val="98"/>
              </w:rPr>
              <w:t>Three months ended September 30,</w:t>
            </w:r>
          </w:p>
        </w:tc>
        <w:tc>
          <w:tcPr>
            <w:tcW w:w="2800" w:type="dxa"/>
            <w:vAlign w:val="bottom"/>
            <w:gridSpan w:val="3"/>
          </w:tcPr>
          <w:p>
            <w:pPr>
              <w:jc w:val="right"/>
              <w:ind w:right="177"/>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03"/>
        </w:trPr>
        <w:tc>
          <w:tcPr>
            <w:tcW w:w="49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2022</w:t>
            </w: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Interest Rate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r>
    </w:tbl>
    <w:p>
      <w:pPr>
        <w:spacing w:after="0" w:line="302"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As of September 30, 2023 and December 31, 2022, the Company was in compliance with all financial and non-financial covenants listed under the revolving credit facility.</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Expected payments for all of the Company’s borrowings as of September 30, 2023 were as follows:</w:t>
      </w:r>
    </w:p>
    <w:p>
      <w:pPr>
        <w:spacing w:after="0" w:line="262"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6"/>
                <w:szCs w:val="16"/>
                <w:b w:val="1"/>
                <w:bCs w:val="1"/>
                <w:color w:val="auto"/>
              </w:rPr>
              <w:t>Revolving credit facility</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Principal</w:t>
            </w:r>
          </w:p>
        </w:tc>
        <w:tc>
          <w:tcPr>
            <w:tcW w:w="220" w:type="dxa"/>
            <w:vAlign w:val="bottom"/>
          </w:tcPr>
          <w:p>
            <w:pPr>
              <w:spacing w:after="0"/>
              <w:rPr>
                <w:sz w:val="14"/>
                <w:szCs w:val="14"/>
                <w:color w:val="auto"/>
              </w:rPr>
            </w:pPr>
          </w:p>
        </w:tc>
        <w:tc>
          <w:tcPr>
            <w:tcW w:w="1220" w:type="dxa"/>
            <w:vAlign w:val="bottom"/>
          </w:tcPr>
          <w:p>
            <w:pPr>
              <w:jc w:val="right"/>
              <w:ind w:right="381"/>
              <w:spacing w:after="0" w:line="166" w:lineRule="exact"/>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40"/>
        </w:trPr>
        <w:tc>
          <w:tcPr>
            <w:tcW w:w="4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vMerge w:val="restart"/>
          </w:tcPr>
          <w:p>
            <w:pPr>
              <w:jc w:val="right"/>
              <w:ind w:right="281"/>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07"/>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Payments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 (October 1 - December 31)</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35,000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7"/>
                <w:szCs w:val="17"/>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10,659</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10,069</w:t>
            </w:r>
          </w:p>
        </w:tc>
        <w:tc>
          <w:tcPr>
            <w:tcW w:w="0" w:type="dxa"/>
            <w:vAlign w:val="bottom"/>
          </w:tcPr>
          <w:p>
            <w:pPr>
              <w:spacing w:after="0"/>
              <w:rPr>
                <w:sz w:val="1"/>
                <w:szCs w:val="1"/>
                <w:color w:val="auto"/>
              </w:rPr>
            </w:pP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color w:val="auto"/>
              </w:rPr>
              <w:t>2026</w:t>
            </w:r>
          </w:p>
        </w:tc>
        <w:tc>
          <w:tcPr>
            <w:tcW w:w="3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10,069</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160,000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200"/>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210,000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37,602</w:t>
            </w:r>
          </w:p>
        </w:tc>
        <w:tc>
          <w:tcPr>
            <w:tcW w:w="0" w:type="dxa"/>
            <w:vAlign w:val="bottom"/>
          </w:tcPr>
          <w:p>
            <w:pPr>
              <w:spacing w:after="0"/>
              <w:rPr>
                <w:sz w:val="1"/>
                <w:szCs w:val="1"/>
                <w:color w:val="auto"/>
              </w:rPr>
            </w:pPr>
          </w:p>
        </w:tc>
      </w:tr>
      <w:tr>
        <w:trPr>
          <w:trHeight w:val="23"/>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1400" w:hanging="136"/>
        <w:spacing w:after="0"/>
        <w:tabs>
          <w:tab w:leader="none" w:pos="1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payments are based on interest rate prevailing as of September 30, 2023.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237" w:lineRule="exact"/>
        <w:rPr>
          <w:sz w:val="20"/>
          <w:szCs w:val="20"/>
          <w:color w:val="auto"/>
        </w:rPr>
      </w:pPr>
    </w:p>
    <w:p>
      <w:pPr>
        <w:ind w:firstLine="393"/>
        <w:spacing w:after="0" w:line="305"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each of September 30, 2023 and December 31, 2022, the Company had outstanding letters of credit of $461, that were not recognized in the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Capital Structure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one class of common stock outstanding.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237"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On June 20, 2023, the Company’s stockholders approved an amendment to the Company’s Amended and Restated Certificate of Incorporation, which upon filing with the State of Delaware on August 1, 2023, and effectiveness thereof, effected a 5-for-1 forward stock split of the Company’s common stock (the “2023 Stock Split”) and an increase in the number of authorized shares of the Company’s common stock from 100,000,000 shares to 400,000,000 shares. The par value of each share of common stock, $0.001, remained unchanged.</w:t>
      </w:r>
    </w:p>
    <w:p>
      <w:pPr>
        <w:spacing w:after="0" w:line="20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Pursuant to the 2023 Stock Split, each stockholder of record on July 25, 2023 holding shares of the Company’s common stock received four additional shares of the Company’s common stock for every one share held. The additional shares were distributed after the close of business on August 1, 2023. The common shares began trading on the Nasdaq Global Select Market on a post-split basis on August 2, 2023.</w:t>
      </w:r>
    </w:p>
    <w:p>
      <w:pPr>
        <w:spacing w:after="0" w:line="21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All share count and per share amounts in the unaudited consolidated financial statements have been retrospectively adjusted from January 1, 2022 to reflect the 2023 Stock Split as if it occurred at the beginning of the earliest period presented. An amount equal to the par value of the increased shares resulting from the 2023 Stock Split was reclassified from “Additional paid-in capital” to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9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The Company purchased shares of its common stock from employees in connection with withholding tax payments related to the vesting of restricted stock units and performance-based restricted stock units, as below:</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Shares repurchased</w:t>
            </w:r>
          </w:p>
        </w:tc>
        <w:tc>
          <w:tcPr>
            <w:tcW w:w="15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w w:val="97"/>
              </w:rPr>
              <w:t>Total consideration</w:t>
            </w:r>
          </w:p>
        </w:tc>
        <w:tc>
          <w:tcPr>
            <w:tcW w:w="120" w:type="dxa"/>
            <w:vAlign w:val="bottom"/>
          </w:tcPr>
          <w:p>
            <w:pPr>
              <w:spacing w:after="0"/>
              <w:rPr>
                <w:sz w:val="16"/>
                <w:szCs w:val="16"/>
                <w:color w:val="auto"/>
              </w:rPr>
            </w:pPr>
          </w:p>
        </w:tc>
        <w:tc>
          <w:tcPr>
            <w:tcW w:w="2360" w:type="dxa"/>
            <w:vAlign w:val="bottom"/>
          </w:tcPr>
          <w:p>
            <w:pPr>
              <w:jc w:val="right"/>
              <w:ind w:right="36"/>
              <w:spacing w:after="0"/>
              <w:rPr>
                <w:sz w:val="20"/>
                <w:szCs w:val="20"/>
                <w:color w:val="auto"/>
              </w:rPr>
            </w:pPr>
            <w:r>
              <w:rPr>
                <w:rFonts w:ascii="Arial" w:cs="Arial" w:eastAsia="Arial" w:hAnsi="Arial"/>
                <w:sz w:val="16"/>
                <w:szCs w:val="16"/>
                <w:b w:val="1"/>
                <w:bCs w:val="1"/>
                <w:color w:val="auto"/>
                <w:w w:val="86"/>
              </w:rPr>
              <w:t>Weighted average purchase price</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ind w:right="756"/>
              <w:spacing w:after="0" w:line="209" w:lineRule="exact"/>
              <w:rPr>
                <w:sz w:val="20"/>
                <w:szCs w:val="20"/>
                <w:color w:val="auto"/>
              </w:rPr>
            </w:pPr>
            <w:r>
              <w:rPr>
                <w:rFonts w:ascii="Arial" w:cs="Arial" w:eastAsia="Arial" w:hAnsi="Arial"/>
                <w:sz w:val="16"/>
                <w:szCs w:val="16"/>
                <w:b w:val="1"/>
                <w:bCs w:val="1"/>
                <w:color w:val="auto"/>
              </w:rPr>
              <w:t xml:space="preserve">per share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45,267</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29.25</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Three months ended September 30, 2022</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Nine months ended September 30, 2023</w:t>
            </w:r>
          </w:p>
        </w:tc>
        <w:tc>
          <w:tcPr>
            <w:tcW w:w="1400" w:type="dxa"/>
            <w:vAlign w:val="bottom"/>
          </w:tcPr>
          <w:p>
            <w:pPr>
              <w:jc w:val="right"/>
              <w:spacing w:after="0"/>
              <w:rPr>
                <w:sz w:val="20"/>
                <w:szCs w:val="20"/>
                <w:color w:val="auto"/>
              </w:rPr>
            </w:pPr>
            <w:r>
              <w:rPr>
                <w:rFonts w:ascii="Arial" w:cs="Arial" w:eastAsia="Arial" w:hAnsi="Arial"/>
                <w:sz w:val="17"/>
                <w:szCs w:val="17"/>
                <w:color w:val="auto"/>
              </w:rPr>
              <w:t>237,047</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7,853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360" w:type="dxa"/>
            <w:vAlign w:val="bottom"/>
          </w:tcPr>
          <w:p>
            <w:pPr>
              <w:jc w:val="right"/>
              <w:spacing w:after="0"/>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2022</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136,095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398"/>
        <w:spacing w:after="0" w:line="273" w:lineRule="auto"/>
        <w:tabs>
          <w:tab w:leader="none" w:pos="6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weighted average purchase price per share is based on the closing price of the Company’s common stock on the Nasdaq Global Select Market on the trading day prior to the applicable vesting date of the shares of restricted stock.</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On October 5, 2021, the Company’s board of directors authorized a $300,000 common stock repurchase program beginning January 1, 2022 (the “2022 Repurchase Program”).</w:t>
      </w:r>
    </w:p>
    <w:p>
      <w:pPr>
        <w:spacing w:after="0" w:line="198" w:lineRule="exact"/>
        <w:rPr>
          <w:sz w:val="20"/>
          <w:szCs w:val="20"/>
          <w:color w:val="auto"/>
        </w:rPr>
      </w:pPr>
    </w:p>
    <w:p>
      <w:pPr>
        <w:ind w:firstLine="393"/>
        <w:spacing w:after="0" w:line="360" w:lineRule="auto"/>
        <w:rPr>
          <w:sz w:val="20"/>
          <w:szCs w:val="20"/>
          <w:color w:val="auto"/>
        </w:rPr>
      </w:pPr>
      <w:r>
        <w:rPr>
          <w:rFonts w:ascii="Arial" w:cs="Arial" w:eastAsia="Arial" w:hAnsi="Arial"/>
          <w:sz w:val="15"/>
          <w:szCs w:val="15"/>
          <w:color w:val="auto"/>
        </w:rPr>
        <w:t>Under the 2022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purchased shares of its common stock, for a total consideration including commissions, under the 2022 Repurchase Program, as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Shares repurchased</w:t>
            </w:r>
          </w:p>
        </w:tc>
        <w:tc>
          <w:tcPr>
            <w:tcW w:w="15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7"/>
              </w:rPr>
              <w:t>Total consideration</w:t>
            </w:r>
          </w:p>
        </w:tc>
        <w:tc>
          <w:tcPr>
            <w:tcW w:w="23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Weighted average purchase price</w:t>
            </w: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vMerge w:val="restart"/>
          </w:tcPr>
          <w:p>
            <w:pPr>
              <w:jc w:val="right"/>
              <w:ind w:right="734"/>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82"/>
        </w:trPr>
        <w:tc>
          <w:tcPr>
            <w:tcW w:w="508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2023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975,774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Three months ended September 30, 2022</w:t>
            </w:r>
          </w:p>
        </w:tc>
        <w:tc>
          <w:tcPr>
            <w:tcW w:w="1440" w:type="dxa"/>
            <w:vAlign w:val="bottom"/>
          </w:tcPr>
          <w:p>
            <w:pPr>
              <w:jc w:val="right"/>
              <w:spacing w:after="0"/>
              <w:rPr>
                <w:sz w:val="20"/>
                <w:szCs w:val="20"/>
                <w:color w:val="auto"/>
              </w:rPr>
            </w:pPr>
            <w:r>
              <w:rPr>
                <w:rFonts w:ascii="Arial" w:cs="Arial" w:eastAsia="Arial" w:hAnsi="Arial"/>
                <w:sz w:val="17"/>
                <w:szCs w:val="17"/>
                <w:color w:val="auto"/>
              </w:rPr>
              <w:t>384,045</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11,521</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Nine months ended September 30, 2023</w:t>
            </w:r>
          </w:p>
        </w:tc>
        <w:tc>
          <w:tcPr>
            <w:tcW w:w="1440" w:type="dxa"/>
            <w:vAlign w:val="bottom"/>
          </w:tcPr>
          <w:p>
            <w:pPr>
              <w:jc w:val="right"/>
              <w:spacing w:after="0"/>
              <w:rPr>
                <w:sz w:val="20"/>
                <w:szCs w:val="20"/>
                <w:color w:val="auto"/>
              </w:rPr>
            </w:pPr>
            <w:r>
              <w:rPr>
                <w:rFonts w:ascii="Arial" w:cs="Arial" w:eastAsia="Arial" w:hAnsi="Arial"/>
                <w:sz w:val="17"/>
                <w:szCs w:val="17"/>
                <w:color w:val="auto"/>
              </w:rPr>
              <w:t>3,001,619</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93,483</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31.14</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2022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27.20</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Repurchased shares have been recorded as treasury shares and will be held until the Company’s board of directors designates that these shares be retired or used for other purposes.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Employee Benefit Plans</w:t>
      </w:r>
    </w:p>
    <w:p>
      <w:pPr>
        <w:spacing w:after="0" w:line="243"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9"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7.2% per annum on the India Plan for the year ending on December 31, 2023.</w:t>
      </w:r>
    </w:p>
    <w:p>
      <w:pPr>
        <w:spacing w:after="0" w:line="311"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assets as of January 1, 2023</w:t>
            </w: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14,449</w:t>
            </w: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Actual return</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853</w:t>
            </w: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Employer contribution</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Benefits paid*</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(1,015)</w:t>
            </w: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Effect of exchange rate changes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6"/>
        </w:trPr>
        <w:tc>
          <w:tcPr>
            <w:tcW w:w="7620" w:type="dxa"/>
            <w:vAlign w:val="bottom"/>
          </w:tcPr>
          <w:p>
            <w:pPr>
              <w:ind w:left="20"/>
              <w:spacing w:after="0"/>
              <w:rPr>
                <w:sz w:val="20"/>
                <w:szCs w:val="20"/>
                <w:color w:val="auto"/>
              </w:rPr>
            </w:pPr>
            <w:r>
              <w:rPr>
                <w:rFonts w:ascii="Arial" w:cs="Arial" w:eastAsia="Arial" w:hAnsi="Arial"/>
                <w:sz w:val="17"/>
                <w:szCs w:val="17"/>
                <w:color w:val="auto"/>
              </w:rPr>
              <w:t>Plan assets as of September 30, 2023</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17,130</w:t>
            </w:r>
          </w:p>
        </w:tc>
      </w:tr>
      <w:tr>
        <w:trPr>
          <w:trHeight w:val="20"/>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Benefits payments were substantially made through the plan assets during the nine months ended September 30, 2023.</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Components of net periodic benefit costs recognized in unaudited consolidated statements of income and actuarial (gain)/loss reclassified from AOCI, were as follows: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29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54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2,869</w:t>
            </w:r>
          </w:p>
        </w:tc>
      </w:tr>
      <w:tr>
        <w:trPr>
          <w:trHeight w:val="223"/>
        </w:trPr>
        <w:tc>
          <w:tcPr>
            <w:tcW w:w="524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938</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actuarial (gain)/loss, gross of tax</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r>
      <w:tr>
        <w:trPr>
          <w:trHeight w:val="241"/>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gratuity cost</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actuarial (gain)/loss, gross of tax</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effects on above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actuarial (gain)/loss, net of tax</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r>
    </w:tbl>
    <w:p>
      <w:pPr>
        <w:spacing w:after="0" w:line="53" w:lineRule="exact"/>
        <w:rPr>
          <w:sz w:val="20"/>
          <w:szCs w:val="20"/>
          <w:color w:val="auto"/>
        </w:rPr>
      </w:pPr>
    </w:p>
    <w:p>
      <w:pPr>
        <w:jc w:val="both"/>
        <w:ind w:right="20" w:firstLine="472"/>
        <w:spacing w:after="0" w:line="257" w:lineRule="auto"/>
        <w:rPr>
          <w:sz w:val="20"/>
          <w:szCs w:val="20"/>
          <w:color w:val="auto"/>
        </w:rPr>
      </w:pPr>
      <w:r>
        <w:rPr>
          <w:rFonts w:ascii="Arial" w:cs="Arial" w:eastAsia="Arial" w:hAnsi="Arial"/>
          <w:sz w:val="17"/>
          <w:szCs w:val="17"/>
          <w:color w:val="auto"/>
        </w:rPr>
        <w:t>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3.0% of employee compensation within certain limits.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accrual for contribution to the 401(k) Plans was as follows:</w:t>
      </w:r>
    </w:p>
    <w:p>
      <w:pPr>
        <w:spacing w:after="0" w:line="266"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6260" w:type="dxa"/>
            <w:vAlign w:val="bottom"/>
          </w:tcPr>
          <w:p>
            <w:pPr>
              <w:spacing w:after="0"/>
              <w:rPr>
                <w:sz w:val="15"/>
                <w:szCs w:val="15"/>
                <w:color w:val="auto"/>
              </w:rPr>
            </w:pPr>
          </w:p>
        </w:tc>
        <w:tc>
          <w:tcPr>
            <w:tcW w:w="2380" w:type="dxa"/>
            <w:vAlign w:val="bottom"/>
            <w:gridSpan w:val="6"/>
          </w:tcPr>
          <w:p>
            <w:pPr>
              <w:ind w:left="100"/>
              <w:spacing w:after="0"/>
              <w:rPr>
                <w:sz w:val="20"/>
                <w:szCs w:val="20"/>
                <w:color w:val="auto"/>
              </w:rPr>
            </w:pPr>
            <w:r>
              <w:rPr>
                <w:rFonts w:ascii="Arial" w:cs="Arial" w:eastAsia="Arial" w:hAnsi="Arial"/>
                <w:sz w:val="14"/>
                <w:szCs w:val="14"/>
                <w:b w:val="1"/>
                <w:bCs w:val="1"/>
                <w:color w:val="auto"/>
                <w:w w:val="95"/>
              </w:rPr>
              <w:t>Three months ended September 30,</w:t>
            </w:r>
          </w:p>
        </w:tc>
        <w:tc>
          <w:tcPr>
            <w:tcW w:w="2220" w:type="dxa"/>
            <w:vAlign w:val="bottom"/>
            <w:gridSpan w:val="5"/>
          </w:tcPr>
          <w:p>
            <w:pPr>
              <w:jc w:val="right"/>
              <w:ind w:right="2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6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Contribution to the 401(k) Plans</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4,140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20" w:firstLine="472"/>
        <w:spacing w:after="0" w:line="267" w:lineRule="auto"/>
        <w:rPr>
          <w:sz w:val="20"/>
          <w:szCs w:val="20"/>
          <w:color w:val="auto"/>
        </w:rPr>
      </w:pPr>
      <w:r>
        <w:rPr>
          <w:rFonts w:ascii="Arial" w:cs="Arial" w:eastAsia="Arial" w:hAnsi="Arial"/>
          <w:sz w:val="17"/>
          <w:szCs w:val="17"/>
          <w:color w:val="auto"/>
        </w:rPr>
        <w:t>The Company’s contribution for various defined social security contribution plans on behalf of employees in foreign subsidiaries of the Company was as follows: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6340" w:type="dxa"/>
            <w:vAlign w:val="bottom"/>
          </w:tcPr>
          <w:p>
            <w:pPr>
              <w:spacing w:after="0"/>
              <w:rPr>
                <w:sz w:val="15"/>
                <w:szCs w:val="15"/>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Three months ended September 30,</w:t>
            </w: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4"/>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Contributions to the defined social security contribution plans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4,660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13,422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Leases</w:t>
      </w:r>
    </w:p>
    <w:p>
      <w:pPr>
        <w:spacing w:after="0" w:line="256" w:lineRule="exact"/>
        <w:rPr>
          <w:sz w:val="20"/>
          <w:szCs w:val="20"/>
          <w:color w:val="auto"/>
        </w:rPr>
      </w:pPr>
    </w:p>
    <w:p>
      <w:pPr>
        <w:jc w:val="both"/>
        <w:ind w:right="20" w:firstLine="393"/>
        <w:spacing w:after="0" w:line="265" w:lineRule="auto"/>
        <w:rPr>
          <w:sz w:val="20"/>
          <w:szCs w:val="20"/>
          <w:color w:val="auto"/>
        </w:rPr>
      </w:pPr>
      <w:r>
        <w:rPr>
          <w:rFonts w:ascii="Arial" w:cs="Arial" w:eastAsia="Arial" w:hAnsi="Arial"/>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79" w:lineRule="exact"/>
        <w:rPr>
          <w:sz w:val="20"/>
          <w:szCs w:val="20"/>
          <w:color w:val="auto"/>
        </w:rPr>
      </w:pPr>
    </w:p>
    <w:p>
      <w:pPr>
        <w:jc w:val="both"/>
        <w:ind w:right="20" w:firstLine="393"/>
        <w:spacing w:after="0" w:line="252" w:lineRule="auto"/>
        <w:rPr>
          <w:sz w:val="20"/>
          <w:szCs w:val="20"/>
          <w:color w:val="auto"/>
        </w:rPr>
      </w:pPr>
      <w:r>
        <w:rPr>
          <w:rFonts w:ascii="Arial" w:cs="Arial" w:eastAsia="Arial" w:hAnsi="Arial"/>
          <w:sz w:val="17"/>
          <w:szCs w:val="17"/>
          <w:color w:val="auto"/>
        </w:rPr>
        <w:t xml:space="preserve">The Company had performed an evaluation of its contracts with suppliers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and had determined that, except for leases for office facilities, motor vehicles and other equipment as described above, none of the Company’s contracts contain a lease. As part of the Company’s efforts to optimize its existing network of operations centers, the Company continued to evaluate its office facilities to determine where it can exit or consolidate its use of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balance sheet information</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6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As of</w:t>
            </w:r>
          </w:p>
        </w:tc>
        <w:tc>
          <w:tcPr>
            <w:tcW w:w="1620" w:type="dxa"/>
            <w:vAlign w:val="bottom"/>
          </w:tcPr>
          <w:p>
            <w:pPr>
              <w:spacing w:after="0"/>
              <w:rPr>
                <w:sz w:val="15"/>
                <w:szCs w:val="15"/>
                <w:color w:val="auto"/>
              </w:rPr>
            </w:pPr>
          </w:p>
        </w:tc>
      </w:tr>
      <w:tr>
        <w:trPr>
          <w:trHeight w:val="24"/>
        </w:trPr>
        <w:tc>
          <w:tcPr>
            <w:tcW w:w="6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3"/>
        </w:trPr>
        <w:tc>
          <w:tcPr>
            <w:tcW w:w="6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1620" w:type="dxa"/>
            <w:vAlign w:val="bottom"/>
          </w:tcPr>
          <w:p>
            <w:pPr>
              <w:jc w:val="right"/>
              <w:ind w:right="282"/>
              <w:spacing w:after="0"/>
              <w:rPr>
                <w:sz w:val="20"/>
                <w:szCs w:val="20"/>
                <w:color w:val="auto"/>
              </w:rPr>
            </w:pPr>
            <w:r>
              <w:rPr>
                <w:rFonts w:ascii="Arial" w:cs="Arial" w:eastAsia="Arial" w:hAnsi="Arial"/>
                <w:sz w:val="14"/>
                <w:szCs w:val="14"/>
                <w:b w:val="1"/>
                <w:bCs w:val="1"/>
                <w:color w:val="auto"/>
                <w:w w:val="98"/>
              </w:rPr>
              <w:t>December 31, 2022</w:t>
            </w:r>
          </w:p>
        </w:tc>
      </w:tr>
      <w:tr>
        <w:trPr>
          <w:trHeight w:val="197"/>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Lease</w:t>
            </w: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47"/>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Operating lease right-of-use assets, net</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55,347</w:t>
            </w:r>
          </w:p>
        </w:tc>
      </w:tr>
      <w:tr>
        <w:trPr>
          <w:trHeight w:val="207"/>
        </w:trPr>
        <w:tc>
          <w:tcPr>
            <w:tcW w:w="68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Operating lease liabilities - Current</w:t>
            </w:r>
          </w:p>
        </w:tc>
        <w:tc>
          <w:tcPr>
            <w:tcW w:w="22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14,008</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ind w:right="2"/>
              <w:spacing w:after="0"/>
              <w:rPr>
                <w:sz w:val="20"/>
                <w:szCs w:val="20"/>
                <w:color w:val="auto"/>
              </w:rPr>
            </w:pPr>
            <w:r>
              <w:rPr>
                <w:rFonts w:ascii="Arial" w:cs="Arial" w:eastAsia="Arial" w:hAnsi="Arial"/>
                <w:sz w:val="16"/>
                <w:szCs w:val="16"/>
                <w:color w:val="auto"/>
              </w:rPr>
              <w:t>14,978</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 Non-current</w:t>
            </w: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48,155</w:t>
            </w:r>
          </w:p>
        </w:tc>
      </w:tr>
      <w:tr>
        <w:trPr>
          <w:trHeight w:val="240"/>
        </w:trPr>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operating lease liabilities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62,453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63,133</w:t>
            </w:r>
          </w:p>
        </w:tc>
      </w:tr>
      <w:tr>
        <w:trPr>
          <w:trHeight w:val="207"/>
        </w:trPr>
        <w:tc>
          <w:tcPr>
            <w:tcW w:w="68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Finance Lease</w:t>
            </w:r>
          </w:p>
        </w:tc>
        <w:tc>
          <w:tcPr>
            <w:tcW w:w="2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gross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2,499</w:t>
            </w:r>
          </w:p>
        </w:tc>
      </w:tr>
      <w:tr>
        <w:trPr>
          <w:trHeight w:val="207"/>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r>
      <w:tr>
        <w:trPr>
          <w:trHeight w:val="206"/>
        </w:trPr>
        <w:tc>
          <w:tcPr>
            <w:tcW w:w="6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r>
      <w:tr>
        <w:trPr>
          <w:trHeight w:val="32"/>
        </w:trPr>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 Current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w:t>
            </w:r>
          </w:p>
        </w:tc>
      </w:tr>
      <w:tr>
        <w:trPr>
          <w:trHeight w:val="207"/>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Finance lease liabilities - Non-current</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355</w:t>
            </w:r>
          </w:p>
        </w:tc>
      </w:tr>
      <w:tr>
        <w:trPr>
          <w:trHeight w:val="228"/>
        </w:trPr>
        <w:tc>
          <w:tcPr>
            <w:tcW w:w="6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finance lease liabilities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cost, which are included in the Company’s unaudited consolidated statements of income, are as follows:</w:t>
      </w:r>
    </w:p>
    <w:p>
      <w:pPr>
        <w:spacing w:after="0" w:line="269"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Lease cost</w:t>
            </w:r>
          </w:p>
        </w:tc>
        <w:tc>
          <w:tcPr>
            <w:tcW w:w="2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9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4"/>
                <w:szCs w:val="14"/>
                <w:b w:val="1"/>
                <w:bCs w:val="1"/>
                <w:color w:val="auto"/>
              </w:rPr>
              <w:t>2022</w:t>
            </w:r>
          </w:p>
        </w:tc>
      </w:tr>
      <w:tr>
        <w:trPr>
          <w:trHeight w:val="200"/>
        </w:trPr>
        <w:tc>
          <w:tcPr>
            <w:tcW w:w="4620" w:type="dxa"/>
            <w:vAlign w:val="bottom"/>
          </w:tcPr>
          <w:p>
            <w:pPr>
              <w:ind w:left="320"/>
              <w:spacing w:after="0"/>
              <w:rPr>
                <w:sz w:val="20"/>
                <w:szCs w:val="20"/>
                <w:color w:val="auto"/>
              </w:rPr>
            </w:pPr>
            <w:r>
              <w:rPr>
                <w:rFonts w:ascii="Arial" w:cs="Arial" w:eastAsia="Arial" w:hAnsi="Arial"/>
                <w:sz w:val="16"/>
                <w:szCs w:val="16"/>
                <w:color w:val="auto"/>
              </w:rPr>
              <w:t>Amortization of right-of-use assets</w:t>
            </w:r>
          </w:p>
        </w:tc>
        <w:tc>
          <w:tcPr>
            <w:tcW w:w="1000" w:type="dxa"/>
            <w:vAlign w:val="bottom"/>
          </w:tcPr>
          <w:p>
            <w:pPr>
              <w:jc w:val="right"/>
              <w:ind w:right="84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on lease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4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46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Operating lease</w:t>
            </w:r>
            <w:r>
              <w:rPr>
                <w:rFonts w:ascii="Arial" w:cs="Arial" w:eastAsia="Arial" w:hAnsi="Arial"/>
                <w:sz w:val="20"/>
                <w:szCs w:val="20"/>
                <w:b w:val="1"/>
                <w:bCs w:val="1"/>
                <w:color w:val="auto"/>
                <w:vertAlign w:val="superscript"/>
              </w:rPr>
              <w:t>(a)</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4,839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5,360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15,171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r>
      <w:tr>
        <w:trPr>
          <w:trHeight w:val="20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Variable lease costs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3,334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23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lease cost</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6,700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18,695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Includes short-term leases, which are immaterial.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cash flow and other information related to leases are as follows:</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328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6"/>
                <w:szCs w:val="16"/>
                <w:b w:val="1"/>
                <w:bCs w:val="1"/>
                <w:color w:val="auto"/>
              </w:rPr>
              <w:t>Nine months ended September 30,</w:t>
            </w:r>
          </w:p>
        </w:tc>
      </w:tr>
      <w:tr>
        <w:trPr>
          <w:trHeight w:val="201"/>
        </w:trPr>
        <w:tc>
          <w:tcPr>
            <w:tcW w:w="70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r>
      <w:tr>
        <w:trPr>
          <w:trHeight w:val="192"/>
        </w:trPr>
        <w:tc>
          <w:tcPr>
            <w:tcW w:w="7060" w:type="dxa"/>
            <w:vAlign w:val="bottom"/>
          </w:tcPr>
          <w:p>
            <w:pPr>
              <w:ind w:left="20"/>
              <w:spacing w:after="0"/>
              <w:rPr>
                <w:sz w:val="20"/>
                <w:szCs w:val="20"/>
                <w:color w:val="auto"/>
              </w:rPr>
            </w:pPr>
            <w:r>
              <w:rPr>
                <w:rFonts w:ascii="Arial" w:cs="Arial" w:eastAsia="Arial" w:hAnsi="Arial"/>
                <w:sz w:val="16"/>
                <w:szCs w:val="16"/>
                <w:color w:val="auto"/>
              </w:rPr>
              <w:t>Cash payments for amounts included in the measurement of lease liabilities :</w:t>
            </w: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cash outflows for operating leases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3"/>
              </w:rPr>
              <w:t>15,622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17,831</w:t>
            </w:r>
          </w:p>
        </w:tc>
      </w:tr>
      <w:tr>
        <w:trPr>
          <w:trHeight w:val="207"/>
        </w:trPr>
        <w:tc>
          <w:tcPr>
            <w:tcW w:w="7060" w:type="dxa"/>
            <w:vAlign w:val="bottom"/>
          </w:tcPr>
          <w:p>
            <w:pPr>
              <w:ind w:left="340"/>
              <w:spacing w:after="0"/>
              <w:rPr>
                <w:sz w:val="20"/>
                <w:szCs w:val="20"/>
                <w:color w:val="auto"/>
              </w:rPr>
            </w:pPr>
            <w:r>
              <w:rPr>
                <w:rFonts w:ascii="Arial" w:cs="Arial" w:eastAsia="Arial" w:hAnsi="Arial"/>
                <w:sz w:val="16"/>
                <w:szCs w:val="16"/>
                <w:color w:val="auto"/>
              </w:rPr>
              <w:t>Operating cash outflows for finance leases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2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42</w:t>
            </w:r>
          </w:p>
        </w:tc>
      </w:tr>
      <w:tr>
        <w:trPr>
          <w:trHeight w:val="213"/>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Financing cash outflows for finance leases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108</w:t>
            </w: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21"/>
              <w:spacing w:after="0"/>
              <w:rPr>
                <w:sz w:val="20"/>
                <w:szCs w:val="20"/>
                <w:color w:val="auto"/>
              </w:rPr>
            </w:pPr>
            <w:r>
              <w:rPr>
                <w:rFonts w:ascii="Arial" w:cs="Arial" w:eastAsia="Arial" w:hAnsi="Arial"/>
                <w:sz w:val="16"/>
                <w:szCs w:val="16"/>
                <w:color w:val="auto"/>
                <w:w w:val="93"/>
              </w:rPr>
              <w:t>13,477</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3,519</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218</w:t>
            </w: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Finance lease</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3.1 years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years</w:t>
            </w:r>
          </w:p>
        </w:tc>
      </w:tr>
      <w:tr>
        <w:trPr>
          <w:trHeight w:val="207"/>
        </w:trPr>
        <w:tc>
          <w:tcPr>
            <w:tcW w:w="7060" w:type="dxa"/>
            <w:vAlign w:val="bottom"/>
          </w:tcPr>
          <w:p>
            <w:pPr>
              <w:ind w:left="340"/>
              <w:spacing w:after="0"/>
              <w:rPr>
                <w:sz w:val="20"/>
                <w:szCs w:val="20"/>
                <w:color w:val="auto"/>
              </w:rPr>
            </w:pPr>
            <w:r>
              <w:rPr>
                <w:rFonts w:ascii="Arial" w:cs="Arial" w:eastAsia="Arial" w:hAnsi="Arial"/>
                <w:sz w:val="16"/>
                <w:szCs w:val="16"/>
                <w:color w:val="auto"/>
              </w:rPr>
              <w:t>Operating lease</w:t>
            </w:r>
          </w:p>
        </w:tc>
        <w:tc>
          <w:tcPr>
            <w:tcW w:w="106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Arial" w:cs="Arial" w:eastAsia="Arial" w:hAnsi="Arial"/>
                <w:sz w:val="16"/>
                <w:szCs w:val="16"/>
                <w:color w:val="auto"/>
              </w:rPr>
              <w:t>5.6 years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 years</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7060" w:type="dxa"/>
            <w:vAlign w:val="bottom"/>
          </w:tcPr>
          <w:p>
            <w:pPr>
              <w:ind w:left="340"/>
              <w:spacing w:after="0"/>
              <w:rPr>
                <w:sz w:val="20"/>
                <w:szCs w:val="20"/>
                <w:color w:val="auto"/>
              </w:rPr>
            </w:pPr>
            <w:r>
              <w:rPr>
                <w:rFonts w:ascii="Arial" w:cs="Arial" w:eastAsia="Arial" w:hAnsi="Arial"/>
                <w:sz w:val="16"/>
                <w:szCs w:val="16"/>
                <w:color w:val="auto"/>
              </w:rPr>
              <w:t>Finance lease</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14.4 %</w:t>
            </w:r>
          </w:p>
        </w:tc>
      </w:tr>
      <w:tr>
        <w:trPr>
          <w:trHeight w:val="213"/>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 modified certain of its operating leases, resulting in a net decrease of its lease liabilities by $1,876 and a net increase of its lease liabilities by $209, during the nine months ended September 30, 2023 and 2022, respectively, with a corresponding adjustment to ROU assets.</w:t>
      </w:r>
    </w:p>
    <w:p>
      <w:pPr>
        <w:spacing w:after="0" w:line="18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As of September 30, 2023 and December 31, 2022, the Company did not have any significant leases that have not yet commenced but that create significant rights and obligations for the Company.</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Maturities of lease liabilities as of September 30, 2023 were as follows:</w:t>
      </w:r>
    </w:p>
    <w:p>
      <w:pPr>
        <w:spacing w:after="0" w:line="5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81"/>
              <w:spacing w:after="0"/>
              <w:rPr>
                <w:sz w:val="20"/>
                <w:szCs w:val="20"/>
                <w:color w:val="auto"/>
              </w:rPr>
            </w:pPr>
            <w:r>
              <w:rPr>
                <w:rFonts w:ascii="Arial" w:cs="Arial" w:eastAsia="Arial" w:hAnsi="Arial"/>
                <w:sz w:val="16"/>
                <w:szCs w:val="16"/>
                <w:b w:val="1"/>
                <w:bCs w:val="1"/>
                <w:color w:val="auto"/>
                <w:w w:val="95"/>
              </w:rPr>
              <w:t>Finance Leases</w:t>
            </w:r>
          </w:p>
        </w:tc>
      </w:tr>
      <w:tr>
        <w:trPr>
          <w:trHeight w:val="20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 (October 1 - December 31)</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17,468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12,322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 and 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0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20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2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62,453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Maturities of lease liabilities as of December 31, 2022 were as follows:</w:t>
      </w:r>
    </w:p>
    <w:p>
      <w:pPr>
        <w:spacing w:after="0" w:line="242"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8"/>
                <w:szCs w:val="18"/>
                <w:color w:val="auto"/>
              </w:rPr>
            </w:pP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auto"/>
                <w:w w:val="95"/>
              </w:rPr>
              <w:t>Finance Leases</w:t>
            </w:r>
          </w:p>
        </w:tc>
      </w:tr>
      <w:tr>
        <w:trPr>
          <w:trHeight w:val="206"/>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14,846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162</w:t>
            </w: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8,941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88</w:t>
            </w: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 and thereafter</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0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671</w:t>
            </w: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w:t>
            </w:r>
          </w:p>
        </w:tc>
      </w:tr>
      <w:tr>
        <w:trPr>
          <w:trHeight w:val="22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Income Taxes</w:t>
      </w:r>
    </w:p>
    <w:p>
      <w:pPr>
        <w:spacing w:after="0" w:line="243"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85"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The effective tax rate increased from 24.2% during the three months ended September 30, 2022 to 24.4% during the three months ended September 30, 2023. The Company recorded income tax expense of $14,161 and $12,447 for the three months ended September 30, 2023 and 2022, respectively. The increase in income tax expense was primarily as a result of higher profit during the three months ended September 30, 2023, compared to the three months ended September 30, 2022, and an increase in non-deductible expenses during the three months ended September 30, 2023, partially offset by higher excess tax benefits related to stock-based compensation, and higher tax credits during the three months ended September 30, 2023, compared to the three months ended September 30, 2022.</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effective tax rate decreased from 23.9% during the nine months ended September 30, 2022 to 20.8% during the nine months ended September 30,</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7"/>
          <w:szCs w:val="17"/>
          <w:color w:val="auto"/>
        </w:rPr>
        <w:t>2023. The Company recorded income tax expense of $37,773 and $34,774 for the nine months ended September 30, 2023 and 2022, respectively. The increase in income tax expense was primarily as a result of higher profit during the nine months ended September 30, 2023, compared to the nine months ended September 30, 2022, and an increase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non-deductible expenses, partially offset by higher excess tax benefits related to stock-based compensation, and higher tax credits during the nine months ended September 30, 2023, compared to the nine months ended September 30, 2022.</w:t>
      </w:r>
    </w:p>
    <w:p>
      <w:pPr>
        <w:spacing w:after="0" w:line="185" w:lineRule="exact"/>
        <w:rPr>
          <w:sz w:val="20"/>
          <w:szCs w:val="20"/>
          <w:color w:val="auto"/>
        </w:rPr>
      </w:pPr>
    </w:p>
    <w:p>
      <w:pPr>
        <w:jc w:val="both"/>
        <w:ind w:right="100" w:firstLine="433"/>
        <w:spacing w:after="0" w:line="257" w:lineRule="auto"/>
        <w:rPr>
          <w:sz w:val="20"/>
          <w:szCs w:val="20"/>
          <w:color w:val="auto"/>
        </w:rPr>
      </w:pPr>
      <w:r>
        <w:rPr>
          <w:rFonts w:ascii="Arial" w:cs="Arial" w:eastAsia="Arial" w:hAnsi="Arial"/>
          <w:sz w:val="17"/>
          <w:szCs w:val="17"/>
          <w:color w:val="auto"/>
        </w:rPr>
        <w:t>During the nine months ended September 30, 2023, the Company’s subsidiaries in India, the United Kingdom and Australia repatriated $76,000 (net of $4,015 withholding taxes), $15,598 and $9,081, respectively, to the United States. These distributions do not constitute a change in the Company’s permanent reinvestment assertion.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Deferred income taxes recognized in AOCI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shd w:val="clear" w:color="auto" w:fill="CCEEFF"/>
          </w:tcPr>
          <w:p>
            <w:pPr>
              <w:spacing w:after="0"/>
              <w:rPr>
                <w:sz w:val="18"/>
                <w:szCs w:val="18"/>
                <w:color w:val="auto"/>
              </w:rPr>
            </w:pPr>
          </w:p>
        </w:tc>
        <w:tc>
          <w:tcPr>
            <w:tcW w:w="3240" w:type="dxa"/>
            <w:vAlign w:val="bottom"/>
            <w:gridSpan w:val="6"/>
            <w:shd w:val="clear" w:color="auto" w:fill="CCEEFF"/>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shd w:val="clear" w:color="auto" w:fill="CCEEFF"/>
          </w:tcPr>
          <w:p>
            <w:pPr>
              <w:spacing w:after="0"/>
              <w:rPr>
                <w:sz w:val="18"/>
                <w:szCs w:val="18"/>
                <w:color w:val="auto"/>
              </w:rPr>
            </w:pPr>
          </w:p>
        </w:tc>
        <w:tc>
          <w:tcPr>
            <w:tcW w:w="3040" w:type="dxa"/>
            <w:vAlign w:val="bottom"/>
            <w:gridSpan w:val="4"/>
            <w:shd w:val="clear" w:color="auto" w:fill="CCEEFF"/>
          </w:tcPr>
          <w:p>
            <w:pPr>
              <w:jc w:val="right"/>
              <w:ind w:right="45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0"/>
        </w:trPr>
        <w:tc>
          <w:tcPr>
            <w:tcW w:w="46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taxes benefit / (expense) recognized on:</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7"/>
                <w:szCs w:val="17"/>
                <w:color w:val="auto"/>
              </w:rPr>
              <w:t>Unrealized gain/(loss) on cash flow hedges</w:t>
            </w:r>
          </w:p>
        </w:tc>
        <w:tc>
          <w:tcPr>
            <w:tcW w:w="940" w:type="dxa"/>
            <w:vAlign w:val="bottom"/>
          </w:tcPr>
          <w:p>
            <w:pPr>
              <w:jc w:val="right"/>
              <w:ind w:right="737"/>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1,370</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(2,199)</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5,146</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adjustment for cash flow hedges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r>
      <w:tr>
        <w:trPr>
          <w:trHeight w:val="223"/>
        </w:trPr>
        <w:tc>
          <w:tcPr>
            <w:tcW w:w="4640" w:type="dxa"/>
            <w:vAlign w:val="bottom"/>
          </w:tcPr>
          <w:p>
            <w:pPr>
              <w:ind w:left="20"/>
              <w:spacing w:after="0"/>
              <w:rPr>
                <w:sz w:val="20"/>
                <w:szCs w:val="20"/>
                <w:color w:val="auto"/>
              </w:rPr>
            </w:pPr>
            <w:r>
              <w:rPr>
                <w:rFonts w:ascii="Arial" w:cs="Arial" w:eastAsia="Arial" w:hAnsi="Arial"/>
                <w:sz w:val="17"/>
                <w:szCs w:val="17"/>
                <w:color w:val="auto"/>
              </w:rPr>
              <w:t>Reclassification adjustment for retirement benefits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8,898</w:t>
            </w:r>
          </w:p>
        </w:tc>
      </w:tr>
      <w:tr>
        <w:trPr>
          <w:trHeight w:val="216"/>
        </w:trPr>
        <w:tc>
          <w:tcPr>
            <w:tcW w:w="464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940" w:type="dxa"/>
            <w:vAlign w:val="bottom"/>
            <w:tcBorders>
              <w:bottom w:val="single" w:sz="8" w:color="auto"/>
            </w:tcBorders>
          </w:tcPr>
          <w:p>
            <w:pPr>
              <w:jc w:val="right"/>
              <w:ind w:right="737"/>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3,017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(2,490)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14,710</w:t>
            </w:r>
          </w:p>
        </w:tc>
      </w:tr>
      <w:tr>
        <w:trPr>
          <w:trHeight w:val="20"/>
        </w:trPr>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Stock-Based Compensation</w:t>
      </w:r>
    </w:p>
    <w:p>
      <w:pPr>
        <w:spacing w:after="0" w:line="335" w:lineRule="exact"/>
        <w:rPr>
          <w:sz w:val="20"/>
          <w:szCs w:val="20"/>
          <w:color w:val="auto"/>
        </w:rPr>
      </w:pPr>
    </w:p>
    <w:p>
      <w:pPr>
        <w:jc w:val="both"/>
        <w:ind w:right="100" w:firstLine="393"/>
        <w:spacing w:after="0" w:line="289" w:lineRule="auto"/>
        <w:rPr>
          <w:sz w:val="20"/>
          <w:szCs w:val="20"/>
          <w:color w:val="auto"/>
        </w:rPr>
      </w:pPr>
      <w:r>
        <w:rPr>
          <w:rFonts w:ascii="Arial" w:cs="Arial" w:eastAsia="Arial" w:hAnsi="Arial"/>
          <w:sz w:val="17"/>
          <w:szCs w:val="17"/>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Stock-based compensation expense by nature of function, as below, are included in the unaudited consolidated statements of income:</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29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5"/>
                <w:szCs w:val="15"/>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5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840" w:type="dxa"/>
            <w:vAlign w:val="bottom"/>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8,485</w:t>
            </w:r>
          </w:p>
        </w:tc>
      </w:tr>
      <w:tr>
        <w:trPr>
          <w:trHeight w:val="223"/>
        </w:trPr>
        <w:tc>
          <w:tcPr>
            <w:tcW w:w="542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14,937</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13,328</w:t>
            </w:r>
          </w:p>
        </w:tc>
      </w:tr>
      <w:tr>
        <w:trPr>
          <w:trHeight w:val="216"/>
        </w:trPr>
        <w:tc>
          <w:tcPr>
            <w:tcW w:w="5420" w:type="dxa"/>
            <w:vAlign w:val="bottom"/>
          </w:tcPr>
          <w:p>
            <w:pPr>
              <w:ind w:left="20"/>
              <w:spacing w:after="0"/>
              <w:rPr>
                <w:sz w:val="20"/>
                <w:szCs w:val="20"/>
                <w:color w:val="auto"/>
              </w:rPr>
            </w:pPr>
            <w:r>
              <w:rPr>
                <w:rFonts w:ascii="Arial" w:cs="Arial" w:eastAsia="Arial" w:hAnsi="Arial"/>
                <w:sz w:val="17"/>
                <w:szCs w:val="17"/>
                <w:color w:val="auto"/>
              </w:rPr>
              <w:t>Total</w:t>
            </w:r>
          </w:p>
        </w:tc>
        <w:tc>
          <w:tcPr>
            <w:tcW w:w="840" w:type="dxa"/>
            <w:vAlign w:val="bottom"/>
            <w:tcBorders>
              <w:bottom w:val="single" w:sz="8" w:color="auto"/>
            </w:tcBorders>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17,067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36,750</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9"/>
        </w:trPr>
        <w:tc>
          <w:tcPr>
            <w:tcW w:w="5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304"/>
        </w:trPr>
        <w:tc>
          <w:tcPr>
            <w:tcW w:w="5420" w:type="dxa"/>
            <w:vAlign w:val="bottom"/>
          </w:tcPr>
          <w:p>
            <w:pPr>
              <w:ind w:left="20"/>
              <w:spacing w:after="0"/>
              <w:rPr>
                <w:sz w:val="20"/>
                <w:szCs w:val="20"/>
                <w:color w:val="auto"/>
              </w:rPr>
            </w:pPr>
            <w:r>
              <w:rPr>
                <w:rFonts w:ascii="Arial" w:cs="Arial" w:eastAsia="Arial" w:hAnsi="Arial"/>
                <w:sz w:val="17"/>
                <w:szCs w:val="17"/>
                <w:color w:val="auto"/>
              </w:rPr>
              <w:t>Income tax benefit related to stock-based compensation</w:t>
            </w:r>
            <w:r>
              <w:rPr>
                <w:rFonts w:ascii="Arial" w:cs="Arial" w:eastAsia="Arial" w:hAnsi="Arial"/>
                <w:sz w:val="22"/>
                <w:szCs w:val="22"/>
                <w:color w:val="auto"/>
                <w:vertAlign w:val="superscript"/>
              </w:rPr>
              <w:t>(1)</w:t>
            </w:r>
          </w:p>
        </w:tc>
        <w:tc>
          <w:tcPr>
            <w:tcW w:w="840" w:type="dxa"/>
            <w:vAlign w:val="bottom"/>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4,340</w:t>
            </w:r>
          </w:p>
        </w:tc>
        <w:tc>
          <w:tcPr>
            <w:tcW w:w="100" w:type="dxa"/>
            <w:vAlign w:val="bottom"/>
          </w:tcPr>
          <w:p>
            <w:pPr>
              <w:spacing w:after="0"/>
              <w:rPr>
                <w:sz w:val="24"/>
                <w:szCs w:val="24"/>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2,833</w:t>
            </w:r>
          </w:p>
        </w:tc>
        <w:tc>
          <w:tcPr>
            <w:tcW w:w="100" w:type="dxa"/>
            <w:vAlign w:val="bottom"/>
          </w:tcPr>
          <w:p>
            <w:pPr>
              <w:spacing w:after="0"/>
              <w:rPr>
                <w:sz w:val="24"/>
                <w:szCs w:val="24"/>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16,959</w:t>
            </w:r>
          </w:p>
        </w:tc>
        <w:tc>
          <w:tcPr>
            <w:tcW w:w="100" w:type="dxa"/>
            <w:vAlign w:val="bottom"/>
          </w:tcPr>
          <w:p>
            <w:pPr>
              <w:spacing w:after="0"/>
              <w:rPr>
                <w:sz w:val="24"/>
                <w:szCs w:val="24"/>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8,855</w:t>
            </w:r>
          </w:p>
        </w:tc>
      </w:tr>
    </w:tbl>
    <w:p>
      <w:pPr>
        <w:spacing w:after="0" w:line="90" w:lineRule="exact"/>
        <w:rPr>
          <w:sz w:val="20"/>
          <w:szCs w:val="20"/>
          <w:color w:val="auto"/>
        </w:rPr>
      </w:pPr>
    </w:p>
    <w:p>
      <w:pPr>
        <w:jc w:val="both"/>
        <w:ind w:right="100" w:firstLine="398"/>
        <w:spacing w:after="0" w:line="273" w:lineRule="auto"/>
        <w:tabs>
          <w:tab w:leader="none" w:pos="65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Includes $462 and ($92) during the three months ended September 30, 2023 and 2022, respectively, and $13,172 and $3,532 during the nine months ended September 30, 2023 and 2022, respectively, related to discrete benefits recognized in income tax expense in accordance with ASU No. 2016-09, Compensation - Stock Compensation.</w:t>
      </w:r>
    </w:p>
    <w:p>
      <w:pPr>
        <w:spacing w:after="0" w:line="185"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As of September 30, 2023 and December 31, 2022, the Company had 3,284,270 and 6,623,775 shares, respectively, available for grant under the 2018 Omnibus Incentive Plan.</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 options activity under the Company’s stock-based compensation plans is shown below:</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22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Aggregate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66"/>
        </w:trPr>
        <w:tc>
          <w:tcPr>
            <w:tcW w:w="4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Number of Stock</w:t>
            </w:r>
          </w:p>
        </w:tc>
        <w:tc>
          <w:tcPr>
            <w:tcW w:w="13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79"/>
        </w:trPr>
        <w:tc>
          <w:tcPr>
            <w:tcW w:w="4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6"/>
                <w:szCs w:val="6"/>
                <w:color w:val="auto"/>
              </w:rPr>
            </w:pPr>
          </w:p>
        </w:tc>
        <w:tc>
          <w:tcPr>
            <w:tcW w:w="1160" w:type="dxa"/>
            <w:vAlign w:val="bottom"/>
            <w:gridSpan w:val="2"/>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Intrinsic</w:t>
            </w: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4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79"/>
        </w:trPr>
        <w:tc>
          <w:tcPr>
            <w:tcW w:w="4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6"/>
                <w:szCs w:val="6"/>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Value</w:t>
            </w: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4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79"/>
        </w:trPr>
        <w:tc>
          <w:tcPr>
            <w:tcW w:w="4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4840" w:type="dxa"/>
            <w:vAlign w:val="bottom"/>
          </w:tcPr>
          <w:p>
            <w:pPr>
              <w:ind w:left="400"/>
              <w:spacing w:after="0"/>
              <w:rPr>
                <w:sz w:val="20"/>
                <w:szCs w:val="20"/>
                <w:color w:val="auto"/>
              </w:rPr>
            </w:pPr>
            <w:r>
              <w:rPr>
                <w:rFonts w:ascii="Arial" w:cs="Arial" w:eastAsia="Arial" w:hAnsi="Arial"/>
                <w:sz w:val="16"/>
                <w:szCs w:val="16"/>
                <w:color w:val="auto"/>
              </w:rPr>
              <w:t>Granted</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1,790,695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Exercised</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8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Forfeited</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and exercisable as of September 30, 2023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40" w:type="dxa"/>
            <w:vAlign w:val="bottom"/>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20" w:type="dxa"/>
            <w:vAlign w:val="bottom"/>
          </w:tcPr>
          <w:p>
            <w:pPr>
              <w:jc w:val="right"/>
              <w:ind w:right="41"/>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4840" w:type="dxa"/>
            <w:vAlign w:val="bottom"/>
            <w:shd w:val="clear" w:color="auto" w:fill="CCEEFF"/>
          </w:tcPr>
          <w:p>
            <w:pPr>
              <w:ind w:left="20"/>
              <w:spacing w:after="0" w:line="164" w:lineRule="exact"/>
              <w:rPr>
                <w:sz w:val="20"/>
                <w:szCs w:val="20"/>
                <w:color w:val="auto"/>
              </w:rPr>
            </w:pPr>
            <w:r>
              <w:rPr>
                <w:rFonts w:ascii="Arial" w:cs="Arial" w:eastAsia="Arial" w:hAnsi="Arial"/>
                <w:sz w:val="16"/>
                <w:szCs w:val="16"/>
                <w:color w:val="auto"/>
                <w:w w:val="92"/>
              </w:rPr>
              <w:t>Weighted average grant date fair value of per unit of stock option granted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during the period</w:t>
            </w:r>
          </w:p>
        </w:tc>
        <w:tc>
          <w:tcPr>
            <w:tcW w:w="1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Stock options granted under the 2018 Omnibus Incentive Plan during the three and nine months ended September 30, 2023, have a contractual period of ten years and vest ratably over four years.</w:t>
      </w:r>
    </w:p>
    <w:p>
      <w:pPr>
        <w:spacing w:after="0" w:line="146" w:lineRule="exact"/>
        <w:rPr>
          <w:sz w:val="20"/>
          <w:szCs w:val="20"/>
          <w:color w:val="auto"/>
        </w:rPr>
      </w:pPr>
    </w:p>
    <w:p>
      <w:pPr>
        <w:jc w:val="both"/>
        <w:ind w:firstLine="393"/>
        <w:spacing w:after="0" w:line="275" w:lineRule="auto"/>
        <w:rPr>
          <w:sz w:val="20"/>
          <w:szCs w:val="20"/>
          <w:color w:val="auto"/>
        </w:rPr>
      </w:pPr>
      <w:r>
        <w:rPr>
          <w:rFonts w:ascii="Arial" w:cs="Arial" w:eastAsia="Arial" w:hAnsi="Arial"/>
          <w:sz w:val="17"/>
          <w:szCs w:val="17"/>
          <w:color w:val="auto"/>
        </w:rPr>
        <w:t>The fair value of each stock option granted to employees is estimated on the date of grant using the Black-Scholes option-pricing model with the following assumptions:</w:t>
      </w:r>
    </w:p>
    <w:p>
      <w:pPr>
        <w:ind w:left="5420"/>
        <w:spacing w:after="0" w:line="220" w:lineRule="auto"/>
        <w:rPr>
          <w:sz w:val="20"/>
          <w:szCs w:val="20"/>
          <w:color w:val="auto"/>
        </w:rPr>
      </w:pPr>
      <w:r>
        <w:rPr>
          <w:rFonts w:ascii="Arial" w:cs="Arial" w:eastAsia="Arial" w:hAnsi="Arial"/>
          <w:sz w:val="14"/>
          <w:szCs w:val="14"/>
          <w:b w:val="1"/>
          <w:bCs w:val="1"/>
          <w:color w:val="auto"/>
        </w:rPr>
        <w:t>Nine months ended</w:t>
      </w:r>
    </w:p>
    <w:p>
      <w:pPr>
        <w:ind w:left="5400"/>
        <w:spacing w:after="0"/>
        <w:rPr>
          <w:sz w:val="20"/>
          <w:szCs w:val="20"/>
          <w:color w:val="auto"/>
        </w:rPr>
      </w:pPr>
      <w:r>
        <w:rPr>
          <w:rFonts w:ascii="Arial" w:cs="Arial" w:eastAsia="Arial" w:hAnsi="Arial"/>
          <w:sz w:val="14"/>
          <w:szCs w:val="14"/>
          <w:b w:val="1"/>
          <w:bCs w:val="1"/>
          <w:color w:val="auto"/>
        </w:rPr>
        <w:t>September 30, 2023</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7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74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1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free interest rate for expected life</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color w:val="auto"/>
              </w:rPr>
              <w:t>Volatility for expected life</w:t>
            </w:r>
          </w:p>
        </w:tc>
        <w:tc>
          <w:tcPr>
            <w:tcW w:w="1740" w:type="dxa"/>
            <w:vAlign w:val="bottom"/>
          </w:tcPr>
          <w:p>
            <w:pPr>
              <w:jc w:val="right"/>
              <w:spacing w:after="0"/>
              <w:rPr>
                <w:sz w:val="20"/>
                <w:szCs w:val="20"/>
                <w:color w:val="auto"/>
              </w:rPr>
            </w:pPr>
            <w:r>
              <w:rPr>
                <w:rFonts w:ascii="Arial" w:cs="Arial" w:eastAsia="Arial" w:hAnsi="Arial"/>
                <w:sz w:val="16"/>
                <w:szCs w:val="16"/>
                <w:color w:val="auto"/>
              </w:rPr>
              <w:t>32.4 %</w:t>
            </w:r>
          </w:p>
        </w:tc>
      </w:tr>
    </w:tbl>
    <w:p>
      <w:pPr>
        <w:spacing w:after="0" w:line="269"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does not anticipate paying any cash dividends in the foreseeable future and therefore uses an expected dividend yield of zero in the option valuation model.</w:t>
      </w:r>
    </w:p>
    <w:p>
      <w:pPr>
        <w:spacing w:after="0" w:line="159" w:lineRule="exact"/>
        <w:rPr>
          <w:sz w:val="20"/>
          <w:szCs w:val="20"/>
          <w:color w:val="auto"/>
        </w:rPr>
      </w:pPr>
    </w:p>
    <w:p>
      <w:pPr>
        <w:jc w:val="both"/>
        <w:ind w:firstLine="433"/>
        <w:spacing w:after="0" w:line="322" w:lineRule="auto"/>
        <w:rPr>
          <w:sz w:val="20"/>
          <w:szCs w:val="20"/>
          <w:color w:val="auto"/>
        </w:rPr>
      </w:pPr>
      <w:r>
        <w:rPr>
          <w:rFonts w:ascii="Arial" w:cs="Arial" w:eastAsia="Arial" w:hAnsi="Arial"/>
          <w:sz w:val="16"/>
          <w:szCs w:val="16"/>
          <w:color w:val="auto"/>
        </w:rPr>
        <w:t>As of September 30, 2023, unrecognized compensation cost of $20,070 is expected to be expensed over a weighted average period of 3.8 years. The total grant date fair value of stock options exercised during the nine months ended September 30, 2023 and 2022, was $30 and $nil,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Matching Program</w:t>
      </w:r>
    </w:p>
    <w:p>
      <w:pPr>
        <w:spacing w:after="0" w:line="138"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7"/>
          <w:szCs w:val="17"/>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Restricted stock unit activity under the SMP is shown below:</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83"/>
        </w:trPr>
        <w:tc>
          <w:tcPr>
            <w:tcW w:w="4620" w:type="dxa"/>
            <w:vAlign w:val="bottom"/>
          </w:tcPr>
          <w:p>
            <w:pPr>
              <w:spacing w:after="0"/>
              <w:rPr>
                <w:sz w:val="15"/>
                <w:szCs w:val="15"/>
                <w:color w:val="auto"/>
              </w:rPr>
            </w:pPr>
          </w:p>
        </w:tc>
        <w:tc>
          <w:tcPr>
            <w:tcW w:w="2960" w:type="dxa"/>
            <w:vAlign w:val="bottom"/>
            <w:gridSpan w:val="4"/>
          </w:tcPr>
          <w:p>
            <w:pPr>
              <w:ind w:left="940"/>
              <w:spacing w:after="0"/>
              <w:rPr>
                <w:sz w:val="20"/>
                <w:szCs w:val="20"/>
                <w:color w:val="auto"/>
              </w:rPr>
            </w:pPr>
            <w:r>
              <w:rPr>
                <w:rFonts w:ascii="Arial" w:cs="Arial" w:eastAsia="Arial" w:hAnsi="Arial"/>
                <w:sz w:val="14"/>
                <w:szCs w:val="14"/>
                <w:b w:val="1"/>
                <w:bCs w:val="1"/>
                <w:color w:val="auto"/>
              </w:rPr>
              <w:t>Restricted Stock Units (SMP)</w:t>
            </w:r>
          </w:p>
        </w:tc>
        <w:tc>
          <w:tcPr>
            <w:tcW w:w="680" w:type="dxa"/>
            <w:vAlign w:val="bottom"/>
          </w:tcPr>
          <w:p>
            <w:pPr>
              <w:spacing w:after="0"/>
              <w:rPr>
                <w:sz w:val="15"/>
                <w:szCs w:val="15"/>
                <w:color w:val="auto"/>
              </w:rPr>
            </w:pPr>
          </w:p>
        </w:tc>
      </w:tr>
      <w:tr>
        <w:trPr>
          <w:trHeight w:val="24"/>
        </w:trPr>
        <w:tc>
          <w:tcPr>
            <w:tcW w:w="4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183"/>
        </w:trPr>
        <w:tc>
          <w:tcPr>
            <w:tcW w:w="46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Weighted Average Fair Value</w:t>
            </w: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238,115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r>
      <w:tr>
        <w:trPr>
          <w:trHeight w:val="207"/>
        </w:trPr>
        <w:tc>
          <w:tcPr>
            <w:tcW w:w="5760" w:type="dxa"/>
            <w:vAlign w:val="bottom"/>
            <w:gridSpan w:val="2"/>
          </w:tcPr>
          <w:p>
            <w:pPr>
              <w:ind w:left="400"/>
              <w:spacing w:after="0"/>
              <w:rPr>
                <w:sz w:val="20"/>
                <w:szCs w:val="20"/>
                <w:color w:val="auto"/>
              </w:rPr>
            </w:pPr>
            <w:r>
              <w:rPr>
                <w:rFonts w:ascii="Arial" w:cs="Arial" w:eastAsia="Arial" w:hAnsi="Arial"/>
                <w:sz w:val="16"/>
                <w:szCs w:val="16"/>
                <w:color w:val="auto"/>
              </w:rPr>
              <w:t>Granted</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Vested</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760" w:type="dxa"/>
            <w:vAlign w:val="bottom"/>
            <w:gridSpan w:val="2"/>
          </w:tcPr>
          <w:p>
            <w:pPr>
              <w:ind w:left="400"/>
              <w:spacing w:after="0"/>
              <w:rPr>
                <w:sz w:val="20"/>
                <w:szCs w:val="20"/>
                <w:color w:val="auto"/>
              </w:rPr>
            </w:pPr>
            <w:r>
              <w:rPr>
                <w:rFonts w:ascii="Arial" w:cs="Arial" w:eastAsia="Arial" w:hAnsi="Arial"/>
                <w:sz w:val="16"/>
                <w:szCs w:val="16"/>
                <w:color w:val="auto"/>
              </w:rPr>
              <w:t>Forfeited</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(20,885)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24.95</w:t>
            </w:r>
          </w:p>
        </w:tc>
      </w:tr>
      <w:tr>
        <w:trPr>
          <w:trHeight w:val="22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2023</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217,230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2023, unrecognized compensation cost of $2,710 is expected to be expensed over a weighted average period of 1.5 years.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Restricted stock unit activity under the Company’s stock-based compensation plans is shown below:</w:t>
      </w:r>
    </w:p>
    <w:p>
      <w:pPr>
        <w:spacing w:after="0" w:line="135"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3640" w:type="dxa"/>
            <w:vAlign w:val="bottom"/>
            <w:gridSpan w:val="4"/>
          </w:tcPr>
          <w:p>
            <w:pPr>
              <w:jc w:val="right"/>
              <w:ind w:right="1078"/>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920" w:type="dxa"/>
            <w:vAlign w:val="bottom"/>
          </w:tcPr>
          <w:p>
            <w:pPr>
              <w:spacing w:after="0"/>
              <w:rPr>
                <w:sz w:val="10"/>
                <w:szCs w:val="10"/>
                <w:color w:val="auto"/>
              </w:rPr>
            </w:pPr>
          </w:p>
        </w:tc>
        <w:tc>
          <w:tcPr>
            <w:tcW w:w="18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0"/>
                <w:szCs w:val="10"/>
                <w:color w:val="auto"/>
              </w:rPr>
            </w:pPr>
          </w:p>
        </w:tc>
        <w:tc>
          <w:tcPr>
            <w:tcW w:w="1560" w:type="dxa"/>
            <w:vAlign w:val="bottom"/>
          </w:tcPr>
          <w:p>
            <w:pPr>
              <w:jc w:val="right"/>
              <w:ind w:right="258"/>
              <w:spacing w:after="0" w:line="125" w:lineRule="exact"/>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08"/>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59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w:t>
            </w:r>
          </w:p>
        </w:tc>
        <w:tc>
          <w:tcPr>
            <w:tcW w:w="0" w:type="dxa"/>
            <w:vAlign w:val="bottom"/>
          </w:tcPr>
          <w:p>
            <w:pPr>
              <w:spacing w:after="0"/>
              <w:rPr>
                <w:sz w:val="1"/>
                <w:szCs w:val="1"/>
                <w:color w:val="auto"/>
              </w:rPr>
            </w:pPr>
          </w:p>
        </w:tc>
      </w:tr>
      <w:tr>
        <w:trPr>
          <w:trHeight w:val="223"/>
        </w:trPr>
        <w:tc>
          <w:tcPr>
            <w:tcW w:w="5920" w:type="dxa"/>
            <w:vAlign w:val="bottom"/>
          </w:tcPr>
          <w:p>
            <w:pPr>
              <w:ind w:left="420"/>
              <w:spacing w:after="0"/>
              <w:rPr>
                <w:sz w:val="20"/>
                <w:szCs w:val="20"/>
                <w:color w:val="auto"/>
              </w:rPr>
            </w:pPr>
            <w:r>
              <w:rPr>
                <w:rFonts w:ascii="Arial" w:cs="Arial" w:eastAsia="Arial" w:hAnsi="Arial"/>
                <w:sz w:val="17"/>
                <w:szCs w:val="17"/>
                <w:color w:val="auto"/>
              </w:rPr>
              <w:t>Granted</w:t>
            </w:r>
          </w:p>
        </w:tc>
        <w:tc>
          <w:tcPr>
            <w:tcW w:w="1760" w:type="dxa"/>
            <w:vAlign w:val="bottom"/>
          </w:tcPr>
          <w:p>
            <w:pPr>
              <w:jc w:val="right"/>
              <w:spacing w:after="0"/>
              <w:rPr>
                <w:sz w:val="20"/>
                <w:szCs w:val="20"/>
                <w:color w:val="auto"/>
              </w:rPr>
            </w:pPr>
            <w:r>
              <w:rPr>
                <w:rFonts w:ascii="Arial" w:cs="Arial" w:eastAsia="Arial" w:hAnsi="Arial"/>
                <w:sz w:val="17"/>
                <w:szCs w:val="17"/>
                <w:color w:val="auto"/>
              </w:rPr>
              <w:t>1,193,615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34.27</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(332,035)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21.30</w:t>
            </w:r>
          </w:p>
        </w:tc>
        <w:tc>
          <w:tcPr>
            <w:tcW w:w="0" w:type="dxa"/>
            <w:vAlign w:val="bottom"/>
          </w:tcPr>
          <w:p>
            <w:pPr>
              <w:spacing w:after="0"/>
              <w:rPr>
                <w:sz w:val="1"/>
                <w:szCs w:val="1"/>
                <w:color w:val="auto"/>
              </w:rPr>
            </w:pPr>
          </w:p>
        </w:tc>
      </w:tr>
      <w:tr>
        <w:trPr>
          <w:trHeight w:val="241"/>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September 30,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3,697,465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24.89</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firstLine="398"/>
        <w:spacing w:after="0" w:line="273" w:lineRule="auto"/>
        <w:tabs>
          <w:tab w:leader="none" w:pos="534"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As of September 30, 2023 and December 31, 2022 restricted stock units vested for which the underlying common stock is yet to be issued are 652,640 and 872,450 respectively.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2023, unrecognized compensation cost of $66,970 is expected to be expensed over a weighted average period of 2.5 years.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Based Stock Awards</w:t>
      </w:r>
    </w:p>
    <w:p>
      <w:pPr>
        <w:spacing w:after="0" w:line="243"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Under the 2018 Plan, the Company grants performance-based restricted stock units (“PRSUs”) to executive officers and other specified employees. During the nine months ended September 30, 2023,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the 2018 Plan, and are measured over a three-year performance period (“MU”).</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PRSU activity under the Company’s stock plans is shown below:</w:t>
      </w:r>
    </w:p>
    <w:p>
      <w:pPr>
        <w:spacing w:after="0" w:line="135" w:lineRule="exact"/>
        <w:rPr>
          <w:sz w:val="20"/>
          <w:szCs w:val="20"/>
          <w:color w:val="auto"/>
        </w:rPr>
      </w:pPr>
    </w:p>
    <w:tbl>
      <w:tblPr>
        <w:tblLayout w:type="fixed"/>
        <w:tblInd w:w="860" w:type="dxa"/>
        <w:tblCellMar>
          <w:top w:w="0" w:type="dxa"/>
          <w:left w:w="0" w:type="dxa"/>
          <w:bottom w:w="0" w:type="dxa"/>
          <w:right w:w="0" w:type="dxa"/>
        </w:tblCellMar>
      </w:tblPr>
      <w:tr>
        <w:trPr>
          <w:trHeight w:val="183"/>
        </w:trPr>
        <w:tc>
          <w:tcPr>
            <w:tcW w:w="3940" w:type="dxa"/>
            <w:vAlign w:val="bottom"/>
          </w:tcPr>
          <w:p>
            <w:pPr>
              <w:spacing w:after="0"/>
              <w:rPr>
                <w:sz w:val="15"/>
                <w:szCs w:val="15"/>
                <w:color w:val="auto"/>
              </w:rPr>
            </w:pPr>
          </w:p>
        </w:tc>
        <w:tc>
          <w:tcPr>
            <w:tcW w:w="3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Revenue Based PRSUs</w:t>
            </w:r>
          </w:p>
        </w:tc>
        <w:tc>
          <w:tcPr>
            <w:tcW w:w="2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Market Condition Based PRSUs</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1400" w:type="dxa"/>
            <w:vAlign w:val="bottom"/>
            <w:tcBorders>
              <w:top w:val="single" w:sz="8" w:color="auto"/>
            </w:tcBorders>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64"/>
              <w:spacing w:after="0" w:line="125" w:lineRule="exact"/>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0"/>
                <w:szCs w:val="10"/>
                <w:color w:val="auto"/>
              </w:rPr>
            </w:pPr>
          </w:p>
        </w:tc>
        <w:tc>
          <w:tcPr>
            <w:tcW w:w="140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164"/>
              <w:spacing w:after="0" w:line="125" w:lineRule="exact"/>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w:t>
            </w: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2"/>
        </w:trPr>
        <w:tc>
          <w:tcPr>
            <w:tcW w:w="3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as of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07"/>
        </w:trPr>
        <w:tc>
          <w:tcPr>
            <w:tcW w:w="39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spacing w:after="0"/>
              <w:rPr>
                <w:sz w:val="20"/>
                <w:szCs w:val="20"/>
                <w:color w:val="auto"/>
              </w:rPr>
            </w:pPr>
            <w:r>
              <w:rPr>
                <w:rFonts w:ascii="Arial" w:cs="Arial" w:eastAsia="Arial" w:hAnsi="Arial"/>
                <w:sz w:val="16"/>
                <w:szCs w:val="16"/>
                <w:color w:val="auto"/>
              </w:rPr>
              <w:t>219,740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34.56</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329,245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44.72</w:t>
            </w:r>
          </w:p>
        </w:tc>
        <w:tc>
          <w:tcPr>
            <w:tcW w:w="0" w:type="dxa"/>
            <w:vAlign w:val="bottom"/>
          </w:tcPr>
          <w:p>
            <w:pPr>
              <w:spacing w:after="0"/>
              <w:rPr>
                <w:sz w:val="1"/>
                <w:szCs w:val="1"/>
                <w:color w:val="auto"/>
              </w:rPr>
            </w:pPr>
          </w:p>
        </w:tc>
      </w:tr>
      <w:tr>
        <w:trPr>
          <w:trHeight w:val="213"/>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33.55</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228"/>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as of September 30,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29.17</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1,135,430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760" w:firstLine="433"/>
        <w:spacing w:after="0" w:line="418" w:lineRule="auto"/>
        <w:rPr>
          <w:sz w:val="20"/>
          <w:szCs w:val="20"/>
          <w:color w:val="auto"/>
        </w:rPr>
      </w:pPr>
      <w:r>
        <w:rPr>
          <w:rFonts w:ascii="Arial" w:cs="Arial" w:eastAsia="Arial" w:hAnsi="Arial"/>
          <w:sz w:val="17"/>
          <w:szCs w:val="17"/>
          <w:color w:val="auto"/>
        </w:rPr>
        <w:t xml:space="preserve">As of September 30, 2023, unrecognized compensation cost of $29,509 is expected to be expensed over a weighted average period of 1.9 years. </w:t>
      </w:r>
      <w:r>
        <w:rPr>
          <w:rFonts w:ascii="Arial" w:cs="Arial" w:eastAsia="Arial" w:hAnsi="Arial"/>
          <w:sz w:val="17"/>
          <w:szCs w:val="17"/>
          <w:b w:val="1"/>
          <w:bCs w:val="1"/>
          <w:color w:val="auto"/>
        </w:rPr>
        <w:t>Employee Stock Purchase Plan</w:t>
      </w:r>
    </w:p>
    <w:p>
      <w:pPr>
        <w:spacing w:after="0" w:line="6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On June 21, 2022, at the annual meeting of stockholders of the Company, the Company’s stockholders approved the ExlService Holdings, Inc. 2022 Employee Stock Purchase Plan (the “2022 ESPP”).</w:t>
      </w:r>
    </w:p>
    <w:p>
      <w:pPr>
        <w:spacing w:after="0" w:line="185"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$25 per employee per calendar year. The Company has reserved 4,000,000 shares of common stock for issuance under the 2022 ESPP.</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third offering period under the 2022 ESPP commenced on July 1, 2023 with a term of six months.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Activity under the Company’s 2022 ESPP is shown below:</w:t>
      </w:r>
    </w:p>
    <w:p>
      <w:pPr>
        <w:spacing w:after="0" w:line="26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8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0"/>
              </w:rPr>
              <w:t>Total Proceeds Received</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issuance as of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7"/>
                <w:szCs w:val="17"/>
                <w:color w:val="auto"/>
              </w:rPr>
              <w:t>Issuance of common stock related to the: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First offering period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r>
      <w:tr>
        <w:trPr>
          <w:trHeight w:val="223"/>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Second offering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(130,495)</w:t>
            </w: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3,548</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issuance as of September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3,831,325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02"/>
        </w:trPr>
        <w:tc>
          <w:tcPr>
            <w:tcW w:w="5800" w:type="dxa"/>
            <w:vAlign w:val="bottom"/>
          </w:tcPr>
          <w:p>
            <w:pPr>
              <w:ind w:left="20"/>
              <w:spacing w:after="0"/>
              <w:rPr>
                <w:sz w:val="20"/>
                <w:szCs w:val="20"/>
                <w:color w:val="auto"/>
              </w:rPr>
            </w:pPr>
            <w:r>
              <w:rPr>
                <w:rFonts w:ascii="Arial" w:cs="Arial" w:eastAsia="Arial" w:hAnsi="Arial"/>
                <w:sz w:val="17"/>
                <w:szCs w:val="17"/>
                <w:color w:val="auto"/>
              </w:rPr>
              <w:t>Contributions received for the third offering period up to September 30, 2023</w:t>
            </w:r>
          </w:p>
        </w:tc>
        <w:tc>
          <w:tcPr>
            <w:tcW w:w="150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1,112</w:t>
            </w:r>
          </w:p>
        </w:tc>
      </w:tr>
    </w:tbl>
    <w:p>
      <w:pPr>
        <w:spacing w:after="0" w:line="31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ESPP is compensatory and results in compensation expense. The fair value of common stock to be issued under the ESPP was determined using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model with the following assumptions:</w:t>
      </w:r>
    </w:p>
    <w:p>
      <w:pPr>
        <w:spacing w:after="0" w:line="24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Second offering period of</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Third offering period of</w:t>
            </w:r>
          </w:p>
        </w:tc>
      </w:tr>
      <w:tr>
        <w:trPr>
          <w:trHeight w:val="135"/>
        </w:trPr>
        <w:tc>
          <w:tcPr>
            <w:tcW w:w="3540" w:type="dxa"/>
            <w:vAlign w:val="bottom"/>
          </w:tcPr>
          <w:p>
            <w:pPr>
              <w:spacing w:after="0"/>
              <w:rPr>
                <w:sz w:val="11"/>
                <w:szCs w:val="11"/>
                <w:color w:val="auto"/>
              </w:rPr>
            </w:pPr>
          </w:p>
        </w:tc>
        <w:tc>
          <w:tcPr>
            <w:tcW w:w="2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January 1, 2023 to June 30,</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July 1, 2023 to December 31,</w:t>
            </w:r>
          </w:p>
        </w:tc>
      </w:tr>
      <w:tr>
        <w:trPr>
          <w:trHeight w:val="183"/>
        </w:trPr>
        <w:tc>
          <w:tcPr>
            <w:tcW w:w="35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r>
      <w:tr>
        <w:trPr>
          <w:trHeight w:val="24"/>
        </w:trPr>
        <w:tc>
          <w:tcPr>
            <w:tcW w:w="35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w:t>
            </w:r>
          </w:p>
        </w:tc>
      </w:tr>
      <w:tr>
        <w:trPr>
          <w:trHeight w:val="223"/>
        </w:trPr>
        <w:tc>
          <w:tcPr>
            <w:tcW w:w="354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19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 for expected life</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r>
      <w:tr>
        <w:trPr>
          <w:trHeight w:val="223"/>
        </w:trPr>
        <w:tc>
          <w:tcPr>
            <w:tcW w:w="3540" w:type="dxa"/>
            <w:vAlign w:val="bottom"/>
          </w:tcPr>
          <w:p>
            <w:pPr>
              <w:ind w:left="20"/>
              <w:spacing w:after="0"/>
              <w:rPr>
                <w:sz w:val="20"/>
                <w:szCs w:val="20"/>
                <w:color w:val="auto"/>
              </w:rPr>
            </w:pPr>
            <w:r>
              <w:rPr>
                <w:rFonts w:ascii="Arial" w:cs="Arial" w:eastAsia="Arial" w:hAnsi="Arial"/>
                <w:sz w:val="17"/>
                <w:szCs w:val="17"/>
                <w:color w:val="auto"/>
              </w:rPr>
              <w:t>Volatility for expected life</w:t>
            </w:r>
          </w:p>
        </w:tc>
        <w:tc>
          <w:tcPr>
            <w:tcW w:w="1920" w:type="dxa"/>
            <w:vAlign w:val="bottom"/>
          </w:tcPr>
          <w:p>
            <w:pPr>
              <w:jc w:val="right"/>
              <w:spacing w:after="0"/>
              <w:rPr>
                <w:sz w:val="20"/>
                <w:szCs w:val="20"/>
                <w:color w:val="auto"/>
              </w:rPr>
            </w:pPr>
            <w:r>
              <w:rPr>
                <w:rFonts w:ascii="Arial" w:cs="Arial" w:eastAsia="Arial" w:hAnsi="Arial"/>
                <w:sz w:val="17"/>
                <w:szCs w:val="17"/>
                <w:color w:val="auto"/>
              </w:rPr>
              <w:t>38.9 %</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25.5 %</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for illiquidity</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Related Party Disclosures</w:t>
      </w:r>
    </w:p>
    <w:p>
      <w:pPr>
        <w:spacing w:after="0" w:line="256"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6"/>
          <w:szCs w:val="16"/>
          <w:color w:val="auto"/>
        </w:rPr>
        <w:t>In April 2022, the Company entered into a service contract for providing analytics services to The Vanguard Group Inc. which beneficially owns more than 10% of the Company’s common stock as of September 30, 2023. During the three months ended September 30, 2023 and 2022, the Company recognized revenues, net of $354 and $814, respectively, related to this service contract. During the nine months ended September 30, 2023 and 2022, the Company recognized revenues, net of $1,684 and $1,388, respectively, related to this service contract. The Company had outstanding accounts receivable, net of $240 and $856, related to this service contract as of September 30, 2023 and December 31, 2022, respectively.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Commitments</w:t>
      </w:r>
    </w:p>
    <w:p>
      <w:pPr>
        <w:spacing w:after="0" w:line="237"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As of September 30, 2023, the Company had committed to spend approximately $9,400 under agreements to purchase property and equipment. This amount is net of capital advances paid which are recognized in unaudited consolidated balance sheets as “Capital work in progress” under “Property and equipment, net.”</w:t>
      </w:r>
    </w:p>
    <w:p>
      <w:pPr>
        <w:spacing w:after="0" w:line="198"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7"/>
          <w:szCs w:val="17"/>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3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growth-stage technology companies. During the three months ended September 30, 2023, the Company invested $600 in the Partnership and is committed under the Partnership to make further investments up to an amount of $3,400.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237"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79"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50"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The transfer pricing regulations in the countries in which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83"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The Company is currently involved in transfer pricing and related income tax disputes with Indian tax authorities. The aggregate amount demanded by Indian tax authorities (net of advance payments) as of September 30, 2023 and December 31, 2022 is $36,682 and $37,088, respectively. The Company has made payments and/or provided bank guarantees against these demands in the amounts of $7,242 and $7,532, as of September 30, 2023 and December 31, 2022,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208"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India’s Value Added Tax (“VAT”) regime ended in June 2017 and was replaced by the current Goods and Service Tax (“GST”) regime. Pursuant to reviewing the Company’s annual VAT filings, the Indian tax authorities raised aggregate VAT demands for tax years 2015 and 2017, in the amounts of $5,504 and $5,526, as of September 30, 2023 and December 31, 2022, respectively. The GST authorities rejected the Company’s refunds claims in the amounts of $4,203 and $3,866 as of September 30, 2023 and December 31, 2022, respectively. The Company has filed appeals against these matters and believes that it is more likely than not that upon final examination its position will be sustained based on its technical merits. Accordingly, no provision was recognized as of September 30, 2023 and December 31, 2022, respectively.</w:t>
      </w:r>
    </w:p>
    <w:p>
      <w:pPr>
        <w:spacing w:after="0" w:line="20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One of the Company’s subsidiaries in India has undergone an assessment with the statutory authority with respect to defined social security contribution plan. Except for some components of the assessment for which the Company has recognized a provision in the financial statements, the Company believes that the amount demanded by such authority is not a meaningful indicator of the potential liabilities of the Company, and that the matter is without merit. The Company is defending against the assessment order and has accordingly instituted an appeal against the order before the relevant tribunal while also making a payment under protest of the amount demanded. As of the reporting date, the Company’s management does not believe that the ultimate assessment will have a material adverse effect on the Company’s consolidated financial condition, results of operations or cash flows. The Company will continue to monitor and evaluate its position based on future events and developments in this matter.</w:t>
      </w:r>
    </w:p>
    <w:p>
      <w:pPr>
        <w:spacing w:after="0" w:line="19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6"/>
          <w:szCs w:val="16"/>
          <w:color w:val="auto"/>
        </w:rPr>
        <w:t>In August 2019 and September 2020, the Indian Parliament passed various consolidating labor codes, including the Code on Social Security, 2020 (the “Indian Social Security Code”) which aims to rationalize labor laws relating to employee benefits during employment and post-employment benefits.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206"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2022. Some of the statements in the following discussion are forward looking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5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5"/>
          <w:szCs w:val="15"/>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29" w:lineRule="exact"/>
        <w:rPr>
          <w:sz w:val="20"/>
          <w:szCs w:val="20"/>
          <w:color w:val="auto"/>
        </w:rPr>
      </w:pPr>
    </w:p>
    <w:p>
      <w:pPr>
        <w:ind w:left="640" w:hanging="320"/>
        <w:spacing w:after="0" w:line="289"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maintain and grow client demand for our services and solutions, including anticipating and incorporating the latest technology into our offerings;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impact on client demand by the selling cycle and terms of our client contracts;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our earnings;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hire and retain enough sufficiently trained employees to support our operations or any changes in the senior management team;</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accurately estimate and/or manage costs;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adjust our pricing terms or effectively manage our asset utilization levels to meet the changing demands of our clients and potential clients;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cyber security incidents, data breaches, or other unauthorized disclosure of sensitive or confidential client and employee data;</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reliance on third parties to deliver services and infrastructure for client critical services;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employee wage increases;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protect our intellectual property;</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dependence on a limited number of clients in a limited number of industries and our ability to withstand the loss of a significant client;</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grow our business or effectively manage growth and international operations;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consummate or integrate strategic acquisitions including the impact from the impairment of goodwill and other intangible assets, if any;</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adhere to regulations or accreditation or licensing standards that govern our business;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increasing competition in our industry;</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telecommunications or technology disruptions or breaches, natural or other disasters, medical epidemics or pandemics, such as COVID-19, or acts of violence or war;</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operational and information security failures arising as a result of remote work solutions adopted due to COVID-19;</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legal liability arising out of customer and third party contracts;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 outcome of our disputes with the tax authorities in the geographies where we operate;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introduction of new or unfavorable tax legislation;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tax laws or decisions regarding repatriation of funds held abroad;</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exposure to currency exchange rate fluctuations in the various currencies in which we do business including the potential effects of Russian-Ukraine conflict, rising inflation, high interest rates and economic recessionary trends on currency exchange rates;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immigration;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ability to service debt or obtain additional financing on favorable terms. Inception of interest rate swaps to hedge interest rate risk;</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negative public reaction in the U.S. or elsewhere to offshore outsourcing;</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effects of political and economic conditions globally, particularly in the geographies where we operate;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ability to make accurate estimates and assumptions in connection with the preparation of our consolidated financial statements;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legislative and judicial developments, including changes to or the withdrawal of governmental fiscal incentives;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credit risk fluctuations in the market values of our investment and derivatives portfolios; and</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meet our environmental, social and governance-related goals and targets.</w:t>
      </w:r>
    </w:p>
    <w:p>
      <w:pPr>
        <w:spacing w:after="0" w:line="303"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2022. These and other risks could cause actual results to differ materially from those implied by forward-looking statements in this Quarterly Report on Form 10-Q.</w:t>
      </w:r>
    </w:p>
    <w:p>
      <w:pPr>
        <w:spacing w:after="0" w:line="185"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43"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We are a leading data analytics and digital operations and solutions company that partners with clients to improve business outcomes and unlock growth. By bringing together deep domain expertise with robust data, powerful analytics, cloud, artificial intelligence, including generative AI, we create agile, scalable solutions and execute complex operations for the world’s leading corporations in industries including insurance, healthcare, banking and financial services, media, and retail, among others.</w:t>
      </w:r>
    </w:p>
    <w:p>
      <w:pPr>
        <w:spacing w:after="0" w:line="215"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We deliver data analytics and digital operations and solutions to our clients, driving enterprise-scale business transformation initiatives that leverage our deep expertise in advanced analytics, artificial intelligence, generative AI and cloud. We manage and report financial information through our four strategic business units: Insurance, Healthcare, Analytics and Emerging Business, which reflects how management reviews financial information and makes operating decisions.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reportable segments are as follows:</w:t>
      </w:r>
    </w:p>
    <w:p>
      <w:pPr>
        <w:spacing w:after="0" w:line="250" w:lineRule="exact"/>
        <w:rPr>
          <w:sz w:val="20"/>
          <w:szCs w:val="20"/>
          <w:color w:val="auto"/>
        </w:rPr>
      </w:pPr>
    </w:p>
    <w:p>
      <w:pPr>
        <w:ind w:left="620" w:hanging="14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Insurance,</w:t>
      </w:r>
    </w:p>
    <w:p>
      <w:pPr>
        <w:spacing w:after="0" w:line="250" w:lineRule="exact"/>
        <w:rPr>
          <w:rFonts w:ascii="Arial" w:cs="Arial" w:eastAsia="Arial" w:hAnsi="Arial"/>
          <w:sz w:val="17"/>
          <w:szCs w:val="17"/>
          <w:color w:val="auto"/>
        </w:rPr>
      </w:pPr>
    </w:p>
    <w:p>
      <w:pPr>
        <w:ind w:left="620" w:hanging="14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Healthcare,</w:t>
      </w:r>
    </w:p>
    <w:p>
      <w:pPr>
        <w:spacing w:after="0" w:line="250" w:lineRule="exact"/>
        <w:rPr>
          <w:rFonts w:ascii="Arial" w:cs="Arial" w:eastAsia="Arial" w:hAnsi="Arial"/>
          <w:sz w:val="17"/>
          <w:szCs w:val="17"/>
          <w:color w:val="auto"/>
        </w:rPr>
      </w:pPr>
    </w:p>
    <w:p>
      <w:pPr>
        <w:ind w:left="620" w:hanging="14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Analytics, and</w:t>
      </w:r>
    </w:p>
    <w:p>
      <w:pPr>
        <w:spacing w:after="0" w:line="250" w:lineRule="exact"/>
        <w:rPr>
          <w:rFonts w:ascii="Arial" w:cs="Arial" w:eastAsia="Arial" w:hAnsi="Arial"/>
          <w:sz w:val="17"/>
          <w:szCs w:val="17"/>
          <w:color w:val="auto"/>
        </w:rPr>
      </w:pPr>
    </w:p>
    <w:p>
      <w:pPr>
        <w:ind w:left="620" w:hanging="143"/>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Emerging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Republic of Ireland, the Philippines, Bulgaria, Colombia, South Africa, Romania and the Czech Republic.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56"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For the three months ended September 30, 2023, we generated revenues of $411.0 million compared to revenues of $361.4 million for the three months ended September 30, 2022, an increase of $49.6 million, or 13.7%. For the nine months ended September 30, 2023, we generated revenues of $1,216.6 million compared to revenues of $1,037.3 million for the nine months ended September 30, 2022, an increase of $179.3 million, or 17.3%.</w:t>
      </w:r>
    </w:p>
    <w:p>
      <w:pPr>
        <w:spacing w:after="0" w:line="19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We serve clients mainly in the United States and the United Kingdom, with these two regions generating 83.5% and 11.3%, respectively, of our total revenues for the three months ended September 30, 2023, and 86.0% and 9.4%, respectively, of our total revenues for the three months ended September 30, 2022. For the nine months ended September 30, 2023, these two regions generated 84.1% and 10.8%, respectively, of our total revenues and 85.9% and 9.5%, respectively, of our total revenues for the nine months ended September 30, 2022.</w:t>
      </w:r>
    </w:p>
    <w:p>
      <w:pPr>
        <w:spacing w:after="0" w:line="199"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For the three months ended September 30, 2023 and 2022, our total revenues from our top ten clients accounted for 34.6% and 34.2% of our total revenues, respectively. For the nine months ended September 30, 2023 and 2022, our total revenues from our top ten clients accounted for 34.2% and 33.7%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5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98"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i w:val="1"/>
          <w:iCs w:val="1"/>
          <w:color w:val="auto"/>
        </w:rPr>
        <w:t xml:space="preserve">Digital Operations and Solutions: </w:t>
      </w:r>
      <w:r>
        <w:rPr>
          <w:rFonts w:ascii="Arial" w:cs="Arial" w:eastAsia="Arial" w:hAnsi="Arial"/>
          <w:sz w:val="17"/>
          <w:szCs w:val="17"/>
          <w:color w:val="auto"/>
        </w:rPr>
        <w:t>We provide our clients with a range of digital operations and solutions from our Insurance, Healthcare and Emerging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strategic business units, which are focused on solving complex industry challenges such as the insurance claims life cycle, financial transactions processing and provider and member experiences. This typically involves the use of agile delivery models to implement digital technologies and interventions like hyper-automation, customer experience transformation, advanced automation, generative AI,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208" w:lineRule="exact"/>
        <w:rPr>
          <w:sz w:val="20"/>
          <w:szCs w:val="20"/>
          <w:color w:val="auto"/>
        </w:rPr>
      </w:pPr>
    </w:p>
    <w:p>
      <w:pPr>
        <w:jc w:val="both"/>
        <w:ind w:firstLine="393"/>
        <w:spacing w:after="0" w:line="269"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9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charge for our services using various pricing models like time-and-material pricing, full-time-equivalent pricing, transaction-based pricing, outcome-based pricing, subscription-based pricing and other alternative pricing models. Outcome-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86" w:lineRule="exact"/>
        <w:rPr>
          <w:sz w:val="20"/>
          <w:szCs w:val="20"/>
          <w:color w:val="auto"/>
        </w:rPr>
      </w:pPr>
    </w:p>
    <w:p>
      <w:pPr>
        <w:jc w:val="both"/>
        <w:ind w:firstLine="393"/>
        <w:spacing w:after="0" w:line="263"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3" w:lineRule="exact"/>
        <w:rPr>
          <w:sz w:val="20"/>
          <w:szCs w:val="20"/>
          <w:color w:val="auto"/>
        </w:rPr>
      </w:pPr>
    </w:p>
    <w:p>
      <w:pPr>
        <w:jc w:val="both"/>
        <w:ind w:firstLine="393"/>
        <w:spacing w:after="0" w:line="277" w:lineRule="auto"/>
        <w:rPr>
          <w:sz w:val="20"/>
          <w:szCs w:val="20"/>
          <w:color w:val="auto"/>
        </w:rPr>
      </w:pPr>
      <w:r>
        <w:rPr>
          <w:rFonts w:ascii="Arial" w:cs="Arial" w:eastAsia="Arial" w:hAnsi="Arial"/>
          <w:sz w:val="15"/>
          <w:szCs w:val="15"/>
          <w:i w:val="1"/>
          <w:iCs w:val="1"/>
          <w:color w:val="auto"/>
        </w:rPr>
        <w:t xml:space="preserve">Analytics: </w:t>
      </w:r>
      <w:r>
        <w:rPr>
          <w:rFonts w:ascii="Arial" w:cs="Arial" w:eastAsia="Arial" w:hAnsi="Arial"/>
          <w:sz w:val="15"/>
          <w:szCs w:val="15"/>
          <w:color w:val="auto"/>
        </w:rPr>
        <w:t>Our analytics services aim to drive better business outcomes for our clients by unlocking deep insights from data and creating data-led solutions</w:t>
      </w:r>
      <w:r>
        <w:rPr>
          <w:rFonts w:ascii="Arial" w:cs="Arial" w:eastAsia="Arial" w:hAnsi="Arial"/>
          <w:sz w:val="15"/>
          <w:szCs w:val="15"/>
          <w:i w:val="1"/>
          <w:iCs w:val="1"/>
          <w:color w:val="auto"/>
        </w:rPr>
        <w:t xml:space="preserve"> </w:t>
      </w:r>
      <w:r>
        <w:rPr>
          <w:rFonts w:ascii="Arial" w:cs="Arial" w:eastAsia="Arial" w:hAnsi="Arial"/>
          <w:sz w:val="15"/>
          <w:szCs w:val="15"/>
          <w:color w:val="auto"/>
        </w:rPr>
        <w:t>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and third party artificial intelligence, generative AI, and machine learning capabilities and proprietary solutions to create insights, improve decision making for our clients and address a range of complex industry-wide priorities. We actively cross-sell and, where appropriate, integrate our analytics services with other digital operations and solutions as part of a comprehensive offering for our clients. Our project-based analytics services are cyclical and can be significantly affected by variations in business cycles. In addition, our project-based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205"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anticipate that revenues from our analytics services will grow as we expand our service offerings and client base, both organically and through 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Stock Split</w:t>
      </w:r>
    </w:p>
    <w:p>
      <w:pPr>
        <w:spacing w:after="0" w:line="256"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On June 20, 2023, subsequent to the approval and recommendation of our board of directors, our stockholders approved an amendment to our Amended and Restated Certificate of Incorporation, which upon filing with the State of Delaware on August 1, 2023, and effectiveness thereof, effected a 5-for-1 forward stock split of our common stock and an increase in the number of authorized shares of our common stock from 100,000,000 shares to 400,000,000 shares. The par value of each share of common stock, $0.001, remained unchanged. See Note 19 – Capital Structure to our unaudited consolidated financial statements herein for further details.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and nine months ended September 30, 2023,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results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20" w:type="dxa"/>
            <w:vAlign w:val="bottom"/>
          </w:tcPr>
          <w:p>
            <w:pPr>
              <w:spacing w:after="0"/>
              <w:rPr>
                <w:sz w:val="15"/>
                <w:szCs w:val="15"/>
                <w:color w:val="auto"/>
              </w:rPr>
            </w:pPr>
          </w:p>
        </w:tc>
        <w:tc>
          <w:tcPr>
            <w:tcW w:w="28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5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55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2022</w:t>
            </w:r>
          </w:p>
        </w:tc>
      </w:tr>
      <w:tr>
        <w:trPr>
          <w:trHeight w:val="190"/>
        </w:trPr>
        <w:tc>
          <w:tcPr>
            <w:tcW w:w="5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w w:val="90"/>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6"/>
                <w:szCs w:val="16"/>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411.0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1,216.6</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1,037.3</w:t>
            </w:r>
          </w:p>
        </w:tc>
      </w:tr>
      <w:tr>
        <w:trPr>
          <w:trHeight w:val="223"/>
        </w:trPr>
        <w:tc>
          <w:tcPr>
            <w:tcW w:w="55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256.0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230.5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659.2</w:t>
            </w:r>
          </w:p>
        </w:tc>
      </w:tr>
      <w:tr>
        <w:trPr>
          <w:trHeight w:val="216"/>
        </w:trPr>
        <w:tc>
          <w:tcPr>
            <w:tcW w:w="55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2"/>
                <w:szCs w:val="22"/>
                <w:b w:val="1"/>
                <w:bCs w:val="1"/>
                <w:color w:val="auto"/>
                <w:vertAlign w:val="superscript"/>
              </w:rPr>
              <w:t>(1)</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155.0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130.9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455.9</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378.1</w:t>
            </w:r>
          </w:p>
        </w:tc>
      </w:tr>
      <w:tr>
        <w:trPr>
          <w:trHeight w:val="203"/>
        </w:trPr>
        <w:tc>
          <w:tcPr>
            <w:tcW w:w="55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Selling and marketing expenses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72.0</w:t>
            </w: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r>
      <w:tr>
        <w:trPr>
          <w:trHeight w:val="21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237.0</w:t>
            </w: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141.1</w:t>
            </w: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7"/>
              </w:rPr>
              <w:t>Income before income tax expense and earnings from equity affiliates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145.5</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110.7</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from equity-method investment</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4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111.1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36" w:lineRule="exact"/>
        <w:rPr>
          <w:sz w:val="20"/>
          <w:szCs w:val="20"/>
          <w:color w:val="auto"/>
        </w:rPr>
      </w:pPr>
    </w:p>
    <w:p>
      <w:pPr>
        <w:ind w:left="400"/>
        <w:spacing w:after="0" w:line="260" w:lineRule="auto"/>
        <w:rPr>
          <w:sz w:val="20"/>
          <w:szCs w:val="20"/>
          <w:color w:val="auto"/>
        </w:rPr>
      </w:pPr>
      <w:r>
        <w:rPr>
          <w:rFonts w:ascii="Arial" w:cs="Arial" w:eastAsia="Arial" w:hAnsi="Arial"/>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2023 Compared to Three Months Ended September 30, 2022</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revenues by reportable segments:</w:t>
      </w:r>
    </w:p>
    <w:p>
      <w:pPr>
        <w:spacing w:after="0" w:line="57"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right"/>
              <w:ind w:right="4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46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17.4 %</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14.7 %</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16.6 %</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 net</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Revenues for the three months ended September 30, 2023 were $411.0 million, up $49.6 million, or 13.7%, compared to the three months ended September 30, 2022, driven primarily by revenue growth from our new and existing clients in all of our reportable segments.</w:t>
      </w:r>
    </w:p>
    <w:p>
      <w:pPr>
        <w:spacing w:after="0" w:line="18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Revenue growth in Insurance of $20.2 million was primarily driven by expansion of business from our new and existing clients of $20.4 million. This was partially offset by a loss of $0.2 million, mainly attributable to the depreciation of the Australian dollar, the South African rand and the Indian rupee against the U.S. dollar during the three months ended September 30, 2023, compared to the three months ended September 30, 2022. Insurance revenues were 33.2% and 32.2% of our total revenues during the three months ended September 30, 2023 and September 30, 2022, respectively.</w:t>
      </w:r>
    </w:p>
    <w:p>
      <w:pPr>
        <w:spacing w:after="0" w:line="183"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Revenue growth in Healthcare of $3.4 million was primarily driven by expansion of business from our new and existing clients during the three months ended September 30, 2023. Healthcare revenues were 6.4% and 6.3% of our total revenues during the three months ended September 30, 2023 and September 30, 2022, respectively.</w:t>
      </w:r>
    </w:p>
    <w:p>
      <w:pPr>
        <w:spacing w:after="0" w:line="19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Revenue growth in Emerging Business of $9.2 million was primarily driven by expansion of business from our new and existing clients of $8.2 million and an increase in revenues of $1.0 million, mainly attributable to the appreciation of the U.K. pound sterling against the U.S. dollar during the three months ended September 30, 2023, compared to the three months ended September 30, 2022. Emerging Business revenues were 15.9% and 15.5% of our total revenues during the three months ended September 30, 2023 and September 30, 2022, respectively.</w:t>
      </w:r>
    </w:p>
    <w:p>
      <w:pPr>
        <w:spacing w:after="0" w:line="21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Revenue growth in Analytics of $16.8 million was primarily driven by higher volumes in our annuity and project based engagements from our new and existing clients of $15.7 million and an increase in revenues of $1.1 million, mainly attributable to the appreciation of the U.K. pound sterling against the U.S. dollar during the three months ended September 30, 2023, compared to the three months ended September 30, 2022. Analytics revenues were 44.5% and 46.0% of our total revenues during the three months ended September 30, 2023 and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Cost of Revenues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Pr>
          <w:p>
            <w:pPr>
              <w:spacing w:after="0"/>
              <w:rPr>
                <w:sz w:val="15"/>
                <w:szCs w:val="15"/>
                <w:color w:val="auto"/>
              </w:rPr>
            </w:pPr>
          </w:p>
        </w:tc>
      </w:tr>
      <w:tr>
        <w:trPr>
          <w:trHeight w:val="24"/>
        </w:trPr>
        <w:tc>
          <w:tcPr>
            <w:tcW w:w="1920" w:type="dxa"/>
            <w:vAlign w:val="bottom"/>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1920" w:type="dxa"/>
            <w:vAlign w:val="bottom"/>
          </w:tcPr>
          <w:p>
            <w:pPr>
              <w:spacing w:after="0"/>
              <w:rPr>
                <w:sz w:val="15"/>
                <w:szCs w:val="15"/>
                <w:color w:val="auto"/>
              </w:rPr>
            </w:pPr>
          </w:p>
        </w:tc>
        <w:tc>
          <w:tcPr>
            <w:tcW w:w="27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Percentage</w:t>
            </w:r>
          </w:p>
        </w:tc>
        <w:tc>
          <w:tcPr>
            <w:tcW w:w="302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Pr>
          <w:p>
            <w:pPr>
              <w:spacing w:after="0"/>
              <w:rPr>
                <w:sz w:val="15"/>
                <w:szCs w:val="15"/>
                <w:color w:val="auto"/>
              </w:rPr>
            </w:pPr>
          </w:p>
        </w:tc>
      </w:tr>
      <w:tr>
        <w:trPr>
          <w:trHeight w:val="191"/>
        </w:trPr>
        <w:tc>
          <w:tcPr>
            <w:tcW w:w="192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1400" w:type="dxa"/>
            <w:vAlign w:val="bottom"/>
            <w:tcBorders>
              <w:top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Arial" w:cs="Arial" w:eastAsia="Arial" w:hAnsi="Arial"/>
                <w:sz w:val="14"/>
                <w:szCs w:val="14"/>
                <w:b w:val="1"/>
                <w:bCs w:val="1"/>
                <w:color w:val="auto"/>
              </w:rPr>
              <w:t>Change</w:t>
            </w:r>
          </w:p>
        </w:tc>
      </w:tr>
      <w:tr>
        <w:trPr>
          <w:trHeight w:val="188"/>
        </w:trPr>
        <w:tc>
          <w:tcPr>
            <w:tcW w:w="1920" w:type="dxa"/>
            <w:vAlign w:val="bottom"/>
          </w:tcPr>
          <w:p>
            <w:pPr>
              <w:spacing w:after="0"/>
              <w:rPr>
                <w:sz w:val="16"/>
                <w:szCs w:val="16"/>
                <w:color w:val="auto"/>
              </w:rPr>
            </w:pPr>
          </w:p>
        </w:tc>
        <w:tc>
          <w:tcPr>
            <w:tcW w:w="2600" w:type="dxa"/>
            <w:vAlign w:val="bottom"/>
            <w:tcBorders>
              <w:top w:val="single" w:sz="8" w:color="auto"/>
            </w:tcBorders>
            <w:gridSpan w:val="5"/>
          </w:tcPr>
          <w:p>
            <w:pPr>
              <w:jc w:val="right"/>
              <w:ind w:right="638"/>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Insurance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35.4 %</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23"/>
        </w:trPr>
        <w:tc>
          <w:tcPr>
            <w:tcW w:w="1920" w:type="dxa"/>
            <w:vAlign w:val="bottom"/>
          </w:tcPr>
          <w:p>
            <w:pPr>
              <w:spacing w:after="0"/>
              <w:rPr>
                <w:sz w:val="20"/>
                <w:szCs w:val="20"/>
                <w:color w:val="auto"/>
              </w:rPr>
            </w:pPr>
            <w:r>
              <w:rPr>
                <w:rFonts w:ascii="Arial" w:cs="Arial" w:eastAsia="Arial" w:hAnsi="Arial"/>
                <w:sz w:val="17"/>
                <w:szCs w:val="17"/>
                <w:color w:val="auto"/>
              </w:rPr>
              <w:t>Healthcare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25.0 %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11.8 %</w:t>
            </w:r>
          </w:p>
        </w:tc>
      </w:tr>
      <w:tr>
        <w:trPr>
          <w:trHeight w:val="223"/>
        </w:trPr>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Emerging Business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r>
      <w:tr>
        <w:trPr>
          <w:trHeight w:val="223"/>
        </w:trPr>
        <w:tc>
          <w:tcPr>
            <w:tcW w:w="1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36.3 %</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0.7 %</w:t>
            </w:r>
          </w:p>
        </w:tc>
      </w:tr>
      <w:tr>
        <w:trPr>
          <w:trHeight w:val="241"/>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36.2 %</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For the three months ended September 30, 2023, cost of revenues was $256.0 million compared to $230.5 million for the three months ended September 30, 2022, an increase of $25.5 million, or 11.1%. The increase in cost of revenues was primarily due to increases in employee-related costs, partially offset by foreign exchange gain, net of hedging. Our gross margin for the three months ended September 30, 2023 was 37.7%, compared to 36.2% for the three months ended September 30, 2022, an increase of 150 basis points (“bps”) primarily driven by higher revenues and operational efficiencies during the three months ended September 30, 2023, compared to the three months ended September 30, 2022.</w:t>
      </w:r>
    </w:p>
    <w:p>
      <w:pPr>
        <w:spacing w:after="0" w:line="206"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The increase in cost of revenues in Insurance of $11.5 million for the three months ended September 30, 2023 was primarily due to increases in employee-related costs of $11.3 million on account of higher headcount and wage inflation and higher technology costs of $1.7 million on account of increased use of the hybrid and remote working models, partially offset by foreign exchange gain, net of hedging of $1.5 million. Gross margin in Insurance increased by 120 bps during the three months ended September 30, 2023, compared to the three months ended September 30, 2022, primarily due to higher revenues and operational efficiencies during the three months ended September 30, 2023, compared to the three months ended September 30, 2022.</w:t>
      </w:r>
    </w:p>
    <w:p>
      <w:pPr>
        <w:spacing w:after="0" w:line="195"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decrease in cost of revenues in Healthcare of $0.6 million for the three months ended September 30, 2023 was primarily due to lower other operating costs of $0.5 million and foreign exchange gain, net of hedging of $0.3 million, partially offset by increases in employee-related costs of $0.2 million on account of wage inflation. Gross margin in Healthcare increased by 1,180 bps during the three months ended September 30, 2023, compared to the three months ended September 30, 2022, primarily due to higher revenues and operational efficiencies during the three months ended September 30, 2023, compared to the three months ended September 30, 2022.</w:t>
      </w:r>
    </w:p>
    <w:p>
      <w:pPr>
        <w:spacing w:after="0" w:line="219" w:lineRule="exact"/>
        <w:rPr>
          <w:sz w:val="20"/>
          <w:szCs w:val="20"/>
          <w:color w:val="auto"/>
        </w:rPr>
      </w:pPr>
    </w:p>
    <w:p>
      <w:pPr>
        <w:jc w:val="both"/>
        <w:ind w:firstLine="393"/>
        <w:spacing w:after="0" w:line="251" w:lineRule="auto"/>
        <w:rPr>
          <w:sz w:val="20"/>
          <w:szCs w:val="20"/>
          <w:color w:val="auto"/>
        </w:rPr>
      </w:pPr>
      <w:r>
        <w:rPr>
          <w:rFonts w:ascii="Arial" w:cs="Arial" w:eastAsia="Arial" w:hAnsi="Arial"/>
          <w:sz w:val="17"/>
          <w:szCs w:val="17"/>
          <w:color w:val="auto"/>
        </w:rPr>
        <w:t>The increase in cost of revenues in Emerging Business of $5.2 million for the three months ended September 30, 2023 was primarily due to increases in employee-related costs of $5.5 million on account of higher headcount and wage inflation and higher technology costs of $1.0 million on account of increased use of the hybrid and remote working models, partially offset by foreign exchange gain, net of hedging of $0.8 million and lower travel costs of $0.5 million. Gross margin in Emerging Business increased by 20 bps during the three months ended September 30, 2023, compared to the three months ended September 30, 2022, primarily due to higher revenues and operational efficiencies during the three months ended September 30, 2023, compared to the three months ended September 30, 2022.</w:t>
      </w:r>
    </w:p>
    <w:p>
      <w:pPr>
        <w:spacing w:after="0" w:line="203" w:lineRule="exact"/>
        <w:rPr>
          <w:sz w:val="20"/>
          <w:szCs w:val="20"/>
          <w:color w:val="auto"/>
        </w:rPr>
      </w:pPr>
    </w:p>
    <w:p>
      <w:pPr>
        <w:jc w:val="both"/>
        <w:ind w:firstLine="393"/>
        <w:spacing w:after="0" w:line="245" w:lineRule="auto"/>
        <w:rPr>
          <w:sz w:val="20"/>
          <w:szCs w:val="20"/>
          <w:color w:val="auto"/>
        </w:rPr>
      </w:pPr>
      <w:r>
        <w:rPr>
          <w:rFonts w:ascii="Arial" w:cs="Arial" w:eastAsia="Arial" w:hAnsi="Arial"/>
          <w:sz w:val="17"/>
          <w:szCs w:val="17"/>
          <w:color w:val="auto"/>
        </w:rPr>
        <w:t>The increase in cost of revenues in Analytics of $9.4 million for the three months ended September 30, 2023 was primarily due to increases in employee-related costs of $11.5 million on account of higher headcount and wage inflation, partially offset by foreign exchange gain, net of hedging of $1.3 million and lower travel costs of $0.8 million. Gross margin in Analytics increased by 70 bps during the three months ended September 30, 2023, compared to the three months ended September 30, 2022, primarily due to higher revenues and operational efficiencies during the three months ended September 30, 2023, compared to the three months ended September 30,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3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Three months ended September 30,</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514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center"/>
              <w:ind w:right="238"/>
              <w:spacing w:after="0"/>
              <w:rPr>
                <w:sz w:val="20"/>
                <w:szCs w:val="20"/>
                <w:color w:val="auto"/>
              </w:rPr>
            </w:pPr>
            <w:r>
              <w:rPr>
                <w:rFonts w:ascii="Arial" w:cs="Arial" w:eastAsia="Arial" w:hAnsi="Arial"/>
                <w:sz w:val="14"/>
                <w:szCs w:val="14"/>
                <w:b w:val="1"/>
                <w:bCs w:val="1"/>
                <w:color w:val="auto"/>
                <w:w w:val="91"/>
              </w:rPr>
              <w:t>(dollars in millions)</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52.2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8"/>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22.8 %</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31.0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29.6 %</w:t>
            </w:r>
          </w:p>
        </w:tc>
        <w:tc>
          <w:tcPr>
            <w:tcW w:w="0" w:type="dxa"/>
            <w:vAlign w:val="bottom"/>
          </w:tcPr>
          <w:p>
            <w:pPr>
              <w:spacing w:after="0"/>
              <w:rPr>
                <w:sz w:val="1"/>
                <w:szCs w:val="1"/>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88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94"/>
              </w:rPr>
              <w:t>20.2 %</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w w:val="94"/>
              </w:rPr>
              <w:t>18.4 %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The increase in SG&amp;A expenses of $16.8 million was primarily due to higher employee-related costs of $10.7 million on account of higher headcount and wage inflation, higher investment in digital capabilities of $3.7 million, higher allowance for expected credit losses of $1.9 million, primarily related to a customer bankruptcy event and increase in travel costs of $0.9 million. This was partially offset by foreign exchange gain, net of hedging of $0.4 million during the three months ended September 30, 2023, compared to the three months ended September 30, 2022.</w:t>
      </w:r>
    </w:p>
    <w:p>
      <w:pPr>
        <w:spacing w:after="0" w:line="2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31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518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0"/>
              </w:rPr>
              <w:t>(dollars in millions)</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90"/>
              </w:rPr>
              <w:t>10.1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90"/>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90"/>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393"/>
        <w:spacing w:after="0" w:line="245" w:lineRule="auto"/>
        <w:rPr>
          <w:sz w:val="20"/>
          <w:szCs w:val="20"/>
          <w:color w:val="auto"/>
        </w:rPr>
      </w:pPr>
      <w:r>
        <w:rPr>
          <w:rFonts w:ascii="Arial" w:cs="Arial" w:eastAsia="Arial" w:hAnsi="Arial"/>
          <w:sz w:val="17"/>
          <w:szCs w:val="17"/>
          <w:color w:val="auto"/>
        </w:rPr>
        <w:t>The decrease in depreciation expense of $1.7 million was primarily due to lower depreciation of $1.5 million on assets related to operations centers closed as a result of optimization of office space and increased use of the hybrid and remote working models and foreign exchange gain, net of hedging of $0.2 million during the three months ended September 30, 2023, compared to the three months ended September 30, 2022. The decrease in intangibles amortization expense of $1.1 million during the three months ended September 30, 2023, compared to the three months ended September 30, 2022 was primarily due to end of useful lives for certain intangible assets.</w:t>
      </w:r>
    </w:p>
    <w:p>
      <w:pPr>
        <w:spacing w:after="0" w:line="78"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$10.1 million, or 20.2%, from $50.1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to $60.2 million for the three months ended September 30, 2023, primarily due to higher revenues and higher gross margins, partially offset by higher SG&amp;A expenses during the three months ended September 30, 2023. As a percentage of revenues, income from operations increased from 13.9% for the three months ended September 30, 2022 to 14.7% for the three months ended September 30, 2023.</w:t>
      </w:r>
    </w:p>
    <w:p>
      <w:pPr>
        <w:spacing w:after="0" w:line="215"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b w:val="1"/>
          <w:bCs w:val="1"/>
          <w:i w:val="1"/>
          <w:iCs w:val="1"/>
          <w:color w:val="auto"/>
        </w:rPr>
        <w:t xml:space="preserve">Foreign Exchange Gain, net. </w:t>
      </w:r>
      <w:r>
        <w:rPr>
          <w:rFonts w:ascii="Arial" w:cs="Arial" w:eastAsia="Arial" w:hAnsi="Arial"/>
          <w:sz w:val="16"/>
          <w:szCs w:val="16"/>
          <w:color w:val="auto"/>
        </w:rPr>
        <w:t>Foreign exchange gains and losses are primarily attributable to the movement of the U.S. dollar against the Indian rupee,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Philippine peso, the U.K. pound sterling and the South African rand during the three months ended September 30, 2023, compared to the three months ended September 30, 2022. The average exchange rate of the U.S. dollar against the Indian rupee increased from 80.01 during the three months ended September 30, 2022 to 82.69 during the three months ended September 30, 2023. The average exchange rate of the U.S. dollar against the Philippine peso decreased from 56.63 during the three months ended September 30, 2022 to 56.02 during the three months ended September 30, 2023. The average exchange rate of the U.K. pound sterling against the U.S. dollar increased from 1.16 during the three months ended September 30, 2022 to 1.26 during the three months ended September 30, 2023. The average exchange rate of the U.S. dollar against the South African rand increased from 17.21 during the three months ended September 30, 2022 to 18.49 during the three months ended September 30, 2023.</w:t>
      </w:r>
    </w:p>
    <w:p>
      <w:pPr>
        <w:spacing w:after="0" w:line="19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recorded a foreign exchange gain, net of $1.5 million for the three months ended September 30, 2022 compared to a foreign exchange gain, net of $0.4 million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b w:val="1"/>
          <w:bCs w:val="1"/>
          <w:i w:val="1"/>
          <w:iCs w:val="1"/>
          <w:color w:val="auto"/>
        </w:rPr>
        <w:t>Interest expens</w:t>
      </w:r>
      <w:r>
        <w:rPr>
          <w:rFonts w:ascii="Arial" w:cs="Arial" w:eastAsia="Arial" w:hAnsi="Arial"/>
          <w:sz w:val="17"/>
          <w:szCs w:val="17"/>
          <w:color w:val="auto"/>
        </w:rPr>
        <w:t>e. Interest expense increased from $2.4 million for the three months ended September 30, 2022 to $3.4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2023, primarily due to a higher effective interest rate of 6.5% during the three months ended September 30, 2023, compared to 3.4% during the three months ended September 30, 2022, partially offset by a lower average outstanding balance under our revolving credit facility during the three months ended September 30, 2023, compared to the three months ended September 30, 2022.</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w w:val="92"/>
              </w:rPr>
              <w:t>Three months ended September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278"/>
              <w:spacing w:after="0"/>
              <w:rPr>
                <w:sz w:val="20"/>
                <w:szCs w:val="20"/>
                <w:color w:val="auto"/>
              </w:rPr>
            </w:pPr>
            <w:r>
              <w:rPr>
                <w:rFonts w:ascii="Arial" w:cs="Arial" w:eastAsia="Arial" w:hAnsi="Arial"/>
                <w:sz w:val="14"/>
                <w:szCs w:val="14"/>
                <w:b w:val="1"/>
                <w:bCs w:val="1"/>
                <w:color w:val="auto"/>
              </w:rPr>
              <w:t>Percentage</w:t>
            </w:r>
          </w:p>
        </w:tc>
      </w:tr>
      <w:tr>
        <w:trPr>
          <w:trHeight w:val="191"/>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change</w:t>
            </w:r>
          </w:p>
        </w:tc>
      </w:tr>
      <w:tr>
        <w:trPr>
          <w:trHeight w:val="221"/>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on investments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center"/>
              <w:ind w:left="619"/>
              <w:spacing w:after="0"/>
              <w:rPr>
                <w:sz w:val="20"/>
                <w:szCs w:val="20"/>
                <w:color w:val="auto"/>
              </w:rPr>
            </w:pPr>
            <w:r>
              <w:rPr>
                <w:rFonts w:ascii="Arial" w:cs="Arial" w:eastAsia="Arial" w:hAnsi="Arial"/>
                <w:sz w:val="17"/>
                <w:szCs w:val="17"/>
                <w:color w:val="auto"/>
                <w:w w:val="92"/>
              </w:rPr>
              <w:t>1.3</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center"/>
              <w:ind w:left="516"/>
              <w:spacing w:after="0"/>
              <w:rPr>
                <w:sz w:val="20"/>
                <w:szCs w:val="20"/>
                <w:color w:val="auto"/>
              </w:rPr>
            </w:pPr>
            <w:r>
              <w:rPr>
                <w:rFonts w:ascii="Arial" w:cs="Arial" w:eastAsia="Arial" w:hAnsi="Arial"/>
                <w:sz w:val="17"/>
                <w:szCs w:val="17"/>
                <w:color w:val="auto"/>
                <w:w w:val="97"/>
              </w:rPr>
              <w:t>(0.2)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23"/>
        </w:trPr>
        <w:tc>
          <w:tcPr>
            <w:tcW w:w="532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220" w:type="dxa"/>
            <w:vAlign w:val="bottom"/>
          </w:tcPr>
          <w:p>
            <w:pPr>
              <w:spacing w:after="0"/>
              <w:rPr>
                <w:sz w:val="19"/>
                <w:szCs w:val="19"/>
                <w:color w:val="auto"/>
              </w:rPr>
            </w:pPr>
          </w:p>
        </w:tc>
        <w:tc>
          <w:tcPr>
            <w:tcW w:w="1160" w:type="dxa"/>
            <w:vAlign w:val="bottom"/>
          </w:tcPr>
          <w:p>
            <w:pPr>
              <w:jc w:val="center"/>
              <w:ind w:left="619"/>
              <w:spacing w:after="0"/>
              <w:rPr>
                <w:sz w:val="20"/>
                <w:szCs w:val="20"/>
                <w:color w:val="auto"/>
              </w:rPr>
            </w:pPr>
            <w:r>
              <w:rPr>
                <w:rFonts w:ascii="Arial" w:cs="Arial" w:eastAsia="Arial" w:hAnsi="Arial"/>
                <w:sz w:val="17"/>
                <w:szCs w:val="17"/>
                <w:color w:val="auto"/>
                <w:w w:val="92"/>
              </w:rPr>
              <w:t>2.1</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556"/>
              <w:spacing w:after="0"/>
              <w:rPr>
                <w:sz w:val="20"/>
                <w:szCs w:val="20"/>
                <w:color w:val="auto"/>
              </w:rPr>
            </w:pPr>
            <w:r>
              <w:rPr>
                <w:rFonts w:ascii="Arial" w:cs="Arial" w:eastAsia="Arial" w:hAnsi="Arial"/>
                <w:sz w:val="17"/>
                <w:szCs w:val="17"/>
                <w:color w:val="auto"/>
                <w:w w:val="92"/>
              </w:rPr>
              <w:t>0.6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44.5 %</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 of contingent consideration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9"/>
              <w:spacing w:after="0"/>
              <w:rPr>
                <w:sz w:val="20"/>
                <w:szCs w:val="20"/>
                <w:color w:val="auto"/>
              </w:rPr>
            </w:pPr>
            <w:r>
              <w:rPr>
                <w:rFonts w:ascii="Arial" w:cs="Arial" w:eastAsia="Arial" w:hAnsi="Arial"/>
                <w:sz w:val="17"/>
                <w:szCs w:val="17"/>
                <w:color w:val="auto"/>
                <w:w w:val="97"/>
              </w:rPr>
              <w:t>(2.5)</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16"/>
              <w:spacing w:after="0"/>
              <w:rPr>
                <w:sz w:val="20"/>
                <w:szCs w:val="20"/>
                <w:color w:val="auto"/>
              </w:rPr>
            </w:pPr>
            <w:r>
              <w:rPr>
                <w:rFonts w:ascii="Arial" w:cs="Arial" w:eastAsia="Arial" w:hAnsi="Arial"/>
                <w:sz w:val="17"/>
                <w:szCs w:val="17"/>
                <w:color w:val="auto"/>
                <w:w w:val="97"/>
              </w:rPr>
              <w:t>(2.5)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19"/>
              <w:spacing w:after="0"/>
              <w:rPr>
                <w:sz w:val="20"/>
                <w:szCs w:val="20"/>
                <w:color w:val="auto"/>
              </w:rPr>
            </w:pPr>
            <w:r>
              <w:rPr>
                <w:rFonts w:ascii="Arial" w:cs="Arial" w:eastAsia="Arial" w:hAnsi="Arial"/>
                <w:sz w:val="17"/>
                <w:szCs w:val="17"/>
                <w:color w:val="auto"/>
                <w:w w:val="97"/>
              </w:rPr>
              <w:t>(0.1)</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6"/>
              <w:spacing w:after="0"/>
              <w:rPr>
                <w:sz w:val="20"/>
                <w:szCs w:val="20"/>
                <w:color w:val="auto"/>
              </w:rPr>
            </w:pPr>
            <w:r>
              <w:rPr>
                <w:rFonts w:ascii="Arial" w:cs="Arial" w:eastAsia="Arial" w:hAnsi="Arial"/>
                <w:sz w:val="17"/>
                <w:szCs w:val="17"/>
                <w:color w:val="auto"/>
                <w:w w:val="92"/>
              </w:rPr>
              <w:t>0.6</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w:t>
            </w: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center"/>
              <w:ind w:left="619"/>
              <w:spacing w:after="0"/>
              <w:rPr>
                <w:sz w:val="20"/>
                <w:szCs w:val="20"/>
                <w:color w:val="auto"/>
              </w:rPr>
            </w:pPr>
            <w:r>
              <w:rPr>
                <w:rFonts w:ascii="Arial" w:cs="Arial" w:eastAsia="Arial" w:hAnsi="Arial"/>
                <w:sz w:val="17"/>
                <w:szCs w:val="17"/>
                <w:color w:val="auto"/>
                <w:w w:val="92"/>
              </w:rPr>
              <w:t>0.8</w:t>
            </w:r>
          </w:p>
        </w:tc>
        <w:tc>
          <w:tcPr>
            <w:tcW w:w="6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3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7"/>
                <w:szCs w:val="17"/>
                <w:color w:val="auto"/>
                <w:w w:val="97"/>
              </w:rPr>
              <w:t>(1.5)</w:t>
            </w: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Other income, net decreased by $1.5 million, from $2.3 million for the three months ended September 30, 2022 to $0.8 million for the three months ended September 30, 2023. The decrease is primarily due to a fair value adjustment to recognize an increase in contingent consideration liability of $2.5 million related to our acquisition of Clairvoyant AI, Inc. (“Clairvoyant”) in December 2021 as a result of strong operational performance. This was partially offset by higher interest and dividend income on our investments and lower other expenses during the three months ended September 30, 2023, compared to the three months ended September 30, 2022.</w:t>
      </w:r>
    </w:p>
    <w:p>
      <w:pPr>
        <w:spacing w:after="0" w:line="206"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The effective tax rate increased from 24.2% during the three months ended September 30, 2022 to 24.4% during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2023. We recorded income tax expense of $14.2 million and $12.5 million for the three months ended September 30, 2023 and 2022, respectively. The increase in income tax expense was primarily as a result of higher profit during the three months ended September 30, 2023, compared to the three months ended September 30, 2022, and an increase in non-deductible expenses during the three months ended September 30, 2023, partially offset by higher excess tax benefits related to stock-based compensation, and higher tax credits during the three months ended September 30, 2023, compared to the three months ended September 30, 2022.</w:t>
      </w:r>
    </w:p>
    <w:p>
      <w:pPr>
        <w:spacing w:after="0" w:line="21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$39.1 million for the three months ended September 30, 2022 to $43.9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primarily due to increase in income from operations of $10.1 million, partially offset by higher income tax expense of $1.7 million, lower other income, net of $1.5 million, lower foreign exchange gain, net of $1.1 million and higher interest expense of $1.0 million. As a percentage of revenues, net income decreased from 10.8% for the three months ended September 30, 2022 to 10.7% for the three months ended September 30,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2023 Compared to Nine Months Ended September 30, 2022</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revenues by reportable segments: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5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80" w:type="dxa"/>
            <w:vAlign w:val="bottom"/>
          </w:tcPr>
          <w:p>
            <w:pPr>
              <w:jc w:val="right"/>
              <w:ind w:right="3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19.1 %</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11.1 %</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23.7 %</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 net</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Revenues for the nine months ended September 30, 2023 were $1,216.6 million, up $179.3 million, or 17.3%, compared to the nine months ended September 30, 2022, driven primarily by revenue growth from our new and existing clients in all of our reportable segments.</w:t>
      </w:r>
    </w:p>
    <w:p>
      <w:pPr>
        <w:spacing w:after="0" w:line="18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Revenue growth in Insurance of $62.8 million was primarily driven by expansion of business from our new and existing clients of $65.3 million. This was partially offset by a loss of $2.5 million, mainly attributable to the depreciation of the Australian dollar, the Indian rupee and the South African rand against the U.S. dollar during the nine months ended September 30, 2023, compared to the nine months ended September 30, 2022. Insurance revenues were 32.1% and 31.6% of our total revenues during the nine months ended September 30, 2023 and September 30, 2022, respectively.</w:t>
      </w:r>
    </w:p>
    <w:p>
      <w:pPr>
        <w:spacing w:after="0" w:line="183"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Revenue growth in Healthcare of $7.9 million was primarily driven by expansion of business from our new and existing clients during the nine months ended September 30, 2023. Healthcare revenues were 6.6% and 6.9% of our total revenues during the nine months ended September 30, 2023 and September 30, 2022, respectively.</w:t>
      </w:r>
    </w:p>
    <w:p>
      <w:pPr>
        <w:spacing w:after="0" w:line="185"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Revenue growth in Emerging Business of $38.1 million was primarily driven by expansion of business from our new and existing clients of $39.2 million. This was partially offset by a loss of $1.1 million, mainly attributable to the depreciation of the Indian rupee against the U.S. dollar during the nine months ended September 30, 2023, compared to the nine months ended September 30, 2022. Emerging Business revenues were 16.3% and 15.5% of our total revenues during the nine months ended September 30, 2023 and September 30, 2022, respectively.</w:t>
      </w:r>
    </w:p>
    <w:p>
      <w:pPr>
        <w:spacing w:after="0" w:line="19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Revenue growth in Analytics of $70.5 million was primarily driven by higher volumes in our annuity and project based engagements from our new and existing clients of $70.2 million and an increase in revenues of $0.3 million, mainly attributable to the appreciation of the U.K. pound sterling against the U.S.</w:t>
      </w:r>
    </w:p>
    <w:p>
      <w:pPr>
        <w:jc w:val="both"/>
        <w:spacing w:after="0" w:line="243" w:lineRule="auto"/>
        <w:rPr>
          <w:sz w:val="20"/>
          <w:szCs w:val="20"/>
          <w:color w:val="auto"/>
        </w:rPr>
      </w:pPr>
      <w:r>
        <w:rPr>
          <w:rFonts w:ascii="Arial" w:cs="Arial" w:eastAsia="Arial" w:hAnsi="Arial"/>
          <w:sz w:val="17"/>
          <w:szCs w:val="17"/>
          <w:color w:val="auto"/>
        </w:rPr>
        <w:t>dollar during the nine months ended September 30, 2023, compared to the nine months ended September 30, 2022. Analytics revenues were 45.0% and 46.0% of our total revenues during the nine months ended September 30, 2023 and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Cost of Revenues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Margin</w:t>
            </w:r>
          </w:p>
        </w:tc>
        <w:tc>
          <w:tcPr>
            <w:tcW w:w="980" w:type="dxa"/>
            <w:vAlign w:val="bottom"/>
          </w:tcPr>
          <w:p>
            <w:pPr>
              <w:spacing w:after="0"/>
              <w:rPr>
                <w:sz w:val="15"/>
                <w:szCs w:val="15"/>
                <w:color w:val="auto"/>
              </w:rPr>
            </w:pPr>
          </w:p>
        </w:tc>
      </w:tr>
      <w:tr>
        <w:trPr>
          <w:trHeight w:val="24"/>
        </w:trPr>
        <w:tc>
          <w:tcPr>
            <w:tcW w:w="2520" w:type="dxa"/>
            <w:vAlign w:val="bottom"/>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9"/>
        </w:trPr>
        <w:tc>
          <w:tcPr>
            <w:tcW w:w="2520" w:type="dxa"/>
            <w:vAlign w:val="bottom"/>
          </w:tcPr>
          <w:p>
            <w:pPr>
              <w:spacing w:after="0"/>
              <w:rPr>
                <w:sz w:val="19"/>
                <w:szCs w:val="19"/>
                <w:color w:val="auto"/>
              </w:rPr>
            </w:pPr>
          </w:p>
        </w:tc>
        <w:tc>
          <w:tcPr>
            <w:tcW w:w="262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Pr>
          <w:p>
            <w:pPr>
              <w:spacing w:after="0"/>
              <w:rPr>
                <w:sz w:val="19"/>
                <w:szCs w:val="19"/>
                <w:color w:val="auto"/>
              </w:rPr>
            </w:pPr>
          </w:p>
        </w:tc>
      </w:tr>
      <w:tr>
        <w:trPr>
          <w:trHeight w:val="24"/>
        </w:trPr>
        <w:tc>
          <w:tcPr>
            <w:tcW w:w="2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9"/>
        </w:trPr>
        <w:tc>
          <w:tcPr>
            <w:tcW w:w="2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Percentage change</w:t>
            </w:r>
          </w:p>
        </w:tc>
        <w:tc>
          <w:tcPr>
            <w:tcW w:w="1360" w:type="dxa"/>
            <w:vAlign w:val="bottom"/>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9"/>
                <w:szCs w:val="19"/>
                <w:color w:val="auto"/>
              </w:rPr>
            </w:pPr>
          </w:p>
        </w:tc>
        <w:tc>
          <w:tcPr>
            <w:tcW w:w="1360" w:type="dxa"/>
            <w:vAlign w:val="bottom"/>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rPr>
              <w:t>Change</w:t>
            </w:r>
          </w:p>
        </w:tc>
      </w:tr>
      <w:tr>
        <w:trPr>
          <w:trHeight w:val="24"/>
        </w:trPr>
        <w:tc>
          <w:tcPr>
            <w:tcW w:w="2520" w:type="dxa"/>
            <w:vAlign w:val="bottom"/>
          </w:tcPr>
          <w:p>
            <w:pPr>
              <w:spacing w:after="0"/>
              <w:rPr>
                <w:sz w:val="2"/>
                <w:szCs w:val="2"/>
                <w:color w:val="auto"/>
              </w:rPr>
            </w:pPr>
          </w:p>
        </w:tc>
        <w:tc>
          <w:tcPr>
            <w:tcW w:w="2620" w:type="dxa"/>
            <w:vAlign w:val="bottom"/>
            <w:gridSpan w:val="6"/>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2520" w:type="dxa"/>
            <w:vAlign w:val="bottom"/>
          </w:tcPr>
          <w:p>
            <w:pPr>
              <w:spacing w:after="0"/>
              <w:rPr>
                <w:sz w:val="15"/>
                <w:szCs w:val="15"/>
                <w:color w:val="auto"/>
              </w:rPr>
            </w:pPr>
          </w:p>
        </w:tc>
        <w:tc>
          <w:tcPr>
            <w:tcW w:w="2520" w:type="dxa"/>
            <w:vAlign w:val="bottom"/>
            <w:tcBorders>
              <w:top w:val="single" w:sz="8" w:color="auto"/>
            </w:tcBorders>
            <w:gridSpan w:val="5"/>
          </w:tcPr>
          <w:p>
            <w:pPr>
              <w:jc w:val="right"/>
              <w:ind w:right="598"/>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20.1 %</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35.2 %</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23"/>
        </w:trPr>
        <w:tc>
          <w:tcPr>
            <w:tcW w:w="252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33.9 %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27.2 %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23"/>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343.3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13.2 %</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37.3 %</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0.9 %</w:t>
            </w:r>
          </w:p>
        </w:tc>
      </w:tr>
      <w:tr>
        <w:trPr>
          <w:trHeight w:val="241"/>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760.7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15.4 %</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37.5 %</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For the nine months ended September 30, 2023, cost of revenues was $760.7 million compared to $659.2 million for the nine months ended September 30, 2022, an increase of $101.5 million, or 15.4%. The increase in cost of revenues was primarily due to increases in employee-related costs, partially offset by foreign exchange gain, net of hedging. Our gross margin for the nine months ended September 30, 2023 was 37.5% compared to 36.5% for the nine months ended September 30, 2022, an increase of 100 basis points (“bps”) primarily driven by higher revenues, operational efficiencies and foreign exchange gain, net of hedging during the nine months ended September 30, 2023, compared to the nine months ended September 30, 2022.</w:t>
      </w:r>
    </w:p>
    <w:p>
      <w:pPr>
        <w:spacing w:after="0" w:line="195"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The increase in cost of revenues in Insurance of $42.4 million for the nine months ended September 30, 2023 was primarily due to increases in employee-related costs of $42.0 million on account of higher headcount and wage inflation, higher technology costs of $6.7 million on account of increased use of the hybrid and remote working models and higher other operating cost of $2.6 million, partially offset by foreign exchange gain, net of hedging of $6.5 million, lower travel cost of $1.5 million and lower facilities cost of $0.9 million on account of optimization of office space. Gross margin in Insurance decreased by 50 bps during the nine months ended September 30, 2023, compared to the nine months ended September 30, 2022, primarily due to lower margins associated with higher costs during ramp-ups in certain existing and new clients during the nine months ended September 30, 2023, compared to the nine months ended September 30, 2022.</w:t>
      </w:r>
    </w:p>
    <w:p>
      <w:pPr>
        <w:spacing w:after="0" w:line="210" w:lineRule="exact"/>
        <w:rPr>
          <w:sz w:val="20"/>
          <w:szCs w:val="20"/>
          <w:color w:val="auto"/>
        </w:rPr>
      </w:pPr>
    </w:p>
    <w:p>
      <w:pPr>
        <w:jc w:val="both"/>
        <w:ind w:firstLine="393"/>
        <w:spacing w:after="0" w:line="245" w:lineRule="auto"/>
        <w:rPr>
          <w:sz w:val="20"/>
          <w:szCs w:val="20"/>
          <w:color w:val="auto"/>
        </w:rPr>
      </w:pPr>
      <w:r>
        <w:rPr>
          <w:rFonts w:ascii="Arial" w:cs="Arial" w:eastAsia="Arial" w:hAnsi="Arial"/>
          <w:sz w:val="17"/>
          <w:szCs w:val="17"/>
          <w:color w:val="auto"/>
        </w:rPr>
        <w:t>The increase in cost of revenues in Healthcare of $0.5 million for the nine months ended September 30, 2023 was primarily due to increases in employee-related costs of $3.2 million on account of wage inflation, partially offset foreign exchange gain, net of hedging of $1.7 million and lower facilities cost of $1.0 million on account of optimization of office space. Gross margin in Healthcare increased by 670 bps during the nine months ended September 30, 2023, compared to the nine months ended September 30, 2022, primarily due to higher revenues, operational efficiencies and foreign exchange gain, net of hedging during the nine months ended September 30, 2023, compared to the nine months ended September 30, 2022.</w:t>
      </w:r>
    </w:p>
    <w:p>
      <w:pPr>
        <w:spacing w:after="0" w:line="209"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The increase in cost of revenues in Emerging Business of $18.6 million for the nine months ended September 30, 2023 was primarily due to increases in employee-related costs of $18.7 million on account of higher headcount and wage inflation, higher technology costs of $2.8 million on account of increased use of the hybrid and remote working models and higher other operating costs of $1.8 million, partially offset by foreign exchange gain, net of hedging of $3.5 million and lower travel costs of $1.2 million. Gross margin in Emerging Business increased by 170 bps during the nine months ended September 30, 2023, compared to the nine months ended September 30, 2022, primarily due to higher revenues and foreign exchange gain, net of hedging during the nine months ended September 30, 2023, compared to the nine months ended September 30, 2022.</w:t>
      </w:r>
    </w:p>
    <w:p>
      <w:pPr>
        <w:spacing w:after="0" w:line="209" w:lineRule="exact"/>
        <w:rPr>
          <w:sz w:val="20"/>
          <w:szCs w:val="20"/>
          <w:color w:val="auto"/>
        </w:rPr>
      </w:pPr>
    </w:p>
    <w:p>
      <w:pPr>
        <w:jc w:val="both"/>
        <w:ind w:firstLine="393"/>
        <w:spacing w:after="0" w:line="263" w:lineRule="auto"/>
        <w:rPr>
          <w:sz w:val="20"/>
          <w:szCs w:val="20"/>
          <w:color w:val="auto"/>
        </w:rPr>
      </w:pPr>
      <w:r>
        <w:rPr>
          <w:rFonts w:ascii="Arial" w:cs="Arial" w:eastAsia="Arial" w:hAnsi="Arial"/>
          <w:sz w:val="16"/>
          <w:szCs w:val="16"/>
          <w:color w:val="auto"/>
        </w:rPr>
        <w:t>The increase in cost of revenues in Analytics of $40.0 million for the nine months ended September 30, 2023 was primarily due to increases in employee-related costs of $48.4 million on account of higher headcount and wage inflation and higher technology costs of $1.2 million on account of increased use of the hybrid and remote working models, partially offset by foreign exchange gain, net of hedging of $6.0 million, lower travel costs of $2.4 million and lower facilities cost of $1.2 million on account of optimization of office space. Gross margin in Analytics increased by 90 bps during the nine months ended September 30, 2023, compared to the nine months ended September 30, 2022, primarily due to higher revenues, operational efficiencies and foreign exchange gain, net of hedging during the nine months ended September 30, 2023, compared to the nine months ended September 30, 2022.</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(dollars in millions)</w:t>
            </w: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9"/>
              </w:rPr>
              <w:t>144.5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3"/>
              </w:rPr>
              <w:t>122.9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17.6 %</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72.0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23.1 %</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9"/>
              </w:rPr>
              <w:t>233.2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93"/>
              </w:rPr>
              <w:t>194.9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19.2 %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18.8 %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6"/>
          <w:szCs w:val="16"/>
          <w:color w:val="auto"/>
        </w:rPr>
        <w:t>The increase in SG&amp;A expenses of $38.3 million was primarily due to higher employee-related costs of $27.7 million on account of higher headcount and wage inflation, higher investment in digital capabilities of $4.6 million, higher sales and marketing spend of $3.6 million, increase in travel costs of $2.9 million and higher allowance for expected credit losses of $2.1 million, primarily related to a customer bankruptcy event. This was partially offset by foreign exchange gain, net of hedging of $2.6 million during the nine months ended September 30, 2023, compared to the nine months ended September 30, 2022.</w:t>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3120" w:type="dxa"/>
            <w:vAlign w:val="bottom"/>
            <w:gridSpan w:val="6"/>
          </w:tcPr>
          <w:p>
            <w:pPr>
              <w:ind w:left="5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6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90"/>
              </w:rPr>
              <w:t>(dollars in millions)</w:t>
            </w: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26.7</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0"/>
              </w:rPr>
              <w:t>29.2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11.5</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90"/>
              </w:rPr>
              <w:t>12.9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38.2</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90"/>
              </w:rPr>
              <w:t>42.1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393"/>
        <w:spacing w:after="0" w:line="245" w:lineRule="auto"/>
        <w:rPr>
          <w:sz w:val="20"/>
          <w:szCs w:val="20"/>
          <w:color w:val="auto"/>
        </w:rPr>
      </w:pPr>
      <w:r>
        <w:rPr>
          <w:rFonts w:ascii="Arial" w:cs="Arial" w:eastAsia="Arial" w:hAnsi="Arial"/>
          <w:sz w:val="17"/>
          <w:szCs w:val="17"/>
          <w:color w:val="auto"/>
        </w:rPr>
        <w:t>The decrease in depreciation expense of $2.5 million was primarily due to lower depreciation of $1.7 million on assets related to operations centers closed as a result of optimization of office space, increased use of the hybrid and remote working models and foreign exchange gain, net of hedging of $0.8 million during the nine months ended September 30, 2023, compared to the nine months ended September 30, 2022. The decrease in intangibles amortization expense of $1.4 million during the nine months ended September 30, 2023, compared to the nine months ended September 30, 2022 was primarily due to end of useful lives for certain intangible assets.</w:t>
      </w:r>
    </w:p>
    <w:p>
      <w:pPr>
        <w:spacing w:after="0" w:line="222"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$43.4 million, or 30.7%, from $141.1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to $184.5 million for the nine months ended September 30, 2023, primarily due to higher revenues and higher gross margins, partially offset by higher SG&amp;A expenses during the nine months ended September 30, 2023. As a percentage of revenues, income from operations increased from 13.6% for the nine months ended September 30, 2022 to 15.2% for the nine months ended September 30, 2023.</w:t>
      </w:r>
    </w:p>
    <w:p>
      <w:pPr>
        <w:spacing w:after="0" w:line="20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b w:val="1"/>
          <w:bCs w:val="1"/>
          <w:i w:val="1"/>
          <w:iCs w:val="1"/>
          <w:color w:val="auto"/>
        </w:rPr>
        <w:t xml:space="preserve">Foreign Exchange Gain, net. </w:t>
      </w:r>
      <w:r>
        <w:rPr>
          <w:rFonts w:ascii="Arial" w:cs="Arial" w:eastAsia="Arial" w:hAnsi="Arial"/>
          <w:sz w:val="17"/>
          <w:szCs w:val="17"/>
          <w:color w:val="auto"/>
        </w:rPr>
        <w:t>Foreign exchange gains and losses are primarily attributable to the movement of the U.S. dollar against the Indian rupee,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Philippine peso, the U.K. pound sterling and the South African rand during the nine months ended September 30, 2023, compared to the nine months ended September 30, 2022. The average exchange rate of the U.S. dollar against the Indian rupee increased from 77.65 during the nine months ended September 30, 2022 to 82.38 during the nine months ended September 30, 2023. The average exchange rate of the U.S. dollar against the Philippine peso increased from 53.71 during the nine months ended September 30, 2022 to 55.46 during the nine months ended September 30, 2023. The average exchange rate of the U.K. pound sterling remained unchanged at 1.25 for each of the nine months ended September 30, 2023 and September 30, 2022. The average exchange rate of the U.S. dollar against the South African rand increased from 16.10 during the nine months ended September 30, 2022 to 18.47 during the nine months ended September 30, 2023.</w:t>
      </w:r>
    </w:p>
    <w:p>
      <w:pPr>
        <w:spacing w:after="0" w:line="20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recorded a foreign exchange gain, net of $4.7 million for the nine months ended September 30, 2022 compared to a foreign exchange gain, net of $0.8 million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02"/>
        <w:spacing w:after="0" w:line="257"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from $4.8 million for the nine months ended September 30, 2022 to $10.0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2023, primarily due to a higher effective interest rate of 6.2% during the nine months ended September 30, 2023, compared to 2.3% during the nine months ended September 30, 2022, partially offset by a lower average outstanding balance under our revolving credit facility during the nine months ended September 30, 2023, compared to the nine months ended September 30, 2022.</w:t>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00" w:type="dxa"/>
            <w:vAlign w:val="bottom"/>
          </w:tcPr>
          <w:p>
            <w:pPr>
              <w:spacing w:after="0"/>
              <w:rPr>
                <w:sz w:val="15"/>
                <w:szCs w:val="15"/>
                <w:color w:val="auto"/>
              </w:rPr>
            </w:pPr>
          </w:p>
        </w:tc>
        <w:tc>
          <w:tcPr>
            <w:tcW w:w="284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on investments</w:t>
            </w:r>
          </w:p>
        </w:tc>
        <w:tc>
          <w:tcPr>
            <w:tcW w:w="940" w:type="dxa"/>
            <w:vAlign w:val="bottom"/>
            <w:tcBorders>
              <w:top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7"/>
                <w:szCs w:val="17"/>
                <w:color w:val="auto"/>
                <w:w w:val="92"/>
              </w:rPr>
              <w:t>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center"/>
              <w:ind w:left="476"/>
              <w:spacing w:after="0"/>
              <w:rPr>
                <w:sz w:val="20"/>
                <w:szCs w:val="20"/>
                <w:color w:val="auto"/>
              </w:rPr>
            </w:pPr>
            <w:r>
              <w:rPr>
                <w:rFonts w:ascii="Arial" w:cs="Arial" w:eastAsia="Arial" w:hAnsi="Arial"/>
                <w:sz w:val="17"/>
                <w:szCs w:val="17"/>
                <w:color w:val="auto"/>
                <w:w w:val="92"/>
              </w:rPr>
              <w:t>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center"/>
              <w:ind w:left="456"/>
              <w:spacing w:after="0"/>
              <w:rPr>
                <w:sz w:val="20"/>
                <w:szCs w:val="20"/>
                <w:color w:val="auto"/>
              </w:rPr>
            </w:pPr>
            <w:r>
              <w:rPr>
                <w:rFonts w:ascii="Arial" w:cs="Arial" w:eastAsia="Arial" w:hAnsi="Arial"/>
                <w:sz w:val="17"/>
                <w:szCs w:val="17"/>
                <w:color w:val="auto"/>
                <w:w w:val="92"/>
              </w:rPr>
              <w:t>0.7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22.0 %</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940" w:type="dxa"/>
            <w:vAlign w:val="bottom"/>
          </w:tcPr>
          <w:p>
            <w:pPr>
              <w:spacing w:after="0"/>
              <w:rPr>
                <w:sz w:val="19"/>
                <w:szCs w:val="19"/>
                <w:color w:val="auto"/>
              </w:rPr>
            </w:pPr>
          </w:p>
        </w:tc>
        <w:tc>
          <w:tcPr>
            <w:tcW w:w="460" w:type="dxa"/>
            <w:vAlign w:val="bottom"/>
          </w:tcPr>
          <w:p>
            <w:pPr>
              <w:jc w:val="center"/>
              <w:ind w:left="33"/>
              <w:spacing w:after="0"/>
              <w:rPr>
                <w:sz w:val="20"/>
                <w:szCs w:val="20"/>
                <w:color w:val="auto"/>
              </w:rPr>
            </w:pPr>
            <w:r>
              <w:rPr>
                <w:rFonts w:ascii="Arial" w:cs="Arial" w:eastAsia="Arial" w:hAnsi="Arial"/>
                <w:sz w:val="17"/>
                <w:szCs w:val="17"/>
                <w:color w:val="auto"/>
                <w:w w:val="92"/>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center"/>
              <w:ind w:left="476"/>
              <w:spacing w:after="0"/>
              <w:rPr>
                <w:sz w:val="20"/>
                <w:szCs w:val="20"/>
                <w:color w:val="auto"/>
              </w:rPr>
            </w:pPr>
            <w:r>
              <w:rPr>
                <w:rFonts w:ascii="Arial" w:cs="Arial" w:eastAsia="Arial" w:hAnsi="Arial"/>
                <w:sz w:val="17"/>
                <w:szCs w:val="17"/>
                <w:color w:val="auto"/>
                <w:w w:val="92"/>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left="456"/>
              <w:spacing w:after="0"/>
              <w:rPr>
                <w:sz w:val="20"/>
                <w:szCs w:val="20"/>
                <w:color w:val="auto"/>
              </w:rPr>
            </w:pPr>
            <w:r>
              <w:rPr>
                <w:rFonts w:ascii="Arial" w:cs="Arial" w:eastAsia="Arial" w:hAnsi="Arial"/>
                <w:sz w:val="17"/>
                <w:szCs w:val="17"/>
                <w:color w:val="auto"/>
                <w:w w:val="92"/>
              </w:rPr>
              <w:t>1.8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49.2 %</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changes of contingent consideration</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56"/>
              <w:spacing w:after="0"/>
              <w:rPr>
                <w:sz w:val="20"/>
                <w:szCs w:val="20"/>
                <w:color w:val="auto"/>
              </w:rPr>
            </w:pPr>
            <w:r>
              <w:rPr>
                <w:rFonts w:ascii="Arial" w:cs="Arial" w:eastAsia="Arial" w:hAnsi="Arial"/>
                <w:sz w:val="17"/>
                <w:szCs w:val="17"/>
                <w:color w:val="auto"/>
                <w:w w:val="91"/>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6"/>
              <w:spacing w:after="0"/>
              <w:rPr>
                <w:sz w:val="20"/>
                <w:szCs w:val="20"/>
                <w:color w:val="auto"/>
              </w:rPr>
            </w:pPr>
            <w:r>
              <w:rPr>
                <w:rFonts w:ascii="Arial" w:cs="Arial" w:eastAsia="Arial" w:hAnsi="Arial"/>
                <w:sz w:val="17"/>
                <w:szCs w:val="17"/>
                <w:color w:val="auto"/>
                <w:w w:val="97"/>
              </w:rPr>
              <w:t>(1.5)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 net</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56"/>
              <w:spacing w:after="0"/>
              <w:rPr>
                <w:sz w:val="20"/>
                <w:szCs w:val="20"/>
                <w:color w:val="auto"/>
              </w:rPr>
            </w:pPr>
            <w:r>
              <w:rPr>
                <w:rFonts w:ascii="Arial" w:cs="Arial" w:eastAsia="Arial" w:hAnsi="Arial"/>
                <w:sz w:val="17"/>
                <w:szCs w:val="17"/>
                <w:color w:val="auto"/>
                <w:w w:val="91"/>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56"/>
              <w:spacing w:after="0"/>
              <w:rPr>
                <w:sz w:val="20"/>
                <w:szCs w:val="20"/>
                <w:color w:val="auto"/>
              </w:rPr>
            </w:pPr>
            <w:r>
              <w:rPr>
                <w:rFonts w:ascii="Arial" w:cs="Arial" w:eastAsia="Arial" w:hAnsi="Arial"/>
                <w:sz w:val="17"/>
                <w:szCs w:val="17"/>
                <w:color w:val="auto"/>
                <w:w w:val="92"/>
              </w:rPr>
              <w:t>1.1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center"/>
              <w:ind w:left="33"/>
              <w:spacing w:after="0"/>
              <w:rPr>
                <w:sz w:val="20"/>
                <w:szCs w:val="20"/>
                <w:color w:val="auto"/>
              </w:rPr>
            </w:pPr>
            <w:r>
              <w:rPr>
                <w:rFonts w:ascii="Arial" w:cs="Arial" w:eastAsia="Arial" w:hAnsi="Arial"/>
                <w:sz w:val="17"/>
                <w:szCs w:val="17"/>
                <w:color w:val="auto"/>
                <w:w w:val="92"/>
              </w:rPr>
              <w:t>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7"/>
                <w:szCs w:val="17"/>
                <w:color w:val="auto"/>
                <w:w w:val="92"/>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7"/>
                <w:szCs w:val="17"/>
                <w:color w:val="auto"/>
                <w:w w:val="92"/>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6"/>
          <w:szCs w:val="16"/>
          <w:color w:val="auto"/>
        </w:rPr>
        <w:t>Other income, net increased by $2.1 million, from $4.5 million for the nine months ended September 30, 2022 to $6.6 million for the nine months ended September 30, 2023. The increase is primarily due to higher return on mutual fund investments of $0.7 million, higher interest income on our investments of $1.8 million and lower other expenses of $1.1 million during the nine months ended September 30, 2023, compared to the nine months ended September 30, 2022. This was partially offset by an increase in fair value adjustment to recognize an increase in contingent consideration liability of $1.5 million related to our acquisition of Clairvoyant in December 2021 during the nine months ended September 30, 2023, compared to the nine months ended September 30, 2022.</w:t>
      </w:r>
    </w:p>
    <w:p>
      <w:pPr>
        <w:spacing w:after="0" w:line="192"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tax rate decreased from 23.9% during the nine months ended September 30, 2022 to 20.8% during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2023. We recorded income tax expense of $37.8 million and $34.8 million for the nine months ended September 30, 2023 and 2022, respectively. The increase in income tax expense was primarily as a result of higher profit during the nine months ended September 30, 2023, compared to the nine months ended September 30, 2022, and an increase in non-deductible expenses, partially offset by higher excess tax benefits related to stock-based compensation, and higher tax credits during the nine months ended September 30, 2023, compared to the nine months ended September 30, 2022.</w:t>
      </w:r>
    </w:p>
    <w:p>
      <w:pPr>
        <w:spacing w:after="0" w:line="192"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$111.1 million for the nine months ended September 30, 2022 to $144.3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primarily due to increase in income from operations of $43.4 million and higher other income, net of $2.1 million, partially offset by higher interest expense of $5.2 million, lower foreign exchange gain, net of $3.9 million and higher income tax expense of $3.0 million. As a percentage of revenues, net income increased from 10.7% for the nine months ended September 30, 2022 to 11.9% for the nine months ended September 30, 2023.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53"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6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6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2022</w:t>
            </w:r>
          </w:p>
        </w:tc>
      </w:tr>
      <w:tr>
        <w:trPr>
          <w:trHeight w:val="190"/>
        </w:trPr>
        <w:tc>
          <w:tcPr>
            <w:tcW w:w="6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Pr>
          <w:p>
            <w:pPr>
              <w:spacing w:after="0"/>
              <w:rPr>
                <w:sz w:val="16"/>
                <w:szCs w:val="16"/>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cash, cash equivalents and restricted cash</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r>
      <w:tr>
        <w:trPr>
          <w:trHeight w:val="223"/>
        </w:trPr>
        <w:tc>
          <w:tcPr>
            <w:tcW w:w="684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101.1</w:t>
            </w:r>
          </w:p>
        </w:tc>
      </w:tr>
      <w:tr>
        <w:trPr>
          <w:trHeight w:val="249"/>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by/(used for) investing activities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w:t>
            </w:r>
          </w:p>
        </w:tc>
      </w:tr>
      <w:tr>
        <w:trPr>
          <w:trHeight w:val="223"/>
        </w:trPr>
        <w:tc>
          <w:tcPr>
            <w:tcW w:w="6840" w:type="dxa"/>
            <w:vAlign w:val="bottom"/>
          </w:tcPr>
          <w:p>
            <w:pPr>
              <w:ind w:left="20"/>
              <w:spacing w:after="0"/>
              <w:rPr>
                <w:sz w:val="20"/>
                <w:szCs w:val="20"/>
                <w:color w:val="auto"/>
              </w:rPr>
            </w:pPr>
            <w:r>
              <w:rPr>
                <w:rFonts w:ascii="Arial" w:cs="Arial" w:eastAsia="Arial" w:hAnsi="Arial"/>
                <w:sz w:val="17"/>
                <w:szCs w:val="17"/>
                <w:color w:val="auto"/>
              </w:rPr>
              <w:t>Net cash used for financing activities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(61.8)</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Closing cash, cash equivalents and restricted cash</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w:t>
            </w:r>
          </w:p>
        </w:tc>
      </w:tr>
      <w:tr>
        <w:trPr>
          <w:trHeight w:val="20"/>
        </w:trPr>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As of September 30, 2023 and 2022, we had $274.2 million and $262.2 million, respectively, in cash, cash equivalents and short-term investments, of which $256.5 million and $237.5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 During the nine months ended September 30, 2023, our subsidiaries in India, the United Kingdom and Australia repatriated $76.0 million (net of $4.0 million withholding taxes), $15.6 million and $9.1 million, respectively, to the United States. These distributions do not constitute a change in our permanent reinvestment assertion.</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Operating Activities:</w:t>
      </w:r>
    </w:p>
    <w:p>
      <w:pPr>
        <w:spacing w:after="0" w:line="237"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Net cash provided by operating activities was $132.2 million for the nine months ended September 30, 2023, as compared to net cash provided by operating activities of $101.1 million for the nine months ended September 30, 2022, reflecting higher cash earnings, partially offset by higher working capital needs. The major drivers contributing to the increase of $31.1 million year-over-year included the following:</w:t>
      </w:r>
    </w:p>
    <w:p>
      <w:pPr>
        <w:spacing w:after="0" w:line="1" w:lineRule="exact"/>
        <w:rPr>
          <w:sz w:val="20"/>
          <w:szCs w:val="20"/>
          <w:color w:val="auto"/>
        </w:rPr>
      </w:pPr>
    </w:p>
    <w:p>
      <w:pPr>
        <w:jc w:val="both"/>
        <w:ind w:left="640" w:hanging="320"/>
        <w:spacing w:after="0" w:line="266"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in cash earnings including adjustments for non-cash and other items contributed higher cash flow of $38.6 million during the nine months ended September 30, 2023, as compared to the nine months ended September 30, 2022. These adjustments comprise of deferred tax effects, unrealized foreign currency exchange gain/(loss), unrealized gain/(loss) on investments, stock-based employee compensation, depreciation and amortization of long-lived assets and intangibles acquired in business combinations, fair value changes in contingent consideration, among others.</w:t>
      </w:r>
    </w:p>
    <w:p>
      <w:pPr>
        <w:spacing w:after="0" w:line="180" w:lineRule="exact"/>
        <w:rPr>
          <w:rFonts w:ascii="Arial" w:cs="Arial" w:eastAsia="Arial" w:hAnsi="Arial"/>
          <w:sz w:val="16"/>
          <w:szCs w:val="16"/>
          <w:color w:val="auto"/>
        </w:rPr>
      </w:pPr>
    </w:p>
    <w:p>
      <w:pPr>
        <w:jc w:val="both"/>
        <w:ind w:left="640" w:hanging="320"/>
        <w:spacing w:after="0" w:line="252"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accounts receivable, including advance billings, contributed higher cash flow of $21.8 million during the nine months ended September 30, 2023, as compared to the nine months ended September 30, 2022. Collections in accounts receivable, including advance billings was driven by revenue growth during the nine months ended September 30, 2023. This was partially offset by increase in our days sales outstanding which was 64 days as of September 30, 2023, as compared to 63 days as of September 30, 2022.</w:t>
      </w:r>
    </w:p>
    <w:p>
      <w:pPr>
        <w:spacing w:after="0" w:line="201" w:lineRule="exact"/>
        <w:rPr>
          <w:rFonts w:ascii="Arial" w:cs="Arial" w:eastAsia="Arial" w:hAnsi="Arial"/>
          <w:sz w:val="17"/>
          <w:szCs w:val="17"/>
          <w:color w:val="auto"/>
        </w:rPr>
      </w:pPr>
    </w:p>
    <w:p>
      <w:pPr>
        <w:jc w:val="both"/>
        <w:ind w:left="640" w:hanging="320"/>
        <w:spacing w:after="0" w:line="257"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income tax payments, net of refunds, contributed higher cash payouts of $41.6 million, partially offset by provision for income tax and changes in deferred tax assets and liabilities of $25.5 million during the nine months ended September 30, 2023, as compared to the nine months ended September 30, 2022.</w:t>
      </w:r>
    </w:p>
    <w:p>
      <w:pPr>
        <w:spacing w:after="0" w:line="198" w:lineRule="exact"/>
        <w:rPr>
          <w:rFonts w:ascii="Arial" w:cs="Arial" w:eastAsia="Arial" w:hAnsi="Arial"/>
          <w:sz w:val="17"/>
          <w:szCs w:val="17"/>
          <w:color w:val="auto"/>
        </w:rPr>
      </w:pPr>
    </w:p>
    <w:p>
      <w:pPr>
        <w:ind w:left="640" w:hanging="320"/>
        <w:spacing w:after="0" w:line="273"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other assets, accounts payables including other liabilities contributed higher cash payouts of $13.2 million during the nine months ended September 30, 2023, as compared to the nine months ended September 30, 2022.</w:t>
      </w:r>
    </w:p>
    <w:p>
      <w:pPr>
        <w:spacing w:after="0" w:line="185" w:lineRule="exact"/>
        <w:rPr>
          <w:sz w:val="20"/>
          <w:szCs w:val="20"/>
          <w:color w:val="auto"/>
        </w:rPr>
      </w:pPr>
    </w:p>
    <w:p>
      <w:pPr>
        <w:jc w:val="both"/>
        <w:ind w:firstLine="393"/>
        <w:spacing w:after="0" w:line="244"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provided by investing activities were $11.4 million for the nine months ended September 30, 2023, as compared to cash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of $75.2 million for the nine months ended September 30, 2022. The increase in cash provided by investing activities of $86.6 million year-over-year is mainly due to net redemption of investments of $52.5 million during nine months ended September 30, 2023, as compared to net purchase of investments of $40.0 million during the nine months ended September 30, 2022. The increase was also due to acquisition-related payouts of $3.3 million during the nine months ended September 30, 2022 with no corresponding payouts during the nine months ended September 30, 2023. This was partially offset by higher capital expenditures in infrastructure, technology assets, software and product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developments of $9.0 million during the nine months ended September 30, 2023, as compared to the nine months ended September 30, 2022.</w:t>
      </w:r>
    </w:p>
    <w:p>
      <w:pPr>
        <w:spacing w:after="0" w:line="237"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for financing activities were $141.0 million during the nine months ended September 30, 2023, as compared to cash used</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financing activities of $61.8 million during the nine months ended September 30, 2022. The increase in cash used for financing activities of $79.2 million year-over-year was primarily due to net repayment of our borrowings under our revolving credit facility of $40.0 million during the nine months ended September 30, 2023, as compared to net proceeds of our borrowings of $10.0 million during the nine months ended September 30, 2022. The increase was also due to higher purchases of treasury stock by $28.8 million under our share repurchase program during the nine months ended September 30, 2023, as compared to the nine months ended September 30, 2022.</w:t>
      </w:r>
    </w:p>
    <w:p>
      <w:pPr>
        <w:spacing w:after="0" w:line="209"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expect to use cash from operating activities to maintain and expand our business by making investments, primarily related to building new digital capabilities and purchase telecommunications equipment and computer hardware and software in connection with managing client operations.</w:t>
      </w:r>
    </w:p>
    <w:p>
      <w:pPr>
        <w:spacing w:after="0" w:line="17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We incurred $41.1 million of capital expenditures during the nine months ended September 30, 2023. We expect to incur total capital expenditures of between $50.0 million to $55.0 million in 2023, primarily to meet our growth requirements, including additions to our facilities as well as investments in technology applications, product development, digital technology, advanced automation, robotics and infrastructure.</w:t>
      </w:r>
    </w:p>
    <w:p>
      <w:pPr>
        <w:spacing w:after="0" w:line="19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herein for further details.</w:t>
      </w:r>
    </w:p>
    <w:p>
      <w:pPr>
        <w:spacing w:after="0" w:line="179"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stock repurchases under our board-authorized stock repurchase program, which may require the use of significant cash resources and/or additional financing. We anticipate that we will continue to rely upon cash from operating activities to finance most of our above mentioned requirements, although if we have significant growth through acquisitions, we may need to obtain additional financing.</w:t>
      </w:r>
    </w:p>
    <w:p>
      <w:pPr>
        <w:spacing w:after="0" w:line="222" w:lineRule="exact"/>
        <w:rPr>
          <w:sz w:val="20"/>
          <w:szCs w:val="20"/>
          <w:color w:val="auto"/>
        </w:rPr>
      </w:pPr>
    </w:p>
    <w:p>
      <w:pPr>
        <w:jc w:val="both"/>
        <w:ind w:firstLine="393"/>
        <w:spacing w:after="0" w:line="253" w:lineRule="auto"/>
        <w:rPr>
          <w:sz w:val="20"/>
          <w:szCs w:val="20"/>
          <w:color w:val="auto"/>
        </w:rPr>
      </w:pPr>
      <w:r>
        <w:rPr>
          <w:rFonts w:ascii="Arial" w:cs="Arial" w:eastAsia="Arial" w:hAnsi="Arial"/>
          <w:sz w:val="17"/>
          <w:szCs w:val="17"/>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21 - Leases and Note 25 - Commitments and Contingencies to our unaudited consolidated financial statements herein for further information on material cash requirements from known contractual and other obligations.</w:t>
      </w:r>
    </w:p>
    <w:p>
      <w:pPr>
        <w:spacing w:after="0" w:line="202"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In the ordinary course of business, we provide standby letters of credit to third parties primarily for facility leases. As of September 30, 2023 and December 31, 2022, we had outstanding letters of credit of $0.5 million, each,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ectPr>
          <w:pgSz w:w="11900" w:h="16838" w:orient="portrait"/>
          <w:cols w:equalWidth="0" w:num="1">
            <w:col w:w="11240"/>
          </w:cols>
          <w:pgMar w:left="320" w:top="357"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Arrangements (Debt Facility)</w:t>
      </w:r>
    </w:p>
    <w:p>
      <w:pPr>
        <w:spacing w:after="0" w:line="211" w:lineRule="exact"/>
        <w:rPr>
          <w:sz w:val="20"/>
          <w:szCs w:val="20"/>
          <w:color w:val="auto"/>
        </w:rPr>
      </w:pPr>
    </w:p>
    <w:p>
      <w:pPr>
        <w:jc w:val="right"/>
        <w:ind w:right="240"/>
        <w:spacing w:after="0"/>
        <w:rPr>
          <w:sz w:val="20"/>
          <w:szCs w:val="20"/>
          <w:color w:val="auto"/>
        </w:rPr>
      </w:pPr>
      <w:r>
        <w:rPr>
          <w:rFonts w:ascii="Arial" w:cs="Arial" w:eastAsia="Arial" w:hAnsi="Arial"/>
          <w:sz w:val="17"/>
          <w:szCs w:val="17"/>
          <w:color w:val="auto"/>
        </w:rPr>
        <w:t>The following table summarizes our debt position: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Current portion of long-term borrowings</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Long-term borrowings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Total 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30,2023</w:t>
            </w:r>
          </w:p>
        </w:tc>
        <w:tc>
          <w:tcPr>
            <w:tcW w:w="160" w:type="dxa"/>
            <w:vAlign w:val="bottom"/>
          </w:tcPr>
          <w:p>
            <w:pPr>
              <w:spacing w:after="0"/>
              <w:rPr>
                <w:sz w:val="15"/>
                <w:szCs w:val="15"/>
                <w:color w:val="auto"/>
              </w:rPr>
            </w:pPr>
          </w:p>
        </w:tc>
        <w:tc>
          <w:tcPr>
            <w:tcW w:w="1720" w:type="dxa"/>
            <w:vAlign w:val="bottom"/>
          </w:tcPr>
          <w:p>
            <w:pPr>
              <w:jc w:val="right"/>
              <w:ind w:right="124"/>
              <w:spacing w:after="0"/>
              <w:rPr>
                <w:sz w:val="20"/>
                <w:szCs w:val="20"/>
                <w:color w:val="auto"/>
              </w:rPr>
            </w:pPr>
            <w:r>
              <w:rPr>
                <w:rFonts w:ascii="Arial" w:cs="Arial" w:eastAsia="Arial" w:hAnsi="Arial"/>
                <w:sz w:val="14"/>
                <w:szCs w:val="14"/>
                <w:b w:val="1"/>
                <w:bCs w:val="1"/>
                <w:color w:val="auto"/>
                <w:w w:val="90"/>
              </w:rPr>
              <w:t>As of December 31, 2022</w:t>
            </w:r>
          </w:p>
        </w:tc>
      </w:tr>
      <w:tr>
        <w:trPr>
          <w:trHeight w:val="24"/>
        </w:trPr>
        <w:tc>
          <w:tcPr>
            <w:tcW w:w="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jc w:val="right"/>
              <w:ind w:right="1264"/>
              <w:spacing w:after="0"/>
              <w:rPr>
                <w:sz w:val="20"/>
                <w:szCs w:val="20"/>
                <w:color w:val="auto"/>
              </w:rPr>
            </w:pPr>
            <w:r>
              <w:rPr>
                <w:rFonts w:ascii="Arial" w:cs="Arial" w:eastAsia="Arial" w:hAnsi="Arial"/>
                <w:sz w:val="14"/>
                <w:szCs w:val="14"/>
                <w:b w:val="1"/>
                <w:bCs w:val="1"/>
                <w:color w:val="auto"/>
              </w:rPr>
              <w:t>(dollars in millions)</w:t>
            </w:r>
          </w:p>
        </w:tc>
      </w:tr>
      <w:tr>
        <w:trPr>
          <w:trHeight w:val="190"/>
        </w:trPr>
        <w:tc>
          <w:tcPr>
            <w:tcW w:w="1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124"/>
              <w:spacing w:after="0"/>
              <w:rPr>
                <w:sz w:val="20"/>
                <w:szCs w:val="20"/>
                <w:color w:val="auto"/>
              </w:rPr>
            </w:pPr>
            <w:r>
              <w:rPr>
                <w:rFonts w:ascii="Arial" w:cs="Arial" w:eastAsia="Arial" w:hAnsi="Arial"/>
                <w:sz w:val="14"/>
                <w:szCs w:val="14"/>
                <w:b w:val="1"/>
                <w:bCs w:val="1"/>
                <w:color w:val="auto"/>
              </w:rPr>
              <w:t>Revolving credit facility</w:t>
            </w:r>
          </w:p>
        </w:tc>
      </w:tr>
      <w:tr>
        <w:trPr>
          <w:trHeight w:val="203"/>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6"/>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65"/>
        </w:trPr>
        <w:tc>
          <w:tcPr>
            <w:tcW w:w="1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160.0</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r>
      <w:tr>
        <w:trPr>
          <w:trHeight w:val="20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210.0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r>
      <w:tr>
        <w:trPr>
          <w:trHeight w:val="23"/>
        </w:trPr>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-482600</wp:posOffset>
            </wp:positionV>
            <wp:extent cx="5287645" cy="141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87645" cy="14160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-307340</wp:posOffset>
            </wp:positionV>
            <wp:extent cx="5287645" cy="133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87645"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120"/>
          </w:cols>
          <w:pgMar w:left="320" w:top="357"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18 - Borrowings to our unaudited consolidated financial statements herein for further details.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For a description of recent accounting pronouncements, see Note 2 - Summary of Significant Accounting Policies - Recent Accounting Pronouncements to our unaudited consolidated financial statements contained herein.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3"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During the three months ended September 30, 2023,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2022.</w:t>
      </w:r>
    </w:p>
    <w:p>
      <w:pPr>
        <w:spacing w:after="0" w:line="200" w:lineRule="exact"/>
        <w:rPr>
          <w:sz w:val="20"/>
          <w:szCs w:val="20"/>
          <w:color w:val="auto"/>
        </w:rPr>
      </w:pPr>
    </w:p>
    <w:p>
      <w:pPr>
        <w:spacing w:after="0" w:line="34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35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or submits under the Securities Exchange Act of 1934, as amended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(“CEO”) and Chief Financial Officer (“CFO”), to allow timely decisions regarding required disclosure. In connection with the preparation of this Quarterly Report on Form 10-Q, the Company’s management carried out an evaluation, under the supervision and with the participation of the CEO and CFO, of the effectiveness and operation of the Company’s disclosure controls and procedures as of September 30, 2023. Based upon that evaluation, the CEO and CFO have concluded that the Company’s disclosure controls and procedures, as of September 30, 2023,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50" w:lineRule="exact"/>
        <w:rPr>
          <w:sz w:val="20"/>
          <w:szCs w:val="20"/>
          <w:color w:val="auto"/>
        </w:rPr>
      </w:pPr>
    </w:p>
    <w:p>
      <w:pPr>
        <w:jc w:val="both"/>
        <w:ind w:firstLine="393"/>
        <w:spacing w:after="0" w:line="305" w:lineRule="auto"/>
        <w:rPr>
          <w:sz w:val="20"/>
          <w:szCs w:val="20"/>
          <w:color w:val="auto"/>
        </w:rPr>
      </w:pPr>
      <w:r>
        <w:rPr>
          <w:rFonts w:ascii="Arial" w:cs="Arial" w:eastAsia="Arial" w:hAnsi="Arial"/>
          <w:sz w:val="16"/>
          <w:szCs w:val="16"/>
          <w:color w:val="auto"/>
        </w:rPr>
        <w:t>During the three months ended September 30, 2023,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9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PART II.</w:t>
        <w:tab/>
        <w:t>OTHER INFORMATION</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393"/>
        <w:spacing w:after="0" w:line="299"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position, results of operations or cash flows. See Note 25 - Commitments and Contingencies to our unaudited consolidated financial statements contained herein for details regarding our tax proceedings.</w:t>
      </w:r>
    </w:p>
    <w:p>
      <w:pPr>
        <w:spacing w:after="0" w:line="17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We have disclosed under the heading “Risk Factors” in our Annual Report on Form 10-K for the fiscal year ended December 31, 2022,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0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During the three months ended September 30, 2023, purchases of common stock were as follows:</w:t>
      </w:r>
    </w:p>
    <w:p>
      <w:pPr>
        <w:sectPr>
          <w:pgSz w:w="11900" w:h="16838" w:orient="portrait"/>
          <w:cols w:equalWidth="0" w:num="1">
            <w:col w:w="11340"/>
          </w:cols>
          <w:pgMar w:left="320" w:top="3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Period</w:t>
      </w:r>
    </w:p>
    <w:p>
      <w:pPr>
        <w:spacing w:after="0" w:line="217" w:lineRule="exact"/>
        <w:rPr>
          <w:sz w:val="20"/>
          <w:szCs w:val="20"/>
          <w:color w:val="auto"/>
        </w:rPr>
      </w:pPr>
    </w:p>
    <w:p>
      <w:pPr>
        <w:ind w:left="460"/>
        <w:spacing w:after="0" w:line="241" w:lineRule="auto"/>
        <w:rPr>
          <w:sz w:val="20"/>
          <w:szCs w:val="20"/>
          <w:color w:val="auto"/>
        </w:rPr>
      </w:pPr>
      <w:r>
        <w:rPr>
          <w:rFonts w:ascii="Arial" w:cs="Arial" w:eastAsia="Arial" w:hAnsi="Arial"/>
          <w:sz w:val="17"/>
          <w:szCs w:val="17"/>
          <w:color w:val="auto"/>
        </w:rPr>
        <w:t>July 1, 2023 through July 31, 2023</w:t>
      </w:r>
    </w:p>
    <w:p>
      <w:pPr>
        <w:spacing w:after="0" w:line="14" w:lineRule="exact"/>
        <w:rPr>
          <w:sz w:val="20"/>
          <w:szCs w:val="20"/>
          <w:color w:val="auto"/>
        </w:rPr>
      </w:pPr>
    </w:p>
    <w:p>
      <w:pPr>
        <w:ind w:left="460" w:right="380"/>
        <w:spacing w:after="0" w:line="282" w:lineRule="auto"/>
        <w:rPr>
          <w:sz w:val="20"/>
          <w:szCs w:val="20"/>
          <w:color w:val="auto"/>
        </w:rPr>
      </w:pPr>
      <w:r>
        <w:rPr>
          <w:rFonts w:ascii="Arial" w:cs="Arial" w:eastAsia="Arial" w:hAnsi="Arial"/>
          <w:sz w:val="15"/>
          <w:szCs w:val="15"/>
          <w:color w:val="auto"/>
        </w:rPr>
        <w:t>August 1, 2023 through August 31, 2023</w:t>
      </w:r>
    </w:p>
    <w:p>
      <w:pPr>
        <w:spacing w:after="0" w:line="1" w:lineRule="exact"/>
        <w:rPr>
          <w:sz w:val="20"/>
          <w:szCs w:val="20"/>
          <w:color w:val="auto"/>
        </w:rPr>
      </w:pPr>
    </w:p>
    <w:p>
      <w:pPr>
        <w:ind w:left="460" w:right="140"/>
        <w:spacing w:after="0" w:line="305" w:lineRule="auto"/>
        <w:rPr>
          <w:sz w:val="20"/>
          <w:szCs w:val="20"/>
          <w:color w:val="auto"/>
        </w:rPr>
      </w:pPr>
      <w:r>
        <w:rPr>
          <w:rFonts w:ascii="Arial" w:cs="Arial" w:eastAsia="Arial" w:hAnsi="Arial"/>
          <w:sz w:val="15"/>
          <w:szCs w:val="15"/>
          <w:color w:val="auto"/>
        </w:rPr>
        <w:t>September 1, 2023 through September 30, 2023</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2840" w:type="dxa"/>
            <w:vAlign w:val="bottom"/>
            <w:tcBorders>
              <w:top w:val="single" w:sz="8" w:color="auto"/>
              <w:left w:val="single" w:sz="8" w:color="auto"/>
              <w:right w:val="single" w:sz="8" w:color="auto"/>
            </w:tcBorders>
            <w:gridSpan w:val="4"/>
          </w:tcPr>
          <w:p>
            <w:pPr>
              <w:jc w:val="right"/>
              <w:ind w:right="756"/>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Borders>
              <w:right w:val="single" w:sz="8" w:color="auto"/>
            </w:tcBorders>
          </w:tcPr>
          <w:p>
            <w:pPr>
              <w:spacing w:after="0"/>
              <w:rPr>
                <w:sz w:val="15"/>
                <w:szCs w:val="15"/>
                <w:color w:val="auto"/>
              </w:rPr>
            </w:pPr>
          </w:p>
        </w:tc>
        <w:tc>
          <w:tcPr>
            <w:tcW w:w="2660" w:type="dxa"/>
            <w:vAlign w:val="bottom"/>
            <w:tcBorders>
              <w:top w:val="single" w:sz="8" w:color="auto"/>
              <w:right w:val="single" w:sz="8" w:color="auto"/>
            </w:tcBorders>
            <w:gridSpan w:val="4"/>
            <w:vMerge w:val="restart"/>
          </w:tcPr>
          <w:p>
            <w:pPr>
              <w:jc w:val="right"/>
              <w:ind w:right="16"/>
              <w:spacing w:after="0"/>
              <w:rPr>
                <w:sz w:val="20"/>
                <w:szCs w:val="20"/>
                <w:color w:val="auto"/>
              </w:rPr>
            </w:pPr>
            <w:r>
              <w:rPr>
                <w:rFonts w:ascii="Arial" w:cs="Arial" w:eastAsia="Arial" w:hAnsi="Arial"/>
                <w:sz w:val="16"/>
                <w:szCs w:val="16"/>
                <w:b w:val="1"/>
                <w:bCs w:val="1"/>
                <w:color w:val="auto"/>
                <w:w w:val="89"/>
              </w:rPr>
              <w:t>Shares Purchased as Part of Publicly</w:t>
            </w:r>
          </w:p>
        </w:tc>
        <w:tc>
          <w:tcPr>
            <w:tcW w:w="100" w:type="dxa"/>
            <w:vAlign w:val="bottom"/>
            <w:tcBorders>
              <w:right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40" w:type="dxa"/>
            <w:vAlign w:val="bottom"/>
            <w:tcBorders>
              <w:left w:val="single" w:sz="8" w:color="auto"/>
              <w:right w:val="single" w:sz="8" w:color="auto"/>
            </w:tcBorders>
            <w:gridSpan w:val="4"/>
          </w:tcPr>
          <w:p>
            <w:pPr>
              <w:jc w:val="center"/>
              <w:spacing w:after="0" w:line="158" w:lineRule="exact"/>
              <w:rPr>
                <w:sz w:val="20"/>
                <w:szCs w:val="20"/>
                <w:color w:val="auto"/>
              </w:rPr>
            </w:pPr>
            <w:r>
              <w:rPr>
                <w:rFonts w:ascii="Arial" w:cs="Arial" w:eastAsia="Arial" w:hAnsi="Arial"/>
                <w:sz w:val="16"/>
                <w:szCs w:val="16"/>
                <w:b w:val="1"/>
                <w:bCs w:val="1"/>
                <w:color w:val="auto"/>
                <w:w w:val="87"/>
              </w:rPr>
              <w:t>from Employees in connection with</w:t>
            </w:r>
          </w:p>
        </w:tc>
        <w:tc>
          <w:tcPr>
            <w:tcW w:w="100" w:type="dxa"/>
            <w:vAlign w:val="bottom"/>
            <w:tcBorders>
              <w:right w:val="single" w:sz="8" w:color="auto"/>
            </w:tcBorders>
          </w:tcPr>
          <w:p>
            <w:pPr>
              <w:spacing w:after="0"/>
              <w:rPr>
                <w:sz w:val="13"/>
                <w:szCs w:val="13"/>
                <w:color w:val="auto"/>
              </w:rPr>
            </w:pPr>
          </w:p>
        </w:tc>
        <w:tc>
          <w:tcPr>
            <w:tcW w:w="2660" w:type="dxa"/>
            <w:vAlign w:val="bottom"/>
            <w:tcBorders>
              <w:right w:val="single" w:sz="8" w:color="auto"/>
            </w:tcBorders>
            <w:gridSpan w:val="4"/>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Approximate Dollar</w:t>
            </w:r>
          </w:p>
        </w:tc>
        <w:tc>
          <w:tcPr>
            <w:tcW w:w="0" w:type="dxa"/>
            <w:vAlign w:val="bottom"/>
          </w:tcPr>
          <w:p>
            <w:pPr>
              <w:spacing w:after="0"/>
              <w:rPr>
                <w:sz w:val="1"/>
                <w:szCs w:val="1"/>
                <w:color w:val="auto"/>
              </w:rPr>
            </w:pPr>
          </w:p>
        </w:tc>
      </w:tr>
      <w:tr>
        <w:trPr>
          <w:trHeight w:val="157"/>
        </w:trPr>
        <w:tc>
          <w:tcPr>
            <w:tcW w:w="2840" w:type="dxa"/>
            <w:vAlign w:val="bottom"/>
            <w:tcBorders>
              <w:left w:val="single" w:sz="8" w:color="auto"/>
              <w:right w:val="single" w:sz="8" w:color="auto"/>
            </w:tcBorders>
            <w:gridSpan w:val="4"/>
          </w:tcPr>
          <w:p>
            <w:pPr>
              <w:jc w:val="center"/>
              <w:spacing w:after="0" w:line="158" w:lineRule="exact"/>
              <w:rPr>
                <w:sz w:val="20"/>
                <w:szCs w:val="20"/>
                <w:color w:val="auto"/>
              </w:rPr>
            </w:pPr>
            <w:r>
              <w:rPr>
                <w:rFonts w:ascii="Arial" w:cs="Arial" w:eastAsia="Arial" w:hAnsi="Arial"/>
                <w:sz w:val="16"/>
                <w:szCs w:val="16"/>
                <w:b w:val="1"/>
                <w:bCs w:val="1"/>
                <w:color w:val="auto"/>
                <w:w w:val="88"/>
              </w:rPr>
              <w:t>satisfaction of Withholding Tax</w:t>
            </w:r>
          </w:p>
        </w:tc>
        <w:tc>
          <w:tcPr>
            <w:tcW w:w="100" w:type="dxa"/>
            <w:vAlign w:val="bottom"/>
            <w:tcBorders>
              <w:right w:val="single" w:sz="8" w:color="auto"/>
            </w:tcBorders>
          </w:tcPr>
          <w:p>
            <w:pPr>
              <w:spacing w:after="0"/>
              <w:rPr>
                <w:sz w:val="13"/>
                <w:szCs w:val="13"/>
                <w:color w:val="auto"/>
              </w:rPr>
            </w:pPr>
          </w:p>
        </w:tc>
        <w:tc>
          <w:tcPr>
            <w:tcW w:w="2660" w:type="dxa"/>
            <w:vAlign w:val="bottom"/>
            <w:tcBorders>
              <w:right w:val="single" w:sz="8" w:color="auto"/>
            </w:tcBorders>
            <w:gridSpan w:val="4"/>
          </w:tcPr>
          <w:p>
            <w:pPr>
              <w:ind w:left="580"/>
              <w:spacing w:after="0" w:line="158" w:lineRule="exact"/>
              <w:rPr>
                <w:sz w:val="20"/>
                <w:szCs w:val="20"/>
                <w:color w:val="auto"/>
              </w:rPr>
            </w:pPr>
            <w:r>
              <w:rPr>
                <w:rFonts w:ascii="Arial" w:cs="Arial" w:eastAsia="Arial" w:hAnsi="Arial"/>
                <w:sz w:val="16"/>
                <w:szCs w:val="16"/>
                <w:b w:val="1"/>
                <w:bCs w:val="1"/>
                <w:color w:val="auto"/>
              </w:rPr>
              <w:t>Announced Programs</w:t>
            </w:r>
          </w:p>
        </w:tc>
        <w:tc>
          <w:tcPr>
            <w:tcW w:w="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40" w:type="dxa"/>
            <w:vAlign w:val="bottom"/>
            <w:tcBorders>
              <w:left w:val="single" w:sz="8" w:color="auto"/>
              <w:right w:val="single" w:sz="8" w:color="auto"/>
            </w:tcBorders>
            <w:gridSpan w:val="4"/>
          </w:tcPr>
          <w:p>
            <w:pPr>
              <w:jc w:val="center"/>
              <w:spacing w:after="0" w:line="158" w:lineRule="exact"/>
              <w:rPr>
                <w:sz w:val="20"/>
                <w:szCs w:val="20"/>
                <w:color w:val="auto"/>
              </w:rPr>
            </w:pPr>
            <w:r>
              <w:rPr>
                <w:rFonts w:ascii="Arial" w:cs="Arial" w:eastAsia="Arial" w:hAnsi="Arial"/>
                <w:sz w:val="16"/>
                <w:szCs w:val="16"/>
                <w:b w:val="1"/>
                <w:bCs w:val="1"/>
                <w:color w:val="auto"/>
                <w:w w:val="88"/>
              </w:rPr>
              <w:t>Obligations</w:t>
            </w:r>
          </w:p>
        </w:tc>
        <w:tc>
          <w:tcPr>
            <w:tcW w:w="10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Value of Shares That</w:t>
            </w:r>
          </w:p>
        </w:tc>
        <w:tc>
          <w:tcPr>
            <w:tcW w:w="0" w:type="dxa"/>
            <w:vAlign w:val="bottom"/>
          </w:tcPr>
          <w:p>
            <w:pPr>
              <w:spacing w:after="0"/>
              <w:rPr>
                <w:sz w:val="1"/>
                <w:szCs w:val="1"/>
                <w:color w:val="auto"/>
              </w:rPr>
            </w:pPr>
          </w:p>
        </w:tc>
      </w:tr>
      <w:tr>
        <w:trPr>
          <w:trHeight w:val="98"/>
        </w:trPr>
        <w:tc>
          <w:tcPr>
            <w:tcW w:w="13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jc w:val="right"/>
              <w:spacing w:after="0" w:line="98" w:lineRule="exact"/>
              <w:rPr>
                <w:sz w:val="20"/>
                <w:szCs w:val="20"/>
                <w:color w:val="auto"/>
              </w:rPr>
            </w:pPr>
            <w:r>
              <w:rPr>
                <w:rFonts w:ascii="Arial" w:cs="Arial" w:eastAsia="Arial" w:hAnsi="Arial"/>
                <w:sz w:val="11"/>
                <w:szCs w:val="11"/>
                <w:b w:val="1"/>
                <w:bCs w:val="1"/>
                <w:color w:val="auto"/>
              </w:rPr>
              <w:t>Shares Purchased</w:t>
            </w:r>
          </w:p>
        </w:tc>
        <w:tc>
          <w:tcPr>
            <w:tcW w:w="100" w:type="dxa"/>
            <w:vAlign w:val="bottom"/>
            <w:tcBorders>
              <w:right w:val="single" w:sz="8" w:color="auto"/>
            </w:tcBorders>
          </w:tcPr>
          <w:p>
            <w:pPr>
              <w:spacing w:after="0"/>
              <w:rPr>
                <w:sz w:val="8"/>
                <w:szCs w:val="8"/>
                <w:color w:val="auto"/>
              </w:rPr>
            </w:pPr>
          </w:p>
        </w:tc>
        <w:tc>
          <w:tcPr>
            <w:tcW w:w="1520" w:type="dxa"/>
            <w:vAlign w:val="bottom"/>
            <w:gridSpan w:val="2"/>
          </w:tcPr>
          <w:p>
            <w:pPr>
              <w:jc w:val="right"/>
              <w:spacing w:after="0" w:line="98" w:lineRule="exact"/>
              <w:rPr>
                <w:sz w:val="20"/>
                <w:szCs w:val="20"/>
                <w:color w:val="auto"/>
              </w:rPr>
            </w:pPr>
            <w:r>
              <w:rPr>
                <w:rFonts w:ascii="Arial" w:cs="Arial" w:eastAsia="Arial" w:hAnsi="Arial"/>
                <w:sz w:val="11"/>
                <w:szCs w:val="11"/>
                <w:b w:val="1"/>
                <w:bCs w:val="1"/>
                <w:color w:val="auto"/>
              </w:rPr>
              <w:t>May Yet Be Purchase</w:t>
            </w:r>
          </w:p>
        </w:tc>
        <w:tc>
          <w:tcPr>
            <w:tcW w:w="0" w:type="dxa"/>
            <w:vAlign w:val="bottom"/>
          </w:tcPr>
          <w:p>
            <w:pPr>
              <w:spacing w:after="0"/>
              <w:rPr>
                <w:sz w:val="1"/>
                <w:szCs w:val="1"/>
                <w:color w:val="auto"/>
              </w:rPr>
            </w:pPr>
          </w:p>
        </w:tc>
      </w:tr>
      <w:tr>
        <w:trPr>
          <w:trHeight w:val="157"/>
        </w:trPr>
        <w:tc>
          <w:tcPr>
            <w:tcW w:w="1300" w:type="dxa"/>
            <w:vAlign w:val="bottom"/>
            <w:tcBorders>
              <w:left w:val="single" w:sz="8" w:color="auto"/>
              <w:right w:val="single" w:sz="8" w:color="auto"/>
            </w:tcBorders>
            <w:vMerge w:val="restart"/>
          </w:tcPr>
          <w:p>
            <w:pPr>
              <w:jc w:val="right"/>
              <w:ind w:right="218"/>
              <w:spacing w:after="0"/>
              <w:rPr>
                <w:sz w:val="20"/>
                <w:szCs w:val="20"/>
                <w:color w:val="auto"/>
              </w:rPr>
            </w:pPr>
            <w:r>
              <w:rPr>
                <w:rFonts w:ascii="Arial" w:cs="Arial" w:eastAsia="Arial" w:hAnsi="Arial"/>
                <w:sz w:val="16"/>
                <w:szCs w:val="16"/>
                <w:b w:val="1"/>
                <w:bCs w:val="1"/>
                <w:color w:val="auto"/>
              </w:rPr>
              <w:t>Number of</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right w:val="single" w:sz="8" w:color="auto"/>
            </w:tcBorders>
            <w:vMerge w:val="restart"/>
          </w:tcPr>
          <w:p>
            <w:pPr>
              <w:jc w:val="right"/>
              <w:ind w:right="176"/>
              <w:spacing w:after="0"/>
              <w:rPr>
                <w:sz w:val="20"/>
                <w:szCs w:val="20"/>
                <w:color w:val="auto"/>
              </w:rPr>
            </w:pPr>
            <w:r>
              <w:rPr>
                <w:rFonts w:ascii="Arial" w:cs="Arial" w:eastAsia="Arial" w:hAnsi="Arial"/>
                <w:sz w:val="16"/>
                <w:szCs w:val="16"/>
                <w:b w:val="1"/>
                <w:bCs w:val="1"/>
                <w:color w:val="auto"/>
                <w:w w:val="95"/>
              </w:rPr>
              <w:t>Average Price</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2"/>
              </w:rPr>
              <w:t>Number of</w:t>
            </w:r>
          </w:p>
        </w:tc>
        <w:tc>
          <w:tcPr>
            <w:tcW w:w="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right w:val="single" w:sz="8" w:color="auto"/>
            </w:tcBorders>
            <w:vMerge w:val="restart"/>
          </w:tcPr>
          <w:p>
            <w:pPr>
              <w:jc w:val="right"/>
              <w:ind w:right="116"/>
              <w:spacing w:after="0"/>
              <w:rPr>
                <w:sz w:val="20"/>
                <w:szCs w:val="20"/>
                <w:color w:val="auto"/>
              </w:rPr>
            </w:pPr>
            <w:r>
              <w:rPr>
                <w:rFonts w:ascii="Arial" w:cs="Arial" w:eastAsia="Arial" w:hAnsi="Arial"/>
                <w:sz w:val="16"/>
                <w:szCs w:val="16"/>
                <w:b w:val="1"/>
                <w:bCs w:val="1"/>
                <w:color w:val="auto"/>
                <w:w w:val="91"/>
              </w:rPr>
              <w:t>Average Price</w:t>
            </w:r>
          </w:p>
        </w:tc>
        <w:tc>
          <w:tcPr>
            <w:tcW w:w="1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Under the Programs</w:t>
            </w:r>
          </w:p>
        </w:tc>
        <w:tc>
          <w:tcPr>
            <w:tcW w:w="0" w:type="dxa"/>
            <w:vAlign w:val="bottom"/>
          </w:tcPr>
          <w:p>
            <w:pPr>
              <w:spacing w:after="0"/>
              <w:rPr>
                <w:sz w:val="1"/>
                <w:szCs w:val="1"/>
                <w:color w:val="auto"/>
              </w:rPr>
            </w:pPr>
          </w:p>
        </w:tc>
      </w:tr>
      <w:tr>
        <w:trPr>
          <w:trHeight w:val="52"/>
        </w:trPr>
        <w:tc>
          <w:tcPr>
            <w:tcW w:w="1300" w:type="dxa"/>
            <w:vAlign w:val="bottom"/>
            <w:tcBorders>
              <w:left w:val="single" w:sz="8" w:color="auto"/>
              <w:righ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5"/>
                <w:szCs w:val="15"/>
                <w:b w:val="1"/>
                <w:bCs w:val="1"/>
                <w:color w:val="auto"/>
                <w:w w:val="91"/>
              </w:rPr>
              <w:t>Shares</w:t>
            </w:r>
          </w:p>
        </w:tc>
        <w:tc>
          <w:tcPr>
            <w:tcW w:w="8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130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7"/>
              </w:rPr>
              <w:t>Shares Purchased</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Borders>
              <w:right w:val="single" w:sz="8" w:color="auto"/>
            </w:tcBorders>
            <w:vMerge w:val="restart"/>
          </w:tcPr>
          <w:p>
            <w:pPr>
              <w:jc w:val="right"/>
              <w:ind w:right="156"/>
              <w:spacing w:after="0"/>
              <w:rPr>
                <w:sz w:val="20"/>
                <w:szCs w:val="20"/>
                <w:color w:val="auto"/>
              </w:rPr>
            </w:pPr>
            <w:r>
              <w:rPr>
                <w:rFonts w:ascii="Arial" w:cs="Arial" w:eastAsia="Arial" w:hAnsi="Arial"/>
                <w:sz w:val="16"/>
                <w:szCs w:val="16"/>
                <w:b w:val="1"/>
                <w:bCs w:val="1"/>
                <w:color w:val="auto"/>
                <w:w w:val="94"/>
              </w:rPr>
              <w:t>Paid per share</w:t>
            </w:r>
          </w:p>
        </w:tc>
        <w:tc>
          <w:tcPr>
            <w:tcW w:w="1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right w:val="single" w:sz="8" w:color="auto"/>
            </w:tcBorders>
            <w:vMerge w:val="restart"/>
          </w:tcPr>
          <w:p>
            <w:pPr>
              <w:jc w:val="right"/>
              <w:ind w:right="96"/>
              <w:spacing w:after="0"/>
              <w:rPr>
                <w:sz w:val="20"/>
                <w:szCs w:val="20"/>
                <w:color w:val="auto"/>
              </w:rPr>
            </w:pPr>
            <w:r>
              <w:rPr>
                <w:rFonts w:ascii="Arial" w:cs="Arial" w:eastAsia="Arial" w:hAnsi="Arial"/>
                <w:sz w:val="16"/>
                <w:szCs w:val="16"/>
                <w:b w:val="1"/>
                <w:bCs w:val="1"/>
                <w:color w:val="auto"/>
                <w:w w:val="90"/>
              </w:rPr>
              <w:t>Paid per share</w:t>
            </w:r>
          </w:p>
        </w:tc>
        <w:tc>
          <w:tcPr>
            <w:tcW w:w="10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300" w:type="dxa"/>
            <w:vAlign w:val="bottom"/>
            <w:tcBorders>
              <w:left w:val="single" w:sz="8" w:color="auto"/>
              <w:right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Purchased</w:t>
            </w:r>
          </w:p>
        </w:tc>
        <w:tc>
          <w:tcPr>
            <w:tcW w:w="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30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6"/>
        </w:trPr>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tcPr>
          <w:p>
            <w:pPr>
              <w:ind w:left="580"/>
              <w:spacing w:after="0"/>
              <w:rPr>
                <w:sz w:val="20"/>
                <w:szCs w:val="20"/>
                <w:color w:val="auto"/>
              </w:rPr>
            </w:pPr>
            <w:r>
              <w:rPr>
                <w:rFonts w:ascii="Arial" w:cs="Arial" w:eastAsia="Arial" w:hAnsi="Arial"/>
                <w:sz w:val="17"/>
                <w:szCs w:val="17"/>
                <w:color w:val="auto"/>
              </w:rPr>
              <w:t>320,620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31.19</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320,620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156,632,595</w:t>
            </w:r>
          </w:p>
        </w:tc>
        <w:tc>
          <w:tcPr>
            <w:tcW w:w="0" w:type="dxa"/>
            <w:vAlign w:val="bottom"/>
          </w:tcPr>
          <w:p>
            <w:pPr>
              <w:spacing w:after="0"/>
              <w:rPr>
                <w:sz w:val="1"/>
                <w:szCs w:val="1"/>
                <w:color w:val="auto"/>
              </w:rPr>
            </w:pPr>
          </w:p>
        </w:tc>
      </w:tr>
      <w:tr>
        <w:trPr>
          <w:trHeight w:val="407"/>
        </w:trPr>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tcPr>
          <w:p>
            <w:pPr>
              <w:ind w:left="580"/>
              <w:spacing w:after="0"/>
              <w:rPr>
                <w:sz w:val="20"/>
                <w:szCs w:val="20"/>
                <w:color w:val="auto"/>
              </w:rPr>
            </w:pPr>
            <w:r>
              <w:rPr>
                <w:rFonts w:ascii="Arial" w:cs="Arial" w:eastAsia="Arial" w:hAnsi="Arial"/>
                <w:sz w:val="17"/>
                <w:szCs w:val="17"/>
                <w:color w:val="auto"/>
              </w:rPr>
              <w:t>356,689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28.04</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356,689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146,632,597</w:t>
            </w:r>
          </w:p>
        </w:tc>
        <w:tc>
          <w:tcPr>
            <w:tcW w:w="0" w:type="dxa"/>
            <w:vAlign w:val="bottom"/>
          </w:tcPr>
          <w:p>
            <w:pPr>
              <w:spacing w:after="0"/>
              <w:rPr>
                <w:sz w:val="1"/>
                <w:szCs w:val="1"/>
                <w:color w:val="auto"/>
              </w:rPr>
            </w:pPr>
          </w:p>
        </w:tc>
      </w:tr>
      <w:tr>
        <w:trPr>
          <w:trHeight w:val="407"/>
        </w:trPr>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45,267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24"/>
                <w:szCs w:val="24"/>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298,465</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28.94</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343,732</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137,995,675</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45,267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18"/>
                <w:szCs w:val="18"/>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975,774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29.35</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1,021,041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-440690</wp:posOffset>
            </wp:positionV>
            <wp:extent cx="6922770" cy="258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2770" cy="258445"/>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-1323340</wp:posOffset>
            </wp:positionV>
            <wp:extent cx="6922770" cy="624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2770" cy="6248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60"/>
            <w:col w:w="8580"/>
          </w:cols>
          <w:pgMar w:left="320" w:top="357" w:right="239" w:bottom="1440" w:gutter="0" w:footer="0" w:header="0"/>
          <w:type w:val="continuous"/>
        </w:sectPr>
      </w:pPr>
    </w:p>
    <w:p>
      <w:pPr>
        <w:spacing w:after="0" w:line="129" w:lineRule="exact"/>
        <w:rPr>
          <w:sz w:val="20"/>
          <w:szCs w:val="20"/>
          <w:color w:val="auto"/>
        </w:rPr>
      </w:pPr>
    </w:p>
    <w:p>
      <w:pPr>
        <w:jc w:val="both"/>
        <w:ind w:right="100" w:firstLine="393"/>
        <w:spacing w:after="0" w:line="273" w:lineRule="auto"/>
        <w:rPr>
          <w:sz w:val="20"/>
          <w:szCs w:val="20"/>
          <w:color w:val="auto"/>
        </w:rPr>
      </w:pPr>
      <w:r>
        <w:rPr>
          <w:rFonts w:ascii="Arial" w:cs="Arial" w:eastAsia="Arial" w:hAnsi="Arial"/>
          <w:sz w:val="17"/>
          <w:szCs w:val="17"/>
          <w:color w:val="auto"/>
        </w:rPr>
        <w:t>On October 5, 2021, our board of directors authorized a $300 million common stock repurchase program beginning January 1, 2022 (the “2022 Repurchase Program”).</w:t>
      </w:r>
    </w:p>
    <w:p>
      <w:pPr>
        <w:spacing w:after="0" w:line="198" w:lineRule="exact"/>
        <w:rPr>
          <w:sz w:val="20"/>
          <w:szCs w:val="20"/>
          <w:color w:val="auto"/>
        </w:rPr>
      </w:pPr>
    </w:p>
    <w:p>
      <w:pPr>
        <w:jc w:val="both"/>
        <w:ind w:right="100" w:firstLine="393"/>
        <w:spacing w:after="0" w:line="257" w:lineRule="auto"/>
        <w:rPr>
          <w:sz w:val="20"/>
          <w:szCs w:val="20"/>
          <w:color w:val="auto"/>
        </w:rPr>
      </w:pPr>
      <w:r>
        <w:rPr>
          <w:rFonts w:ascii="Arial" w:cs="Arial" w:eastAsia="Arial" w:hAnsi="Arial"/>
          <w:sz w:val="17"/>
          <w:szCs w:val="17"/>
          <w:color w:val="auto"/>
        </w:rPr>
        <w:t>Under the 2022 Repurchase Program, shares may be purchased by us from time to time from the open market and through private transactions, or otherwise, as determined by our management as market conditions warrant. We have structured open market purchases under the 2022 Repurchase Program to comply with Rule 10b-18 under the Exchange Act. Repurchases may be discontinued at any time by management.</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Rule 10b5-1 Trading Plans</w:t>
      </w:r>
    </w:p>
    <w:p>
      <w:pPr>
        <w:spacing w:after="0" w:line="250" w:lineRule="exact"/>
        <w:rPr>
          <w:sz w:val="20"/>
          <w:szCs w:val="20"/>
          <w:color w:val="auto"/>
        </w:rPr>
      </w:pPr>
    </w:p>
    <w:p>
      <w:pPr>
        <w:jc w:val="both"/>
        <w:ind w:right="100" w:firstLine="629"/>
        <w:spacing w:after="0" w:line="289" w:lineRule="auto"/>
        <w:rPr>
          <w:sz w:val="20"/>
          <w:szCs w:val="20"/>
          <w:color w:val="auto"/>
        </w:rPr>
      </w:pPr>
      <w:r>
        <w:rPr>
          <w:rFonts w:ascii="Arial" w:cs="Arial" w:eastAsia="Arial" w:hAnsi="Arial"/>
          <w:sz w:val="17"/>
          <w:szCs w:val="17"/>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7"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as part of this report or incorporated by reference as indicated therein: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ind w:left="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6"/>
                <w:szCs w:val="16"/>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0000FF"/>
              </w:rPr>
              <w:t>Restated Certificate of Incorporation of the Company, as in effect on the date hereof.</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960" w:type="dxa"/>
            <w:vAlign w:val="bottom"/>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7"/>
                <w:szCs w:val="17"/>
                <w:color w:val="0000FF"/>
                <w:w w:val="94"/>
              </w:rPr>
            </w:pPr>
            <w:hyperlink r:id="rId85">
              <w:r>
                <w:rPr>
                  <w:rFonts w:ascii="Arial" w:cs="Arial" w:eastAsia="Arial" w:hAnsi="Arial"/>
                  <w:sz w:val="17"/>
                  <w:szCs w:val="17"/>
                  <w:color w:val="0000FF"/>
                  <w:w w:val="94"/>
                </w:rPr>
                <w:t>Sixth Amended and Restated By-laws of the Company (incorporated by reference to Exhibit 3.2 of the Company’s Current Report on Form 8-K</w:t>
              </w:r>
            </w:hyperlink>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7"/>
          </w:tcPr>
          <w:p>
            <w:pPr>
              <w:spacing w:after="0" w:line="150" w:lineRule="exact"/>
              <w:rPr>
                <w:rFonts w:ascii="Arial" w:cs="Arial" w:eastAsia="Arial" w:hAnsi="Arial"/>
                <w:sz w:val="17"/>
                <w:szCs w:val="17"/>
                <w:color w:val="0000FF"/>
              </w:rPr>
            </w:pPr>
            <w:hyperlink r:id="rId85">
              <w:r>
                <w:rPr>
                  <w:rFonts w:ascii="Arial" w:cs="Arial" w:eastAsia="Arial" w:hAnsi="Arial"/>
                  <w:sz w:val="17"/>
                  <w:szCs w:val="17"/>
                  <w:color w:val="0000FF"/>
                </w:rPr>
                <w:t>(File No. 1-33089) filed on June 21,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960" w:type="dxa"/>
            <w:vAlign w:val="bottom"/>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0000FF"/>
                <w:w w:val="97"/>
              </w:rPr>
              <w:t>Certification of the Chief Executive Officer of ExlService Holdings, pursuant to Rule 13a-14(a) of the Exchange Act,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3"/>
              </w:rPr>
              <w:t>Section 302 of the Sarbanes-Oxley Act of 2002.</w:t>
            </w:r>
          </w:p>
        </w:tc>
        <w:tc>
          <w:tcPr>
            <w:tcW w:w="674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960" w:type="dxa"/>
            <w:vAlign w:val="bottom"/>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0000FF"/>
                <w:w w:val="98"/>
              </w:rPr>
              <w:t>Certification of the Chief Financial Officer of ExlService Holdings, pursuant to Rule 13a-14(a) of the Exchange Act,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3"/>
              </w:rPr>
              <w:t>Section 302 of the Sarbanes-Oxley Act of 2002.</w:t>
            </w:r>
          </w:p>
        </w:tc>
        <w:tc>
          <w:tcPr>
            <w:tcW w:w="67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960" w:type="dxa"/>
            <w:vAlign w:val="bottom"/>
          </w:tcPr>
          <w:p>
            <w:pPr>
              <w:ind w:left="20"/>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0000FF"/>
                <w:w w:val="94"/>
              </w:rPr>
              <w:t>Certification of the Chief Executive Officer pursuant to Rule 13a-14(b) of the Exchange Act and 18 U.S.C. Section 1350,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3"/>
              </w:rPr>
              <w:t>Section 906 of the Sarbanes-Oxley Act of 2002.</w:t>
            </w:r>
          </w:p>
        </w:tc>
        <w:tc>
          <w:tcPr>
            <w:tcW w:w="6720" w:type="dxa"/>
            <w:vAlign w:val="bottom"/>
            <w:tcBorders>
              <w:top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8"/>
        </w:trPr>
        <w:tc>
          <w:tcPr>
            <w:tcW w:w="960" w:type="dxa"/>
            <w:vAlign w:val="bottom"/>
          </w:tcPr>
          <w:p>
            <w:pPr>
              <w:ind w:left="20"/>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0000FF"/>
                <w:w w:val="94"/>
              </w:rPr>
              <w:t>Certification of the Chief Financial Officer pursuant to Rule 13a-14(b) of the Exchange Act and 18 U.S.C. Section 1350,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7"/>
          </w:tcPr>
          <w:p>
            <w:pPr>
              <w:spacing w:after="0" w:line="150" w:lineRule="exact"/>
              <w:rPr>
                <w:sz w:val="20"/>
                <w:szCs w:val="20"/>
                <w:color w:val="auto"/>
              </w:rPr>
            </w:pPr>
            <w:r>
              <w:rPr>
                <w:rFonts w:ascii="Arial" w:cs="Arial" w:eastAsia="Arial" w:hAnsi="Arial"/>
                <w:sz w:val="17"/>
                <w:szCs w:val="17"/>
                <w:color w:val="0000FF"/>
              </w:rPr>
              <w:t>Section 906 of the Sarbanes-Oxley Act of 2002.</w:t>
            </w:r>
          </w:p>
        </w:tc>
        <w:tc>
          <w:tcPr>
            <w:tcW w:w="40" w:type="dxa"/>
            <w:vAlign w:val="bottom"/>
            <w:gridSpan w:val="2"/>
          </w:tcPr>
          <w:p>
            <w:pPr>
              <w:spacing w:after="0"/>
              <w:rPr>
                <w:sz w:val="13"/>
                <w:szCs w:val="13"/>
                <w:color w:val="auto"/>
              </w:rPr>
            </w:pPr>
          </w:p>
        </w:tc>
      </w:tr>
      <w:tr>
        <w:trPr>
          <w:trHeight w:val="307"/>
        </w:trPr>
        <w:tc>
          <w:tcPr>
            <w:tcW w:w="960" w:type="dxa"/>
            <w:vAlign w:val="bottom"/>
          </w:tcPr>
          <w:p>
            <w:pPr>
              <w:ind w:left="20"/>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24"/>
                <w:szCs w:val="24"/>
                <w:color w:val="auto"/>
              </w:rPr>
            </w:pPr>
          </w:p>
        </w:tc>
        <w:tc>
          <w:tcPr>
            <w:tcW w:w="336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auto"/>
              </w:rPr>
              <w:t>XBRL Instance Document*</w:t>
            </w:r>
          </w:p>
        </w:tc>
        <w:tc>
          <w:tcPr>
            <w:tcW w:w="6820" w:type="dxa"/>
            <w:vAlign w:val="bottom"/>
            <w:gridSpan w:val="7"/>
          </w:tcPr>
          <w:p>
            <w:pPr>
              <w:spacing w:after="0"/>
              <w:rPr>
                <w:sz w:val="24"/>
                <w:szCs w:val="24"/>
                <w:color w:val="auto"/>
              </w:rPr>
            </w:pPr>
          </w:p>
        </w:tc>
      </w:tr>
      <w:tr>
        <w:trPr>
          <w:trHeight w:val="275"/>
        </w:trPr>
        <w:tc>
          <w:tcPr>
            <w:tcW w:w="960" w:type="dxa"/>
            <w:vAlign w:val="bottom"/>
          </w:tcPr>
          <w:p>
            <w:pPr>
              <w:ind w:left="20"/>
              <w:spacing w:after="0"/>
              <w:rPr>
                <w:sz w:val="20"/>
                <w:szCs w:val="20"/>
                <w:color w:val="auto"/>
              </w:rPr>
            </w:pPr>
            <w:r>
              <w:rPr>
                <w:rFonts w:ascii="Arial" w:cs="Arial" w:eastAsia="Arial" w:hAnsi="Arial"/>
                <w:sz w:val="17"/>
                <w:szCs w:val="17"/>
                <w:color w:val="auto"/>
              </w:rPr>
              <w:t>101.SCH</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auto"/>
              </w:rPr>
              <w:t>XBRL Taxonomy Extension Scheme*</w:t>
            </w:r>
          </w:p>
        </w:tc>
      </w:tr>
      <w:tr>
        <w:trPr>
          <w:trHeight w:val="275"/>
        </w:trPr>
        <w:tc>
          <w:tcPr>
            <w:tcW w:w="960" w:type="dxa"/>
            <w:vAlign w:val="bottom"/>
          </w:tcPr>
          <w:p>
            <w:pPr>
              <w:ind w:left="20"/>
              <w:spacing w:after="0"/>
              <w:rPr>
                <w:sz w:val="20"/>
                <w:szCs w:val="20"/>
                <w:color w:val="auto"/>
              </w:rPr>
            </w:pPr>
            <w:r>
              <w:rPr>
                <w:rFonts w:ascii="Arial" w:cs="Arial" w:eastAsia="Arial" w:hAnsi="Arial"/>
                <w:sz w:val="17"/>
                <w:szCs w:val="17"/>
                <w:color w:val="auto"/>
              </w:rPr>
              <w:t>101.CAL</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75"/>
        </w:trPr>
        <w:tc>
          <w:tcPr>
            <w:tcW w:w="960" w:type="dxa"/>
            <w:vAlign w:val="bottom"/>
          </w:tcPr>
          <w:p>
            <w:pPr>
              <w:ind w:left="20"/>
              <w:spacing w:after="0"/>
              <w:rPr>
                <w:sz w:val="20"/>
                <w:szCs w:val="20"/>
                <w:color w:val="auto"/>
              </w:rPr>
            </w:pPr>
            <w:r>
              <w:rPr>
                <w:rFonts w:ascii="Arial" w:cs="Arial" w:eastAsia="Arial" w:hAnsi="Arial"/>
                <w:sz w:val="17"/>
                <w:szCs w:val="17"/>
                <w:color w:val="auto"/>
              </w:rPr>
              <w:t>101.DEF</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275"/>
        </w:trPr>
        <w:tc>
          <w:tcPr>
            <w:tcW w:w="960" w:type="dxa"/>
            <w:vAlign w:val="bottom"/>
          </w:tcPr>
          <w:p>
            <w:pPr>
              <w:ind w:left="20"/>
              <w:spacing w:after="0"/>
              <w:rPr>
                <w:sz w:val="20"/>
                <w:szCs w:val="20"/>
                <w:color w:val="auto"/>
              </w:rPr>
            </w:pPr>
            <w:r>
              <w:rPr>
                <w:rFonts w:ascii="Arial" w:cs="Arial" w:eastAsia="Arial" w:hAnsi="Arial"/>
                <w:sz w:val="17"/>
                <w:szCs w:val="17"/>
                <w:color w:val="auto"/>
              </w:rPr>
              <w:t>101.LAB</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auto"/>
              </w:rPr>
              <w:t>XBRL Taxonomy Extension Label Linkbase*</w:t>
            </w:r>
          </w:p>
        </w:tc>
      </w:tr>
      <w:tr>
        <w:trPr>
          <w:trHeight w:val="275"/>
        </w:trPr>
        <w:tc>
          <w:tcPr>
            <w:tcW w:w="960" w:type="dxa"/>
            <w:vAlign w:val="bottom"/>
          </w:tcPr>
          <w:p>
            <w:pPr>
              <w:ind w:left="20"/>
              <w:spacing w:after="0"/>
              <w:rPr>
                <w:sz w:val="20"/>
                <w:szCs w:val="20"/>
                <w:color w:val="auto"/>
              </w:rPr>
            </w:pPr>
            <w:r>
              <w:rPr>
                <w:rFonts w:ascii="Arial" w:cs="Arial" w:eastAsia="Arial" w:hAnsi="Arial"/>
                <w:sz w:val="17"/>
                <w:szCs w:val="17"/>
                <w:color w:val="auto"/>
              </w:rPr>
              <w:t>101.PRE</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auto"/>
              </w:rPr>
              <w:t>XBRL Extension Presentation Linkbase*</w:t>
            </w:r>
          </w:p>
        </w:tc>
      </w:tr>
      <w:tr>
        <w:trPr>
          <w:trHeight w:val="275"/>
        </w:trPr>
        <w:tc>
          <w:tcPr>
            <w:tcW w:w="96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3"/>
                <w:szCs w:val="23"/>
                <w:color w:val="auto"/>
              </w:rPr>
            </w:pPr>
          </w:p>
        </w:tc>
        <w:tc>
          <w:tcPr>
            <w:tcW w:w="10180" w:type="dxa"/>
            <w:vAlign w:val="bottom"/>
            <w:gridSpan w:val="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53"/>
        </w:trPr>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3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78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Arial" w:cs="Arial" w:eastAsia="Arial" w:hAnsi="Arial"/>
                <w:sz w:val="17"/>
                <w:szCs w:val="17"/>
                <w:color w:val="auto"/>
              </w:rPr>
              <w:t>Date: October 26, 2023</w:t>
            </w:r>
          </w:p>
        </w:tc>
        <w:tc>
          <w:tcPr>
            <w:tcW w:w="7920" w:type="dxa"/>
            <w:vAlign w:val="bottom"/>
            <w:gridSpan w:val="2"/>
          </w:tcPr>
          <w:p>
            <w:pPr>
              <w:ind w:left="1640"/>
              <w:spacing w:after="0"/>
              <w:rPr>
                <w:sz w:val="20"/>
                <w:szCs w:val="20"/>
                <w:color w:val="auto"/>
              </w:rPr>
            </w:pPr>
            <w:r>
              <w:rPr>
                <w:rFonts w:ascii="Arial" w:cs="Arial" w:eastAsia="Arial" w:hAnsi="Arial"/>
                <w:sz w:val="17"/>
                <w:szCs w:val="17"/>
                <w:b w:val="1"/>
                <w:bCs w:val="1"/>
                <w:color w:val="auto"/>
              </w:rPr>
              <w:t>EXLSERVICE HOLDINGS, INC.</w:t>
            </w:r>
          </w:p>
        </w:tc>
      </w:tr>
      <w:tr>
        <w:trPr>
          <w:trHeight w:val="499"/>
        </w:trPr>
        <w:tc>
          <w:tcPr>
            <w:tcW w:w="3280" w:type="dxa"/>
            <w:vAlign w:val="bottom"/>
          </w:tcPr>
          <w:p>
            <w:pPr>
              <w:spacing w:after="0"/>
              <w:rPr>
                <w:sz w:val="24"/>
                <w:szCs w:val="24"/>
                <w:color w:val="auto"/>
              </w:rPr>
            </w:pPr>
          </w:p>
        </w:tc>
        <w:tc>
          <w:tcPr>
            <w:tcW w:w="2240" w:type="dxa"/>
            <w:vAlign w:val="bottom"/>
          </w:tcPr>
          <w:p>
            <w:pPr>
              <w:ind w:left="1640"/>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xml:space="preserve">/ </w:t>
            </w:r>
            <w:r>
              <w:rPr>
                <w:rFonts w:ascii="Arial" w:cs="Arial" w:eastAsia="Arial" w:hAnsi="Arial"/>
                <w:sz w:val="13"/>
                <w:szCs w:val="13"/>
                <w:color w:val="auto"/>
              </w:rPr>
              <w:t>MAURIZIO NICOLELLI</w:t>
            </w:r>
          </w:p>
        </w:tc>
      </w:tr>
      <w:tr>
        <w:trPr>
          <w:trHeight w:val="124"/>
        </w:trPr>
        <w:tc>
          <w:tcPr>
            <w:tcW w:w="3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68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MAURIZIO NICOLELLI</w:t>
            </w:r>
          </w:p>
        </w:tc>
      </w:tr>
      <w:tr>
        <w:trPr>
          <w:trHeight w:val="151"/>
        </w:trPr>
        <w:tc>
          <w:tcPr>
            <w:tcW w:w="3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68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Chief Financial Officer</w:t>
            </w:r>
          </w:p>
        </w:tc>
      </w:tr>
    </w:tbl>
    <w:p>
      <w:pPr>
        <w:ind w:left="556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20"/>
          </w:cols>
          <w:pgMar w:left="320" w:top="357"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ExlService Holdings, Inc., a corporation organized and existing under the laws of the State of Delaware (the “Corporation”), hereby certifies as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38"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7"/>
          <w:szCs w:val="17"/>
          <w:color w:val="auto"/>
        </w:rPr>
        <w:t>FIRST: The name of the corporation is ExlService Holdings, Inc. The original Certificate of Incorporation of the Corporation was filed with the Secretary of State of the State of Delaware on the 29th day of October 2002. The first Amended and Restated Certificate of Incorporation of the Corporation was filed with the Secretary of State of the State of Delaware on December 13, 2002. The second Amended and Restated Certificate of Incorporation of the Corporation was filed with the Secretary of State of the State of Delaware on October 24, 2006.</w:t>
      </w:r>
    </w:p>
    <w:p>
      <w:pPr>
        <w:spacing w:after="0" w:line="202"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SECOND: The Board of Directors of the Corporation approved and adopted resolutions setting forth this Restated Certificate of Incorporation, which are filed with the minutes of the Corporation.</w:t>
      </w:r>
    </w:p>
    <w:p>
      <w:pPr>
        <w:spacing w:after="0" w:line="185"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6"/>
          <w:szCs w:val="16"/>
          <w:color w:val="auto"/>
        </w:rPr>
        <w:t>THIRD: This Restated Certificate of Incorporation has been duly adopted in accordance with Section 245 of the Delaware General Corporation Law and restates and integrates but does not further amend the provisions of the Corporation’s second Amended and Restated Certificate of Incorporation as heretofore amended or supplemented. There is no discrepancy between those provisions and the provisions of this Restated Certificate of Incorporation.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FOURTH: The text of the certificate of incorporation of the Corporation is hereby restated in its entirety to read as follows:</w:t>
      </w:r>
    </w:p>
    <w:p>
      <w:pPr>
        <w:spacing w:after="0" w:line="250" w:lineRule="exact"/>
        <w:rPr>
          <w:sz w:val="20"/>
          <w:szCs w:val="20"/>
          <w:color w:val="auto"/>
        </w:rPr>
      </w:pPr>
    </w:p>
    <w:p>
      <w:pPr>
        <w:ind w:left="800" w:hanging="166"/>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Name</w:t>
      </w:r>
      <w:r>
        <w:rPr>
          <w:rFonts w:ascii="Arial" w:cs="Arial" w:eastAsia="Arial" w:hAnsi="Arial"/>
          <w:sz w:val="17"/>
          <w:szCs w:val="17"/>
          <w:color w:val="auto"/>
        </w:rPr>
        <w:t>. The name of the corporation is “ExlService Holdings, Inc.”</w:t>
      </w:r>
    </w:p>
    <w:p>
      <w:pPr>
        <w:spacing w:after="0" w:line="250" w:lineRule="exact"/>
        <w:rPr>
          <w:rFonts w:ascii="Arial" w:cs="Arial" w:eastAsia="Arial" w:hAnsi="Arial"/>
          <w:sz w:val="17"/>
          <w:szCs w:val="17"/>
          <w:color w:val="auto"/>
        </w:rPr>
      </w:pPr>
    </w:p>
    <w:p>
      <w:pPr>
        <w:ind w:firstLine="634"/>
        <w:spacing w:after="0" w:line="322" w:lineRule="auto"/>
        <w:tabs>
          <w:tab w:leader="none" w:pos="81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Address; Registered Office and Agent</w:t>
      </w:r>
      <w:r>
        <w:rPr>
          <w:rFonts w:ascii="Arial" w:cs="Arial" w:eastAsia="Arial" w:hAnsi="Arial"/>
          <w:sz w:val="16"/>
          <w:szCs w:val="16"/>
          <w:color w:val="auto"/>
        </w:rPr>
        <w:t>. The address of the Corporation’s registered office in the State of Delaware is 1209 Orange Street, City of Wilmington, County of New Castle, State of Delaware 19801; and the name of its registered agent at such address is The Corporation Trust Company.</w:t>
      </w:r>
    </w:p>
    <w:p>
      <w:pPr>
        <w:spacing w:after="0" w:line="161" w:lineRule="exact"/>
        <w:rPr>
          <w:rFonts w:ascii="Arial" w:cs="Arial" w:eastAsia="Arial" w:hAnsi="Arial"/>
          <w:sz w:val="16"/>
          <w:szCs w:val="16"/>
          <w:color w:val="auto"/>
        </w:rPr>
      </w:pPr>
    </w:p>
    <w:p>
      <w:pPr>
        <w:ind w:firstLine="634"/>
        <w:spacing w:after="0" w:line="289" w:lineRule="auto"/>
        <w:tabs>
          <w:tab w:leader="none" w:pos="81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Purposes</w:t>
      </w:r>
      <w:r>
        <w:rPr>
          <w:rFonts w:ascii="Arial" w:cs="Arial" w:eastAsia="Arial" w:hAnsi="Arial"/>
          <w:sz w:val="17"/>
          <w:szCs w:val="17"/>
          <w:color w:val="auto"/>
        </w:rPr>
        <w:t>. The purpose of the Corporation is to engage in any lawful act or activity for which corporations may be organized under the General Corporation Law.</w:t>
      </w:r>
    </w:p>
    <w:p>
      <w:pPr>
        <w:spacing w:after="0" w:line="184" w:lineRule="exact"/>
        <w:rPr>
          <w:rFonts w:ascii="Arial" w:cs="Arial" w:eastAsia="Arial" w:hAnsi="Arial"/>
          <w:sz w:val="17"/>
          <w:szCs w:val="17"/>
          <w:color w:val="auto"/>
        </w:rPr>
      </w:pPr>
    </w:p>
    <w:p>
      <w:pPr>
        <w:jc w:val="both"/>
        <w:ind w:firstLine="634"/>
        <w:spacing w:after="0" w:line="268" w:lineRule="auto"/>
        <w:tabs>
          <w:tab w:leader="none" w:pos="81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Corporation is authorized to issue two classes of stock to be designated, respectively, “Common Stock” and “Preferred Stock.” The total number of shares of all classes of stock which the Corporation shall have authority to issue is 415,000,000 shares, consisting of (i) 400,000,000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and (ii) 15,000,000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45,833.36 are designated as Series A Preferred Stock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ind w:left="800" w:hanging="166"/>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Classes of Shares</w:t>
      </w:r>
      <w:r>
        <w:rPr>
          <w:rFonts w:ascii="Arial" w:cs="Arial" w:eastAsia="Arial" w:hAnsi="Arial"/>
          <w:sz w:val="17"/>
          <w:szCs w:val="17"/>
          <w:color w:val="auto"/>
        </w:rPr>
        <w:t>. The designation, relative rights, preferences and limitations of the shares of each class are as follows:</w:t>
      </w:r>
    </w:p>
    <w:p>
      <w:pPr>
        <w:spacing w:after="0" w:line="224" w:lineRule="exact"/>
        <w:rPr>
          <w:sz w:val="20"/>
          <w:szCs w:val="20"/>
          <w:color w:val="auto"/>
        </w:rPr>
      </w:pPr>
    </w:p>
    <w:p>
      <w:pPr>
        <w:jc w:val="both"/>
        <w:ind w:firstLine="634"/>
        <w:spacing w:after="0" w:line="278" w:lineRule="auto"/>
        <w:tabs>
          <w:tab w:leader="none" w:pos="8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 as otherwise provided by law or by this Certificate of Incorporation and subject to the express terms of any series of shares of Preferred Stock, the holders of outstanding shares of Common Stock shall exclusively possess voting power for the election of Directors and for all other purposes, each holder of record of shares of Common Stock shall be entitled to one vote for each share of Common Stock standing in his or her name on the books of the Corporation. Except as otherwise provided by law or by this Certificate of Incorporation and subject to the express terms of any series of shares of Preferred Stock, the holders of shares of Common Stock shall be entitled, to the exclusion of the holders of shares of Preferred Stock of any and all series, to receive such dividends as from time to time may be declared by the Board of Directors of the Corporation (the “Board”). In the event of any liquidation, dissolution or winding up of the Corporation, whether voluntary or involuntary, subject to the rights, if any, of the holders of any outstanding series of Preferred Stock, the holders of shares of Common Stock shall be entitled to share ratably according to the number of shares of Common Stock held by them in all remaining assets of the Corporation available for distribution to its stockholders. Subject to the rights of the holders of any one or more series of Preferred Stock then outstanding, the number of authorized shares of any class or classes of stock may be increased or decreased (but not below the number of shares thereof then outstanding) by the affirmative vote of the holders of a majority of</w:t>
      </w:r>
    </w:p>
    <w:p>
      <w:pPr>
        <w:sectPr>
          <w:pgSz w:w="11900" w:h="16838" w:orient="portrait"/>
          <w:cols w:equalWidth="0" w:num="1">
            <w:col w:w="11240"/>
          </w:cols>
          <w:pgMar w:left="320" w:top="869" w:right="339" w:bottom="1440" w:gutter="0" w:footer="0" w:header="0"/>
        </w:sectPr>
      </w:pPr>
    </w:p>
    <w:bookmarkStart w:id="60" w:name="page61"/>
    <w:bookmarkEnd w:id="60"/>
    <w:p>
      <w:pPr>
        <w:spacing w:after="0" w:line="289" w:lineRule="auto"/>
        <w:rPr>
          <w:sz w:val="20"/>
          <w:szCs w:val="20"/>
          <w:color w:val="auto"/>
        </w:rPr>
      </w:pPr>
      <w:r>
        <w:rPr>
          <w:rFonts w:ascii="Arial" w:cs="Arial" w:eastAsia="Arial" w:hAnsi="Arial"/>
          <w:sz w:val="17"/>
          <w:szCs w:val="17"/>
          <w:color w:val="auto"/>
        </w:rPr>
        <w:t>the stock of the Corporation entitled to vote, irrespective of the provisions of Section 242(b)(2) of the General Corporation Law or any corresponding provision hereinafter enacted.</w:t>
      </w:r>
    </w:p>
    <w:p>
      <w:pPr>
        <w:spacing w:after="0" w:line="185" w:lineRule="exact"/>
        <w:rPr>
          <w:sz w:val="20"/>
          <w:szCs w:val="20"/>
          <w:color w:val="auto"/>
        </w:rPr>
      </w:pPr>
    </w:p>
    <w:p>
      <w:pPr>
        <w:jc w:val="both"/>
        <w:ind w:firstLine="634"/>
        <w:spacing w:after="0" w:line="273" w:lineRule="auto"/>
        <w:tabs>
          <w:tab w:leader="none" w:pos="88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Series B Common Stock shall have the additional rights, conversion features and other terms set forth in Annex A attached hereto. Following the conversion of all shares of Series B Common Stock as provided in Section 2 of Annex A, there shall only be one class of Common Stock and it shall be referred to as Common Stock.</w:t>
      </w:r>
    </w:p>
    <w:p>
      <w:pPr>
        <w:spacing w:after="0" w:line="198" w:lineRule="exact"/>
        <w:rPr>
          <w:sz w:val="20"/>
          <w:szCs w:val="20"/>
          <w:color w:val="auto"/>
        </w:rPr>
      </w:pPr>
    </w:p>
    <w:p>
      <w:pPr>
        <w:jc w:val="both"/>
        <w:ind w:firstLine="629"/>
        <w:spacing w:after="0" w:line="29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Preferred Stock.</w:t>
      </w:r>
      <w:r>
        <w:rPr>
          <w:rFonts w:ascii="Arial" w:cs="Arial" w:eastAsia="Arial" w:hAnsi="Arial"/>
          <w:sz w:val="15"/>
          <w:szCs w:val="15"/>
          <w:color w:val="auto"/>
        </w:rPr>
        <w:t xml:space="preserve"> The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(a) may have such voting rights or powers, full or limited, if any; (b) may be subject to redemption at such time or times and at such prices, if any; (c) may be entitled to receive dividends (which may be cumulative or non-cumulative) at such rate or rates, on such conditions and at such times, and payable in preference to, or in such relation to, the dividends payable on any other class or classes or series of stock, if any; (d) may have such rights upon the voluntary or involuntary liquidation, winding up or dissolution of, upon any distribution of the assets of, or in the event of any merger, sale or consolidation of, the Corporation, if any; (e)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(f) may be entitled to the benefit of a sinking fund to be applied to the purchase or redemption of shares of such series in such amount or amounts, if any; (g)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(h) may be subject to restrictions on transfer or registration of transfer, or on the amount of shares that may be owned by any person or group of persons; and (i)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200" w:lineRule="exact"/>
        <w:rPr>
          <w:sz w:val="20"/>
          <w:szCs w:val="20"/>
          <w:color w:val="auto"/>
        </w:rPr>
      </w:pPr>
    </w:p>
    <w:p>
      <w:pPr>
        <w:spacing w:after="0" w:line="204" w:lineRule="exact"/>
        <w:rPr>
          <w:sz w:val="20"/>
          <w:szCs w:val="20"/>
          <w:color w:val="auto"/>
        </w:rPr>
      </w:pPr>
    </w:p>
    <w:p>
      <w:pPr>
        <w:jc w:val="both"/>
        <w:ind w:firstLine="629"/>
        <w:spacing w:after="0" w:line="326"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Series A Preferred Stock.</w:t>
      </w:r>
      <w:r>
        <w:rPr>
          <w:rFonts w:ascii="Arial" w:cs="Arial" w:eastAsia="Arial" w:hAnsi="Arial"/>
          <w:sz w:val="15"/>
          <w:szCs w:val="15"/>
          <w:color w:val="auto"/>
        </w:rPr>
        <w:t xml:space="preserve"> The designation, relative rights, preferences and limitations of the Series A Preferred Stock shall be as set forth in Annex B attached hereto. Upon the retirement, repurchase, redemption or other acquisition of shares of Series A Preferred Stock by the Corporation, such shares shall be deemed to be unissued and undesignated shares of Preferred Stock and may be reissued by the Corporation as shares of any series of Preferred Stock.</w:t>
      </w:r>
    </w:p>
    <w:p>
      <w:pPr>
        <w:spacing w:after="0" w:line="163" w:lineRule="exact"/>
        <w:rPr>
          <w:sz w:val="20"/>
          <w:szCs w:val="20"/>
          <w:color w:val="auto"/>
        </w:rPr>
      </w:pPr>
    </w:p>
    <w:p>
      <w:pPr>
        <w:ind w:left="800" w:hanging="166"/>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Board of Directors.</w:t>
      </w:r>
    </w:p>
    <w:p>
      <w:pPr>
        <w:spacing w:after="0" w:line="250"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Number of Directors.</w:t>
      </w:r>
      <w:r>
        <w:rPr>
          <w:rFonts w:ascii="Arial" w:cs="Arial" w:eastAsia="Arial" w:hAnsi="Arial"/>
          <w:sz w:val="16"/>
          <w:szCs w:val="16"/>
          <w:color w:val="auto"/>
        </w:rPr>
        <w:t xml:space="preserve"> The business and affairs of the Corporation shall be managed by, or under the direction of, the Board. Unless and except to the extent that the Amended and Restated By-laws of the Corporation, as such By-laws may be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shall so require, the election of the Directors of the Corporation need not be by written ballot. Except as otherwise provided for or fixed pursuant to the provisions of Section 5 of this Certificate of Incorporation relating to the rights of the holders of any series of Preferred Stock to elect additional Directors, the total number of Directors constituting the entire Board shall be not less than 6 nor more than 12, with the then authorized number of Directors being fixed from time to time by the Board. During any period when the holders of any series of Preferred Stock have the right to elect additional Directors as provided for or fixed pursuant to the provisions of Section 5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w:t>
      </w:r>
    </w:p>
    <w:p>
      <w:pPr>
        <w:sectPr>
          <w:pgSz w:w="11900" w:h="16838" w:orient="portrait"/>
          <w:cols w:equalWidth="0" w:num="1">
            <w:col w:w="11240"/>
          </w:cols>
          <w:pgMar w:left="320" w:top="875" w:right="3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7"/>
          <w:szCs w:val="17"/>
          <w:color w:val="auto"/>
        </w:rPr>
        <w:t>removal of such additional Directors, shall forthwith terminate and the total and authorized number of Directors of the Corporation shall be reduced accordingly.</w:t>
      </w:r>
    </w:p>
    <w:p>
      <w:pPr>
        <w:spacing w:after="0" w:line="2" w:lineRule="exact"/>
        <w:rPr>
          <w:sz w:val="20"/>
          <w:szCs w:val="20"/>
          <w:color w:val="auto"/>
        </w:rPr>
      </w:pPr>
    </w:p>
    <w:p>
      <w:pPr>
        <w:jc w:val="both"/>
        <w:ind w:firstLine="629"/>
        <w:spacing w:after="0" w:line="27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Terms of Directors</w:t>
      </w:r>
      <w:r>
        <w:rPr>
          <w:rFonts w:ascii="Arial" w:cs="Arial" w:eastAsia="Arial" w:hAnsi="Arial"/>
          <w:sz w:val="16"/>
          <w:szCs w:val="16"/>
          <w:color w:val="auto"/>
        </w:rPr>
        <w:t>. Subject to the provisions of this Certificate of Incorporation relating to directors elected by the holders of one or more 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w:t>
      </w:r>
      <w:r>
        <w:rPr>
          <w:rFonts w:ascii="Arial" w:cs="Arial" w:eastAsia="Arial" w:hAnsi="Arial"/>
          <w:sz w:val="16"/>
          <w:szCs w:val="16"/>
          <w:u w:val="single" w:color="auto"/>
          <w:color w:val="auto"/>
        </w:rPr>
        <w:t>2020 Class</w:t>
      </w:r>
      <w:r>
        <w:rPr>
          <w:rFonts w:ascii="Arial" w:cs="Arial" w:eastAsia="Arial" w:hAnsi="Arial"/>
          <w:sz w:val="16"/>
          <w:szCs w:val="16"/>
          <w:color w:val="auto"/>
        </w:rPr>
        <w:t>”), and each director of the corporation who was elected at the 2018 annual meeting of stockholders for a three-year term expiring in 2021 (the “</w:t>
      </w:r>
      <w:r>
        <w:rPr>
          <w:rFonts w:ascii="Arial" w:cs="Arial" w:eastAsia="Arial" w:hAnsi="Arial"/>
          <w:sz w:val="16"/>
          <w:szCs w:val="16"/>
          <w:u w:val="single" w:color="auto"/>
          <w:color w:val="auto"/>
        </w:rPr>
        <w:t>2021 Class</w:t>
      </w:r>
      <w:r>
        <w:rPr>
          <w:rFonts w:ascii="Arial" w:cs="Arial" w:eastAsia="Arial" w:hAnsi="Arial"/>
          <w:sz w:val="16"/>
          <w:szCs w:val="16"/>
          <w:color w:val="auto"/>
        </w:rPr>
        <w:t>”), including any person appointed to 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this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 (b) 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w:t>
      </w:r>
    </w:p>
    <w:p>
      <w:pPr>
        <w:spacing w:after="0" w:line="201"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Vacancies and Newly Created Directorships</w:t>
      </w:r>
      <w:r>
        <w:rPr>
          <w:rFonts w:ascii="Arial" w:cs="Arial" w:eastAsia="Arial" w:hAnsi="Arial"/>
          <w:sz w:val="17"/>
          <w:szCs w:val="17"/>
          <w:color w:val="auto"/>
        </w:rPr>
        <w:t>. Subject to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be filled solely by the affirmative vote of a majority of the remaining Directors then in office, even if less than a quorum of the Board. Any Director so chosen shall hold office until the expiration of the term of office of the Director whom he or she has replaced and until his or her successor shall be duly elected and qualified or until such Director’s earlier death, disqualification, resignation or removal. No decrease in the number of Directors shall shorten the term of any incumbent Director.</w:t>
      </w:r>
    </w:p>
    <w:p>
      <w:pPr>
        <w:jc w:val="both"/>
        <w:ind w:firstLine="629"/>
        <w:spacing w:after="0" w:line="26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Unless otherwise restricted by applicable law and except for such additional Directors, if any, as are elected by the holders of any series of Preferred Stock as provided for or fixed pursuant to the provisions of Section 5 hereof,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w:t>
      </w:r>
    </w:p>
    <w:p>
      <w:pPr>
        <w:spacing w:after="0" w:line="207" w:lineRule="exact"/>
        <w:rPr>
          <w:sz w:val="20"/>
          <w:szCs w:val="20"/>
          <w:color w:val="auto"/>
        </w:rPr>
      </w:pPr>
    </w:p>
    <w:p>
      <w:pPr>
        <w:jc w:val="both"/>
        <w:ind w:firstLine="634"/>
        <w:spacing w:after="0" w:line="259" w:lineRule="auto"/>
        <w:tabs>
          <w:tab w:leader="none" w:pos="83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To the fullest extent permitted under the General Corporation Law, as amended from time to time, no Director of the Corporation shall be personally liable to the Corporation or its stockholders for monetary damages for breach of fiduciary duty as a Director, provided that this provision shall not eliminate or limit the liability of a Director (a) for any breach of the Director’s duty of loyalty to the Corporation or its stockholders, (b) for acts or omissions not in good faith or which involve intentional misconduct or a knowing violation of law, (c) under Section 174 of the General Corporation Law or (d) for any transaction from which the Director derived any improper personal benefits. If the General Corporation Law is hereafter amended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3" w:lineRule="exact"/>
        <w:rPr>
          <w:rFonts w:ascii="Arial" w:cs="Arial" w:eastAsia="Arial" w:hAnsi="Arial"/>
          <w:sz w:val="17"/>
          <w:szCs w:val="17"/>
          <w:color w:val="auto"/>
        </w:rPr>
      </w:pPr>
    </w:p>
    <w:p>
      <w:pPr>
        <w:spacing w:after="0" w:line="275" w:lineRule="auto"/>
        <w:rPr>
          <w:rFonts w:ascii="Arial" w:cs="Arial" w:eastAsia="Arial" w:hAnsi="Arial"/>
          <w:sz w:val="17"/>
          <w:szCs w:val="17"/>
          <w:color w:val="auto"/>
        </w:rPr>
      </w:pPr>
      <w:r>
        <w:rPr>
          <w:rFonts w:ascii="Arial" w:cs="Arial" w:eastAsia="Arial" w:hAnsi="Arial"/>
          <w:sz w:val="17"/>
          <w:szCs w:val="17"/>
          <w:color w:val="auto"/>
        </w:rPr>
        <w:t>Any amendment, repeal or modification of the foregoing provision shall not adversely affect any right or protection of a Director of the Corporation hereunder in respect of any act or omission occurring prior to the time of such amendment, repeal or modification.</w:t>
      </w:r>
    </w:p>
    <w:p>
      <w:pPr>
        <w:spacing w:after="0" w:line="195" w:lineRule="exact"/>
        <w:rPr>
          <w:rFonts w:ascii="Arial" w:cs="Arial" w:eastAsia="Arial" w:hAnsi="Arial"/>
          <w:sz w:val="17"/>
          <w:szCs w:val="17"/>
          <w:color w:val="auto"/>
        </w:rPr>
      </w:pPr>
    </w:p>
    <w:p>
      <w:pPr>
        <w:ind w:left="800" w:hanging="166"/>
        <w:spacing w:after="0"/>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Indemnification.</w:t>
      </w:r>
    </w:p>
    <w:p>
      <w:pPr>
        <w:spacing w:after="0" w:line="250" w:lineRule="exact"/>
        <w:rPr>
          <w:sz w:val="20"/>
          <w:szCs w:val="20"/>
          <w:color w:val="auto"/>
        </w:rPr>
      </w:pPr>
    </w:p>
    <w:p>
      <w:pPr>
        <w:jc w:val="both"/>
        <w:ind w:firstLine="629"/>
        <w:spacing w:after="0" w:line="28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xml:space="preserve"> The Corporation shall indemnify and hold harmless, to the fullest extent permitted by applicable law as it presently exists or may hereafter be amended, any person (a “</w:t>
      </w:r>
      <w:r>
        <w:rPr>
          <w:rFonts w:ascii="Arial" w:cs="Arial" w:eastAsia="Arial" w:hAnsi="Arial"/>
          <w:sz w:val="16"/>
          <w:szCs w:val="16"/>
          <w:u w:val="single" w:color="auto"/>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Entity</w:t>
      </w:r>
      <w:r>
        <w:rPr>
          <w:rFonts w:ascii="Arial" w:cs="Arial" w:eastAsia="Arial" w:hAnsi="Arial"/>
          <w:sz w:val="16"/>
          <w:szCs w:val="16"/>
          <w:color w:val="auto"/>
        </w:rPr>
        <w:t>”), including service with respect to employee benefit plans, against all liability and loss suffered and expenses (including attorneys’ fees) reasonably incurred by such Covered Person. Notwithstanding the preceding sentence, except as otherwise provided in Section 8.3, the Corporation shall be required to</w:t>
      </w:r>
    </w:p>
    <w:p>
      <w:pPr>
        <w:sectPr>
          <w:pgSz w:w="11900" w:h="16838" w:orient="portrait"/>
          <w:cols w:equalWidth="0" w:num="1">
            <w:col w:w="11240"/>
          </w:cols>
          <w:pgMar w:left="320" w:top="875" w:right="339" w:bottom="1440" w:gutter="0" w:footer="0" w:header="0"/>
        </w:sectPr>
      </w:pPr>
    </w:p>
    <w:bookmarkStart w:id="62" w:name="page63"/>
    <w:bookmarkEnd w:id="62"/>
    <w:p>
      <w:pPr>
        <w:jc w:val="both"/>
        <w:spacing w:after="0" w:line="289" w:lineRule="auto"/>
        <w:rPr>
          <w:sz w:val="20"/>
          <w:szCs w:val="20"/>
          <w:color w:val="auto"/>
        </w:rPr>
      </w:pPr>
      <w:r>
        <w:rPr>
          <w:rFonts w:ascii="Arial" w:cs="Arial" w:eastAsia="Arial" w:hAnsi="Arial"/>
          <w:sz w:val="17"/>
          <w:szCs w:val="17"/>
          <w:color w:val="auto"/>
        </w:rPr>
        <w:t>indemnify a Covered Person in connection with a Proceeding (or part thereof) commenced by such Covered Person only if the commencement of such Proceeding (or part thereof) by the Covered Person was authorized by the Board.</w:t>
      </w:r>
    </w:p>
    <w:p>
      <w:pPr>
        <w:spacing w:after="0" w:line="185"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Prepayment of Expenses</w:t>
      </w:r>
      <w:r>
        <w:rPr>
          <w:rFonts w:ascii="Arial" w:cs="Arial" w:eastAsia="Arial" w:hAnsi="Arial"/>
          <w:sz w:val="17"/>
          <w:szCs w:val="17"/>
          <w:color w:val="auto"/>
        </w:rPr>
        <w:t>.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Section 8 or otherwise.</w:t>
      </w:r>
    </w:p>
    <w:p>
      <w:pPr>
        <w:spacing w:after="0" w:line="202"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Claims</w:t>
      </w:r>
      <w:r>
        <w:rPr>
          <w:rFonts w:ascii="Arial" w:cs="Arial" w:eastAsia="Arial" w:hAnsi="Arial"/>
          <w:sz w:val="17"/>
          <w:szCs w:val="17"/>
          <w:color w:val="auto"/>
        </w:rPr>
        <w:t>. If a claim for indemnification or advancement of expenses under this Section 8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20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conferred on any Covered Person by this Section 8 shall not be exclusive of any other rights that such Covered Person may have or hereafter acquire under any statute, provision of this Certificate of Incorporation, the By-laws, agreement, vote of stockholders or disinterested Directors or otherwise.</w:t>
      </w:r>
    </w:p>
    <w:p>
      <w:pPr>
        <w:spacing w:after="0" w:line="198"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Other Sources</w:t>
      </w:r>
      <w:r>
        <w:rPr>
          <w:rFonts w:ascii="Arial" w:cs="Arial" w:eastAsia="Arial" w:hAnsi="Arial"/>
          <w:sz w:val="17"/>
          <w:szCs w:val="17"/>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98"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Section 8 shall not adversely affect any right or protection hereunder of any Covered Person in respect of any act or omission occurring prior to the time of such repeal or modification.</w:t>
      </w:r>
    </w:p>
    <w:p>
      <w:pPr>
        <w:spacing w:after="0" w:line="185"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Other Indemnification and Prepayment of Expenses</w:t>
      </w:r>
      <w:r>
        <w:rPr>
          <w:rFonts w:ascii="Arial" w:cs="Arial" w:eastAsia="Arial" w:hAnsi="Arial"/>
          <w:sz w:val="17"/>
          <w:szCs w:val="17"/>
          <w:color w:val="auto"/>
        </w:rPr>
        <w:t>. This Section 8 shall not limit the right of the Corporation, to the extent and in the manner permitted by applicable law, to indemnify and to advance expenses to persons other than Covered Persons when and as authorized by appropriate corporate action.</w:t>
      </w:r>
    </w:p>
    <w:p>
      <w:pPr>
        <w:spacing w:after="0" w:line="198" w:lineRule="exact"/>
        <w:rPr>
          <w:sz w:val="20"/>
          <w:szCs w:val="20"/>
          <w:color w:val="auto"/>
        </w:rPr>
      </w:pPr>
    </w:p>
    <w:p>
      <w:pPr>
        <w:jc w:val="both"/>
        <w:ind w:firstLine="634"/>
        <w:spacing w:after="0" w:line="262" w:lineRule="auto"/>
        <w:tabs>
          <w:tab w:leader="none" w:pos="804"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Adoption, Amendment and/or Repeal of By-Laws</w:t>
      </w:r>
      <w:r>
        <w:rPr>
          <w:rFonts w:ascii="Arial" w:cs="Arial" w:eastAsia="Arial" w:hAnsi="Arial"/>
          <w:sz w:val="17"/>
          <w:szCs w:val="17"/>
          <w:color w:val="auto"/>
        </w:rPr>
        <w:t>. In furtherance and not in limitation of the powers conferred by the laws of the State of Delaware, the Board is expressly authorized to make, alter and repeal the By-laws, subject to the power of the Stockholders of the Corporation to alter or repeal any By-laws whether adopted by them or otherwise.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of any particular class of stock of the Corporation required by applicable law or this Certificate of Incorporation, the affirmative vote of the holders of at least 66 2/3% of the voting power of the shares of the then outstanding voting stock of the Corporation, voting together as a single class, shall be required to adopt new By-laws or to alter, amend or repeal the By-laws.</w:t>
      </w:r>
    </w:p>
    <w:p>
      <w:pPr>
        <w:spacing w:after="0" w:line="210" w:lineRule="exact"/>
        <w:rPr>
          <w:rFonts w:ascii="Arial" w:cs="Arial" w:eastAsia="Arial" w:hAnsi="Arial"/>
          <w:sz w:val="17"/>
          <w:szCs w:val="17"/>
          <w:color w:val="auto"/>
        </w:rPr>
      </w:pPr>
    </w:p>
    <w:p>
      <w:pPr>
        <w:jc w:val="both"/>
        <w:ind w:firstLine="634"/>
        <w:spacing w:after="0" w:line="279" w:lineRule="auto"/>
        <w:tabs>
          <w:tab w:leader="none" w:pos="90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Certificate Amendments</w:t>
      </w:r>
      <w:r>
        <w:rPr>
          <w:rFonts w:ascii="Arial" w:cs="Arial" w:eastAsia="Arial" w:hAnsi="Arial"/>
          <w:sz w:val="16"/>
          <w:szCs w:val="16"/>
          <w:color w:val="auto"/>
        </w:rPr>
        <w:t>. The Corporation reserves the right at any time, and from time to time, to amend, alter, change or repeal any provision contained in this Certificate of Incorporation. In addition, other provisions authorized by the laws of the State of Delaware at the time in force may be added or inserted, in the manner now or hereafter prescribed by applicable law. All rights, preferences and privileges of whatsoever nature conferred upon stockholders, Directors or any other persons whomsoever by and pursuant to this Certificate of Incorporation in its present form or as hereafter amended are granted and held subject to the rights the Corporation has reserved in this Section 10.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of any particular class of stock of the Corporation required by applicable law or this Certificate of Incorporation, the affirmative vote of the holders of at least 66 2/3% of the voting power of the shares of the then outstanding voting stock of the Corporation, voting together as a single class, shall be required to amend or repeal, or adopt any provisions inconsistent with Sections 6, 9, 10, 11 or 12 of this Certificate of Incorporation.</w:t>
      </w:r>
    </w:p>
    <w:p>
      <w:pPr>
        <w:spacing w:after="0" w:line="199" w:lineRule="exact"/>
        <w:rPr>
          <w:rFonts w:ascii="Arial" w:cs="Arial" w:eastAsia="Arial" w:hAnsi="Arial"/>
          <w:sz w:val="16"/>
          <w:szCs w:val="16"/>
          <w:color w:val="auto"/>
        </w:rPr>
      </w:pPr>
    </w:p>
    <w:p>
      <w:pPr>
        <w:jc w:val="both"/>
        <w:ind w:firstLine="634"/>
        <w:spacing w:after="0" w:line="290" w:lineRule="auto"/>
        <w:tabs>
          <w:tab w:leader="none" w:pos="88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Written Consent Prohibition</w:t>
      </w:r>
      <w:r>
        <w:rPr>
          <w:rFonts w:ascii="Arial" w:cs="Arial" w:eastAsia="Arial" w:hAnsi="Arial"/>
          <w:sz w:val="16"/>
          <w:szCs w:val="16"/>
          <w:color w:val="auto"/>
        </w:rPr>
        <w:t>. Except as otherwise provided for or fixed pursuant to the provisions of Section 5 of this Certificate of Incorporation relating to the rights of holders of any series of Preferred Stock, no action that is required or permitted to be taken by the stockholders of the Corporation at any annual or special meeting of stockholders may be effected by written consent of stockholders in lieu of a meeting of stockholders, unless the action to be effected by written consent of stockholders and the taking of such action by such written consent have expressly been approved in advance by the Board.</w:t>
      </w:r>
    </w:p>
    <w:p>
      <w:pPr>
        <w:sectPr>
          <w:pgSz w:w="11900" w:h="16838" w:orient="portrait"/>
          <w:cols w:equalWidth="0" w:num="1">
            <w:col w:w="11240"/>
          </w:cols>
          <w:pgMar w:left="320" w:top="875" w:right="339" w:bottom="1440" w:gutter="0" w:footer="0" w:header="0"/>
        </w:sectPr>
      </w:pPr>
    </w:p>
    <w:bookmarkStart w:id="63" w:name="page64"/>
    <w:bookmarkEnd w:id="63"/>
    <w:p>
      <w:pPr>
        <w:jc w:val="both"/>
        <w:ind w:firstLine="634"/>
        <w:spacing w:after="0" w:line="273" w:lineRule="auto"/>
        <w:tabs>
          <w:tab w:leader="none" w:pos="89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Special Meetings of the Corporation’s Stockholders</w:t>
      </w:r>
      <w:r>
        <w:rPr>
          <w:rFonts w:ascii="Arial" w:cs="Arial" w:eastAsia="Arial" w:hAnsi="Arial"/>
          <w:sz w:val="17"/>
          <w:szCs w:val="17"/>
          <w:color w:val="auto"/>
        </w:rPr>
        <w:t>. Unless otherwise provided by applicable law and subject to the express terms of any series of shares of Preferred Stock, a special meeting of the Corporation’s stockholders may be called only by (a) the Corporation’s Chairman of the Board or (b) a majority of the members of the Board, and may not be called by any other person or persons.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 the signature of this Restated Certificate of Incorporation this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of August, 2023.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7"/>
                <w:szCs w:val="17"/>
                <w:color w:val="auto"/>
              </w:rPr>
              <w:t>EXLSERVICE HOLDINGS, INC.</w:t>
            </w:r>
          </w:p>
        </w:tc>
      </w:tr>
      <w:tr>
        <w:trPr>
          <w:trHeight w:val="223"/>
        </w:trPr>
        <w:tc>
          <w:tcPr>
            <w:tcW w:w="7780" w:type="dxa"/>
            <w:vAlign w:val="bottom"/>
          </w:tcPr>
          <w:p>
            <w:pPr>
              <w:ind w:left="712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Rohit Kapoor</w:t>
            </w:r>
          </w:p>
        </w:tc>
      </w:tr>
      <w:tr>
        <w:trPr>
          <w:trHeight w:val="216"/>
        </w:trPr>
        <w:tc>
          <w:tcPr>
            <w:tcW w:w="7780" w:type="dxa"/>
            <w:vAlign w:val="bottom"/>
          </w:tcPr>
          <w:p>
            <w:pPr>
              <w:ind w:left="7120"/>
              <w:spacing w:after="0"/>
              <w:rPr>
                <w:sz w:val="20"/>
                <w:szCs w:val="20"/>
                <w:color w:val="auto"/>
              </w:rPr>
            </w:pPr>
            <w:r>
              <w:rPr>
                <w:rFonts w:ascii="Arial" w:cs="Arial" w:eastAsia="Arial" w:hAnsi="Arial"/>
                <w:sz w:val="17"/>
                <w:szCs w:val="17"/>
                <w:color w:val="auto"/>
              </w:rPr>
              <w:t>Name:</w:t>
            </w:r>
          </w:p>
        </w:tc>
        <w:tc>
          <w:tcPr>
            <w:tcW w:w="3460" w:type="dxa"/>
            <w:vAlign w:val="bottom"/>
          </w:tcPr>
          <w:p>
            <w:pPr>
              <w:ind w:left="20"/>
              <w:spacing w:after="0"/>
              <w:rPr>
                <w:sz w:val="20"/>
                <w:szCs w:val="20"/>
                <w:color w:val="auto"/>
              </w:rPr>
            </w:pPr>
            <w:r>
              <w:rPr>
                <w:rFonts w:ascii="Arial" w:cs="Arial" w:eastAsia="Arial" w:hAnsi="Arial"/>
                <w:sz w:val="17"/>
                <w:szCs w:val="17"/>
                <w:color w:val="auto"/>
              </w:rPr>
              <w:t>Rohit Kapoor</w:t>
            </w:r>
          </w:p>
        </w:tc>
      </w:tr>
      <w:tr>
        <w:trPr>
          <w:trHeight w:val="172"/>
        </w:trPr>
        <w:tc>
          <w:tcPr>
            <w:tcW w:w="7780" w:type="dxa"/>
            <w:vAlign w:val="bottom"/>
          </w:tcPr>
          <w:p>
            <w:pPr>
              <w:ind w:left="7120"/>
              <w:spacing w:after="0" w:line="172" w:lineRule="exact"/>
              <w:rPr>
                <w:sz w:val="20"/>
                <w:szCs w:val="20"/>
                <w:color w:val="auto"/>
              </w:rPr>
            </w:pPr>
            <w:r>
              <w:rPr>
                <w:rFonts w:ascii="Arial" w:cs="Arial" w:eastAsia="Arial" w:hAnsi="Arial"/>
                <w:sz w:val="17"/>
                <w:szCs w:val="17"/>
                <w:color w:val="auto"/>
              </w:rPr>
              <w:t>Title:</w:t>
            </w:r>
          </w:p>
        </w:tc>
        <w:tc>
          <w:tcPr>
            <w:tcW w:w="3460" w:type="dxa"/>
            <w:vAlign w:val="bottom"/>
          </w:tcPr>
          <w:p>
            <w:pPr>
              <w:ind w:left="20"/>
              <w:spacing w:after="0" w:line="172" w:lineRule="exact"/>
              <w:rPr>
                <w:sz w:val="20"/>
                <w:szCs w:val="20"/>
                <w:color w:val="auto"/>
              </w:rPr>
            </w:pPr>
            <w:r>
              <w:rPr>
                <w:rFonts w:ascii="Arial" w:cs="Arial" w:eastAsia="Arial" w:hAnsi="Arial"/>
                <w:sz w:val="17"/>
                <w:szCs w:val="17"/>
                <w:color w:val="auto"/>
              </w:rPr>
              <w:t>Chief Executive Officer, Vice-</w:t>
            </w:r>
          </w:p>
        </w:tc>
      </w:tr>
      <w:tr>
        <w:trPr>
          <w:trHeight w:val="229"/>
        </w:trPr>
        <w:tc>
          <w:tcPr>
            <w:tcW w:w="77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Chairman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ANNEX 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SERIES B COMMON STOCK</w:t>
      </w:r>
    </w:p>
    <w:p>
      <w:pPr>
        <w:spacing w:after="0" w:line="238" w:lineRule="exact"/>
        <w:rPr>
          <w:sz w:val="20"/>
          <w:szCs w:val="20"/>
          <w:color w:val="auto"/>
        </w:rPr>
      </w:pPr>
    </w:p>
    <w:p>
      <w:pPr>
        <w:ind w:right="2500" w:firstLine="5"/>
        <w:spacing w:after="0" w:line="322" w:lineRule="auto"/>
        <w:tabs>
          <w:tab w:leader="none" w:pos="17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The holders of shares of Series B Common Stock (the “Series B Common Holders”) shall not be entitled or permitted to vote on any matter required or permitted to be voted on by the stockholders of the Corporation.</w:t>
      </w:r>
    </w:p>
    <w:p>
      <w:pPr>
        <w:spacing w:after="0" w:line="161" w:lineRule="exact"/>
        <w:rPr>
          <w:rFonts w:ascii="Arial" w:cs="Arial" w:eastAsia="Arial" w:hAnsi="Arial"/>
          <w:sz w:val="16"/>
          <w:szCs w:val="16"/>
          <w:color w:val="auto"/>
        </w:rPr>
      </w:pPr>
    </w:p>
    <w:p>
      <w:pPr>
        <w:ind w:left="180" w:hanging="175"/>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Conversion of Series B Common Stock</w:t>
      </w:r>
      <w:r>
        <w:rPr>
          <w:rFonts w:ascii="Arial" w:cs="Arial" w:eastAsia="Arial" w:hAnsi="Arial"/>
          <w:sz w:val="17"/>
          <w:szCs w:val="17"/>
          <w:color w:val="auto"/>
        </w:rPr>
        <w:t>.</w:t>
      </w:r>
    </w:p>
    <w:p>
      <w:pPr>
        <w:spacing w:after="0" w:line="26" w:lineRule="exact"/>
        <w:rPr>
          <w:sz w:val="20"/>
          <w:szCs w:val="20"/>
          <w:color w:val="auto"/>
        </w:rPr>
      </w:pPr>
    </w:p>
    <w:p>
      <w:pPr>
        <w:jc w:val="both"/>
        <w:ind w:firstLine="5"/>
        <w:spacing w:after="0" w:line="290" w:lineRule="auto"/>
        <w:tabs>
          <w:tab w:leader="none" w:pos="26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Immediately prior to the occurrence of a Conversion Event (as hereinafter defined), all of the outstanding shares of Series B Common Stock shall be converted, with no further action required by the Company and/or the holders of Series B Common Stock, into shares of Series A Common Stock at the Conversion Rate. The “Conversion Rate” shall initially be one (1) and may change, from time to time, in accordance with this Section 2 of this Annex A.</w:t>
      </w:r>
    </w:p>
    <w:p>
      <w:pPr>
        <w:spacing w:after="0" w:line="186" w:lineRule="exact"/>
        <w:rPr>
          <w:rFonts w:ascii="Arial" w:cs="Arial" w:eastAsia="Arial" w:hAnsi="Arial"/>
          <w:sz w:val="16"/>
          <w:szCs w:val="16"/>
          <w:color w:val="auto"/>
        </w:rPr>
      </w:pPr>
    </w:p>
    <w:p>
      <w:pPr>
        <w:jc w:val="both"/>
        <w:ind w:firstLine="5"/>
        <w:spacing w:after="0" w:line="283" w:lineRule="auto"/>
        <w:tabs>
          <w:tab w:leader="none" w:pos="2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Immediately prior to the occurrence of any Conversion Event, each Series B Common Holder shall surrender all certificates representing all of the Series B Common Stock held by such Series B Common Holder at the principal office of the Corporation (or such other office or agency of the Corporation as the Corporation may designate by notice in writing to the Series B Common Holders) at any time during normal business hours. Such conversion shall be deemed to have been effected as of the close of business on the date of the Conversion Event, and at such time, the rights of the Series B Common Holders shall cease and the person or persons in whose name or names the certificate or certificates for shares of Series A Common Stock are to be issued upon such conversion shall be deemed to have become holders of the Series A Common Stock represented thereby.</w:t>
      </w:r>
    </w:p>
    <w:p>
      <w:pPr>
        <w:spacing w:after="0" w:line="193" w:lineRule="exact"/>
        <w:rPr>
          <w:rFonts w:ascii="Arial" w:cs="Arial" w:eastAsia="Arial" w:hAnsi="Arial"/>
          <w:sz w:val="16"/>
          <w:szCs w:val="16"/>
          <w:color w:val="auto"/>
        </w:rPr>
      </w:pPr>
    </w:p>
    <w:p>
      <w:pPr>
        <w:ind w:firstLine="5"/>
        <w:spacing w:after="0" w:line="289" w:lineRule="auto"/>
        <w:tabs>
          <w:tab w:leader="none" w:pos="243"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Promptly after such surrender, the Corporation shall issue and deliver in accordance with the surrendering holder’s instructions the certificate or certificates for the Series A Common Stock issuable upon such conversion.</w:t>
      </w:r>
    </w:p>
    <w:p>
      <w:pPr>
        <w:spacing w:after="0" w:line="184" w:lineRule="exact"/>
        <w:rPr>
          <w:rFonts w:ascii="Arial" w:cs="Arial" w:eastAsia="Arial" w:hAnsi="Arial"/>
          <w:sz w:val="17"/>
          <w:szCs w:val="17"/>
          <w:color w:val="auto"/>
        </w:rPr>
      </w:pPr>
    </w:p>
    <w:p>
      <w:pPr>
        <w:jc w:val="both"/>
        <w:ind w:firstLine="5"/>
        <w:spacing w:after="0" w:line="290" w:lineRule="auto"/>
        <w:tabs>
          <w:tab w:leader="none" w:pos="25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case of, and as a condition to, any capital reorganization of, or any reclassification, subdivision or combination of shares of Series A Common Stock or Series B Common Stock into a greater or lesser number of shares (whether with or without par value) or a change in the par value of Series A Common Stock or Series B Common Stock (or from par value to no par value, or from no par value to par value) or in the case of, and as a condition to, the consolidation or merger of the Corporation with or into another corporation (other than a merger in which the Corporation is the continuing corporation and</w:t>
      </w:r>
    </w:p>
    <w:p>
      <w:pPr>
        <w:sectPr>
          <w:pgSz w:w="11900" w:h="16838" w:orient="portrait"/>
          <w:cols w:equalWidth="0" w:num="1">
            <w:col w:w="11240"/>
          </w:cols>
          <w:pgMar w:left="320" w:top="875" w:right="3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17"/>
          <w:szCs w:val="17"/>
          <w:color w:val="auto"/>
        </w:rPr>
        <w:t>which does not result in any reclassification of outstanding shares of Series A Common Stock or Series B Common Stock), the Conversion Rate shall be adjusted so that each share of Series B Common Stock shall be convertible, in accordance with the provisions of this Section 2 of this Annex A, into the number of shares of stock or other securities or property receivable upon such reorganization, reclassification, consolidation or merger by a holder of the number of shares of Series A Common Stock into which such share of Series B Common Stock was convertible immediately prior to such reorganization, reclassification, consolidation or merger; and, in any such case, appropriate adjustment shall be made in the application of the provisions set forth in this Section 2 of this Annex A with respect to the rights and interests thereafter of the Series B Common Stock to the end that the provisions set forth in this Section 2 of this Annex A (including provisions with respect to the Conversion Rate and the restrictions set forth in subparagraph (a)) shall thereafter be applicable, as nearly as they reasonably may be, in relation to any shares of stock or other securities or property thereafter deliverable upon the conversion of the shares of Series B Common Stock.</w:t>
      </w:r>
    </w:p>
    <w:p>
      <w:pPr>
        <w:spacing w:after="0" w:line="211" w:lineRule="exact"/>
        <w:rPr>
          <w:sz w:val="20"/>
          <w:szCs w:val="20"/>
          <w:color w:val="auto"/>
        </w:rPr>
      </w:pPr>
    </w:p>
    <w:p>
      <w:pPr>
        <w:ind w:left="240" w:hanging="235"/>
        <w:spacing w:after="0"/>
        <w:tabs>
          <w:tab w:leader="none" w:pos="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Shares of Series B Common Stock which are converted into shares of Series A Common Stock as provided herein shall not be reissued.</w:t>
      </w:r>
    </w:p>
    <w:p>
      <w:pPr>
        <w:spacing w:after="0" w:line="250" w:lineRule="exact"/>
        <w:rPr>
          <w:rFonts w:ascii="Arial" w:cs="Arial" w:eastAsia="Arial" w:hAnsi="Arial"/>
          <w:sz w:val="17"/>
          <w:szCs w:val="17"/>
          <w:color w:val="auto"/>
        </w:rPr>
      </w:pPr>
    </w:p>
    <w:p>
      <w:pPr>
        <w:jc w:val="both"/>
        <w:ind w:firstLine="5"/>
        <w:spacing w:after="0" w:line="273" w:lineRule="auto"/>
        <w:tabs>
          <w:tab w:leader="none" w:pos="21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Corporation shall at all times reserve and keep available out of its authorized but unissued shares of Series A Common Stock or its treasury shares solely for the purpose of issue upon the conversion of the Series B Common Stock as provided in this Section 2 of this Annex A, such number of shares of Series A Common Stock as shall then be issuable upon the conversion of all then outstanding shares of Series B Common Stock.</w:t>
      </w:r>
    </w:p>
    <w:p>
      <w:pPr>
        <w:spacing w:after="0" w:line="198" w:lineRule="exact"/>
        <w:rPr>
          <w:rFonts w:ascii="Arial" w:cs="Arial" w:eastAsia="Arial" w:hAnsi="Arial"/>
          <w:sz w:val="17"/>
          <w:szCs w:val="17"/>
          <w:color w:val="auto"/>
        </w:rPr>
      </w:pPr>
    </w:p>
    <w:p>
      <w:pPr>
        <w:jc w:val="both"/>
        <w:ind w:firstLine="5"/>
        <w:spacing w:after="0" w:line="290" w:lineRule="auto"/>
        <w:tabs>
          <w:tab w:leader="none" w:pos="2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issuance of certificates for Series A Common Stock upon the conversion of Series B Common Stock shall be made without charge to the holders of such shares for any issuance tax in respect thereof or other cost incurred by the Corporation in connection with such conversion and the related issuance of Series A Common Stock. The Corporation shall not close its books against the transfer of Series B Common Stock or of Series A Common Stock issued or issuable upon the conversion of Series B Common Stock in any manner which would interfere with the timely conversion of Series B Common Stock.</w:t>
      </w:r>
    </w:p>
    <w:p>
      <w:pPr>
        <w:spacing w:after="0" w:line="186" w:lineRule="exact"/>
        <w:rPr>
          <w:rFonts w:ascii="Arial" w:cs="Arial" w:eastAsia="Arial" w:hAnsi="Arial"/>
          <w:sz w:val="16"/>
          <w:szCs w:val="16"/>
          <w:color w:val="auto"/>
        </w:rPr>
      </w:pPr>
    </w:p>
    <w:p>
      <w:pPr>
        <w:jc w:val="both"/>
        <w:ind w:firstLine="5"/>
        <w:spacing w:after="0" w:line="286" w:lineRule="auto"/>
        <w:tabs>
          <w:tab w:leader="none" w:pos="2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purposes of this Section 2 of this Annex A, each of the following events shall constitute a Conversion Event: (i) the sale or other transfer or disposition of eighty percent or more of the issued and outstanding capital stock of the Corporation, or the sale, lease or other transfer or disposition of all or substantially all of the assets of the Corporation, in either case whether (A) directly or indirectly, by merger, combination or other similar transaction or (B) in a single transaction or a series of related transactions; (ii) the consummation of a sale of the common stock of the Corporation in a public offering, registered under the Securities Act of 1933; and (iii) any of the Series B Common Stock being held by any person free and clear of any vesting requirements.</w:t>
      </w:r>
    </w:p>
    <w:p>
      <w:pPr>
        <w:sectPr>
          <w:pgSz w:w="11900" w:h="16838" w:orient="portrait"/>
          <w:cols w:equalWidth="0" w:num="1">
            <w:col w:w="11240"/>
          </w:cols>
          <w:pgMar w:left="320" w:top="875"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 </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ANNEX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SERIES A PREFERRED STOCK</w:t>
      </w:r>
    </w:p>
    <w:p>
      <w:pPr>
        <w:spacing w:after="0" w:line="238" w:lineRule="exact"/>
        <w:rPr>
          <w:sz w:val="20"/>
          <w:szCs w:val="20"/>
          <w:color w:val="auto"/>
        </w:rPr>
      </w:pPr>
    </w:p>
    <w:p>
      <w:pPr>
        <w:ind w:firstLine="5"/>
        <w:spacing w:after="0" w:line="289" w:lineRule="auto"/>
        <w:tabs>
          <w:tab w:leader="none" w:pos="17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holders of shares of Series A Preferred Stock (the “Series A Preferred Holders”) shall not be entitled or permitted to vote on any matter required or permitted to be voted on by the stockholders of the Corporation.</w:t>
      </w:r>
    </w:p>
    <w:p>
      <w:pPr>
        <w:spacing w:after="0" w:line="184" w:lineRule="exact"/>
        <w:rPr>
          <w:rFonts w:ascii="Arial" w:cs="Arial" w:eastAsia="Arial" w:hAnsi="Arial"/>
          <w:sz w:val="17"/>
          <w:szCs w:val="17"/>
          <w:color w:val="auto"/>
        </w:rPr>
      </w:pPr>
    </w:p>
    <w:p>
      <w:pPr>
        <w:jc w:val="both"/>
        <w:ind w:firstLine="5"/>
        <w:spacing w:after="0" w:line="281" w:lineRule="auto"/>
        <w:tabs>
          <w:tab w:leader="none" w:pos="18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Series A Preferred Holders shall be entitled to receive annual dividends, as and when declared by the Board out of funds legally available therefor, as set forth herein. As an annual dividend, each Series A Preferred Holder shall be entitled to 10% of the Liquidation Preference (as defined below) per share then held by them, as adjusted for any stock split, combination or similar recapitalization with respect to such share. Such annual dividends shall be payable, at the election of the Corporation, in cash or in the form of an additional Liquidation Preference. Such dividends shall accrue annually but shall be paid only upon redemption, liquidation, or as otherwise declared by the Board. Such dividends shall be cumulative and shall accrue on a day–to–day basis, whether or not earned, from and after the day immediately succeeding the date the Series A Preferred Stock is issued. Dividends payable for any partial dividend period shall be computed on the basis of actual days elapsed over a 365 day year.</w:t>
      </w:r>
    </w:p>
    <w:p>
      <w:pPr>
        <w:spacing w:after="0" w:line="196" w:lineRule="exact"/>
        <w:rPr>
          <w:rFonts w:ascii="Arial" w:cs="Arial" w:eastAsia="Arial" w:hAnsi="Arial"/>
          <w:sz w:val="16"/>
          <w:szCs w:val="16"/>
          <w:color w:val="auto"/>
        </w:rPr>
      </w:pPr>
    </w:p>
    <w:p>
      <w:pPr>
        <w:ind w:left="180" w:hanging="175"/>
        <w:spacing w:after="0"/>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26" w:lineRule="exact"/>
        <w:rPr>
          <w:sz w:val="20"/>
          <w:szCs w:val="20"/>
          <w:color w:val="auto"/>
        </w:rPr>
      </w:pPr>
    </w:p>
    <w:p>
      <w:pPr>
        <w:jc w:val="both"/>
        <w:ind w:firstLine="5"/>
        <w:spacing w:after="0" w:line="277" w:lineRule="auto"/>
        <w:tabs>
          <w:tab w:leader="none" w:pos="2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of liquidation, dissolution or winding up of the Corporation, either voluntary or involuntary, the Series A Preferred Holders shall be entitled to receive, prior and in preference to any distribution of any assets or surplus funds of the Corporation to the holders of shares of Common Stock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Holders</w:t>
      </w:r>
      <w:r>
        <w:rPr>
          <w:rFonts w:ascii="Arial" w:cs="Arial" w:eastAsia="Arial" w:hAnsi="Arial"/>
          <w:sz w:val="16"/>
          <w:szCs w:val="16"/>
          <w:color w:val="auto"/>
        </w:rPr>
        <w:t>”) by reason of their ownership thereof, for each outstanding share of Series A Preferred Stock then held by them, an amount equal to: $100 per share of Series A Preferred Stock, plus any declared and unpaid dividends on such Series A Preferred Stock, as adjusted for any stock split, combination or similar recapitalization with respect to such shares, and as such amount is adjusted for any dividends payable as an additional Liquidation Preference, in accordance with Section 2 above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If, upon the occurrence of such event, the assets and funds thus distributed among the holders of the Series A Preferred Stock shall be insufficient to permit the payment to such holders of the full amount of the applicable Liquidation Preference, then the entire assets and funds of the Corporation legally available for distribution shall be distributed ratably among the holders of the Series A Preferred Stock in proportion to the Liquidation Preference each such holder is otherwise entitled to receive.</w:t>
      </w:r>
    </w:p>
    <w:p>
      <w:pPr>
        <w:spacing w:after="0" w:line="201" w:lineRule="exact"/>
        <w:rPr>
          <w:rFonts w:ascii="Arial" w:cs="Arial" w:eastAsia="Arial" w:hAnsi="Arial"/>
          <w:sz w:val="16"/>
          <w:szCs w:val="16"/>
          <w:color w:val="auto"/>
        </w:rPr>
      </w:pPr>
    </w:p>
    <w:p>
      <w:pPr>
        <w:jc w:val="both"/>
        <w:ind w:firstLine="5"/>
        <w:spacing w:after="0" w:line="268" w:lineRule="auto"/>
        <w:tabs>
          <w:tab w:leader="none" w:pos="2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After the payment to the holders of Series A Preferred Stock of the full preferential amounts specified in Section 3(a) above, no further payments shall be made to the holders of Series A Preferred Stock by reason thereof and any remaining assets of the Corporation shall then be distributed with equal priority and pro rata among the holders of Common Stock, based on the number of shares of Common Stock held by each such holder relative to the total number of outstanding shares of Common Stock.</w:t>
      </w:r>
    </w:p>
    <w:p>
      <w:pPr>
        <w:spacing w:after="0" w:line="202" w:lineRule="exact"/>
        <w:rPr>
          <w:rFonts w:ascii="Arial" w:cs="Arial" w:eastAsia="Arial" w:hAnsi="Arial"/>
          <w:sz w:val="17"/>
          <w:szCs w:val="17"/>
          <w:color w:val="auto"/>
        </w:rPr>
      </w:pPr>
    </w:p>
    <w:p>
      <w:pPr>
        <w:jc w:val="both"/>
        <w:ind w:firstLine="5"/>
        <w:spacing w:after="0" w:line="273" w:lineRule="auto"/>
        <w:tabs>
          <w:tab w:leader="none" w:pos="2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transaction that results in a change of voting control of the Corporation, including without limitation a reorganization, consolidation or merger of the Corporation with or into any other entity or person, or a sale, lease or conveyance of all or substantially all of the assets of the Corporation, shall be subject to the provisions of Section 5 of this Annex B.</w:t>
      </w:r>
    </w:p>
    <w:p>
      <w:pPr>
        <w:spacing w:after="0" w:line="198" w:lineRule="exact"/>
        <w:rPr>
          <w:rFonts w:ascii="Arial" w:cs="Arial" w:eastAsia="Arial" w:hAnsi="Arial"/>
          <w:sz w:val="17"/>
          <w:szCs w:val="17"/>
          <w:color w:val="auto"/>
        </w:rPr>
      </w:pPr>
    </w:p>
    <w:p>
      <w:pPr>
        <w:ind w:firstLine="5"/>
        <w:spacing w:after="0" w:line="289" w:lineRule="auto"/>
        <w:tabs>
          <w:tab w:leader="none" w:pos="2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purposes of this Section 3, a liquidation, dissolution or winding up of the Corporation shall be deemed to be occasioned by, and to include, the events set forth in Section 5(a) of this Annex B.</w:t>
      </w:r>
    </w:p>
    <w:p>
      <w:pPr>
        <w:spacing w:after="0" w:line="185" w:lineRule="exact"/>
        <w:rPr>
          <w:sz w:val="20"/>
          <w:szCs w:val="20"/>
          <w:color w:val="auto"/>
        </w:rPr>
      </w:pPr>
    </w:p>
    <w:p>
      <w:pPr>
        <w:ind w:left="180" w:hanging="175"/>
        <w:spacing w:after="0"/>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Redemption</w:t>
      </w:r>
      <w:r>
        <w:rPr>
          <w:rFonts w:ascii="Arial" w:cs="Arial" w:eastAsia="Arial" w:hAnsi="Arial"/>
          <w:sz w:val="17"/>
          <w:szCs w:val="17"/>
          <w:color w:val="auto"/>
        </w:rPr>
        <w:t>.</w:t>
      </w:r>
    </w:p>
    <w:p>
      <w:pPr>
        <w:spacing w:after="0" w:line="26" w:lineRule="exact"/>
        <w:rPr>
          <w:sz w:val="20"/>
          <w:szCs w:val="20"/>
          <w:color w:val="auto"/>
        </w:rPr>
      </w:pPr>
    </w:p>
    <w:p>
      <w:pPr>
        <w:ind w:left="240" w:hanging="235"/>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By the Corporation</w:t>
      </w:r>
      <w:r>
        <w:rPr>
          <w:rFonts w:ascii="Arial" w:cs="Arial" w:eastAsia="Arial" w:hAnsi="Arial"/>
          <w:sz w:val="17"/>
          <w:szCs w:val="17"/>
          <w:color w:val="auto"/>
        </w:rPr>
        <w:t>.</w:t>
      </w:r>
    </w:p>
    <w:p>
      <w:pPr>
        <w:spacing w:after="0" w:line="14" w:lineRule="exact"/>
        <w:rPr>
          <w:sz w:val="20"/>
          <w:szCs w:val="20"/>
          <w:color w:val="auto"/>
        </w:rPr>
      </w:pPr>
    </w:p>
    <w:p>
      <w:pPr>
        <w:jc w:val="both"/>
        <w:ind w:firstLine="5"/>
        <w:spacing w:after="0" w:line="263" w:lineRule="auto"/>
        <w:tabs>
          <w:tab w:leader="none" w:pos="2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Corporation may, at its option, and at any time, redeem, at the applicable Redemption Price (as determined in Section 4(d) below), all (but not a portion) of the Series A Preferred Stock outstanding on the Corporation Redemption Date (as defined in Section 4(a)(ii) below). The Corporation shall give notice pursuant to this Section 4 to all of the holders of the then outstanding Series A Preferred Stock at the address of each such holder appearing on the books of the Corporation or given by such holder to the Corporation for the purpose of notice.</w:t>
      </w:r>
    </w:p>
    <w:p>
      <w:pPr>
        <w:spacing w:after="0" w:line="206" w:lineRule="exact"/>
        <w:rPr>
          <w:rFonts w:ascii="Arial" w:cs="Arial" w:eastAsia="Arial" w:hAnsi="Arial"/>
          <w:sz w:val="17"/>
          <w:szCs w:val="17"/>
          <w:color w:val="auto"/>
        </w:rPr>
      </w:pPr>
    </w:p>
    <w:p>
      <w:pPr>
        <w:jc w:val="both"/>
        <w:ind w:firstLine="5"/>
        <w:spacing w:after="0" w:line="265" w:lineRule="auto"/>
        <w:tabs>
          <w:tab w:leader="none" w:pos="257"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If the Corporation elects to redeem Series A Preferred Stock in accordance with Section 4(a)(i), the Corporation shall mail a notice of redemption (the “</w:t>
      </w:r>
      <w:r>
        <w:rPr>
          <w:rFonts w:ascii="Arial" w:cs="Arial" w:eastAsia="Arial" w:hAnsi="Arial"/>
          <w:sz w:val="17"/>
          <w:szCs w:val="17"/>
          <w:u w:val="single" w:color="auto"/>
          <w:color w:val="auto"/>
        </w:rPr>
        <w:t>Corporation Redemption Notice</w:t>
      </w:r>
      <w:r>
        <w:rPr>
          <w:rFonts w:ascii="Arial" w:cs="Arial" w:eastAsia="Arial" w:hAnsi="Arial"/>
          <w:sz w:val="17"/>
          <w:szCs w:val="17"/>
          <w:color w:val="auto"/>
        </w:rPr>
        <w:t>”) to each Series A Preferred Holder of record, addressed to such Series A Preferred Holder at the address of such Series A Preferred Holder appearing on the books of the Corporation or given by the Series A Preferred Holder to the Corporation for the purpose of the notice, not earlier than sixty (60) nor later than twenty (20) days before the date fixed for a redemption pursuant to this Section 4(a) (the “</w:t>
      </w:r>
      <w:r>
        <w:rPr>
          <w:rFonts w:ascii="Arial" w:cs="Arial" w:eastAsia="Arial" w:hAnsi="Arial"/>
          <w:sz w:val="17"/>
          <w:szCs w:val="17"/>
          <w:u w:val="single" w:color="auto"/>
          <w:color w:val="auto"/>
        </w:rPr>
        <w:t>Corporation Redemption Date</w:t>
      </w:r>
      <w:r>
        <w:rPr>
          <w:rFonts w:ascii="Arial" w:cs="Arial" w:eastAsia="Arial" w:hAnsi="Arial"/>
          <w:sz w:val="17"/>
          <w:szCs w:val="17"/>
          <w:color w:val="auto"/>
        </w:rPr>
        <w:t>”). The notice of redemption shall include (i) the shares to be redeemed, (ii) the Corporation Redemption Date,</w:t>
      </w:r>
    </w:p>
    <w:p>
      <w:pPr>
        <w:sectPr>
          <w:pgSz w:w="11900" w:h="16838" w:orient="portrait"/>
          <w:cols w:equalWidth="0" w:num="1">
            <w:col w:w="11240"/>
          </w:cols>
          <w:pgMar w:left="320" w:top="111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(iii) the Redemption Price and (iv) the place at which the stockholders may obtain payment of the Redemption Price upon surrender of their share certificates.</w:t>
      </w:r>
    </w:p>
    <w:p>
      <w:pPr>
        <w:spacing w:after="0" w:line="262" w:lineRule="exact"/>
        <w:rPr>
          <w:sz w:val="20"/>
          <w:szCs w:val="20"/>
          <w:color w:val="auto"/>
        </w:rPr>
      </w:pPr>
    </w:p>
    <w:p>
      <w:pPr>
        <w:jc w:val="both"/>
        <w:ind w:firstLine="5"/>
        <w:spacing w:after="0" w:line="265" w:lineRule="auto"/>
        <w:tabs>
          <w:tab w:leader="none" w:pos="31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Cessation of Rights.</w:t>
      </w:r>
      <w:r>
        <w:rPr>
          <w:rFonts w:ascii="Arial" w:cs="Arial" w:eastAsia="Arial" w:hAnsi="Arial"/>
          <w:sz w:val="17"/>
          <w:szCs w:val="17"/>
          <w:color w:val="auto"/>
        </w:rPr>
        <w:t xml:space="preserve"> If funds are available on the date fixed for a redemption of the Series A Preferred Stock, then whether or not the share certificates, representing shares which are to be redeemed, are surrendered for payment of the applicable redemption price, the shares which are redeemed shall no longer be outstanding and the holders thereof shall cease to be stockholders of the Corporation with respect to the shares redeemed on or after the date fixed for redemption and shall be entitled only to receive the applicable redemption price for such redeemed shares, without interest, upon surrender of the share certificates, representing the redeemed shares.</w:t>
      </w:r>
    </w:p>
    <w:p>
      <w:pPr>
        <w:spacing w:after="0" w:line="206"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By the Holders of Series A Preferred Stock.</w:t>
      </w:r>
    </w:p>
    <w:p>
      <w:pPr>
        <w:spacing w:after="0" w:line="26" w:lineRule="exact"/>
        <w:rPr>
          <w:sz w:val="20"/>
          <w:szCs w:val="20"/>
          <w:color w:val="auto"/>
        </w:rPr>
      </w:pPr>
    </w:p>
    <w:p>
      <w:pPr>
        <w:jc w:val="both"/>
        <w:ind w:firstLine="5"/>
        <w:spacing w:after="0" w:line="275" w:lineRule="auto"/>
        <w:tabs>
          <w:tab w:leader="none" w:pos="212"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the occurrence of a Mandatory Redemption Event (as defined in this Section 4(b)(i)), the holders of more than 50% of the outstanding shares of Series A Preferred Stock shall be entitled to require, at any time within one hundred eighty (180) days of the Mandatory Redemption Event, the Corporation to redeem, at the applicable Redemption Price, all shares of the Series A Preferred Stock held by the Series A Preferred Holders and submitted for redemption on the Mandatory Redemption Date (as defined in Section 4(b)(ii) below). For the purposes of this paragraph, a “</w:t>
      </w:r>
      <w:r>
        <w:rPr>
          <w:rFonts w:ascii="Arial" w:cs="Arial" w:eastAsia="Arial" w:hAnsi="Arial"/>
          <w:sz w:val="16"/>
          <w:szCs w:val="16"/>
          <w:u w:val="single" w:color="auto"/>
          <w:color w:val="auto"/>
        </w:rPr>
        <w:t>Mandatory Redemption Event</w:t>
      </w:r>
      <w:r>
        <w:rPr>
          <w:rFonts w:ascii="Arial" w:cs="Arial" w:eastAsia="Arial" w:hAnsi="Arial"/>
          <w:sz w:val="16"/>
          <w:szCs w:val="16"/>
          <w:color w:val="auto"/>
        </w:rPr>
        <w:t>” shall be the occurrence of any of the following events: (A) any representation or warranty made by Conseco, Inc., an Indiana corporation (“</w:t>
      </w:r>
      <w:r>
        <w:rPr>
          <w:rFonts w:ascii="Arial" w:cs="Arial" w:eastAsia="Arial" w:hAnsi="Arial"/>
          <w:sz w:val="16"/>
          <w:szCs w:val="16"/>
          <w:u w:val="single" w:color="auto"/>
          <w:color w:val="auto"/>
        </w:rPr>
        <w:t>Conseco</w:t>
      </w:r>
      <w:r>
        <w:rPr>
          <w:rFonts w:ascii="Arial" w:cs="Arial" w:eastAsia="Arial" w:hAnsi="Arial"/>
          <w:sz w:val="16"/>
          <w:szCs w:val="16"/>
          <w:color w:val="auto"/>
        </w:rPr>
        <w:t>”), under the Stock Purchase Agreement by and among Oak Hill Capital Partners, L.P., a Delaware limited partnership (“</w:t>
      </w:r>
      <w:r>
        <w:rPr>
          <w:rFonts w:ascii="Arial" w:cs="Arial" w:eastAsia="Arial" w:hAnsi="Arial"/>
          <w:sz w:val="16"/>
          <w:szCs w:val="16"/>
          <w:u w:val="single" w:color="auto"/>
          <w:color w:val="auto"/>
        </w:rPr>
        <w:t>Oak Hill</w:t>
      </w:r>
      <w:r>
        <w:rPr>
          <w:rFonts w:ascii="Arial" w:cs="Arial" w:eastAsia="Arial" w:hAnsi="Arial"/>
          <w:sz w:val="16"/>
          <w:szCs w:val="16"/>
          <w:color w:val="auto"/>
        </w:rPr>
        <w:t>”), Financial Technology Ventures (Q), L.P., a Delaware limited partnership, and certain of its affiliates, Conseco, the Corporation and certain of the Corporation’s subsidiaries dated November 14, 2002 (the “</w:t>
      </w:r>
      <w:r>
        <w:rPr>
          <w:rFonts w:ascii="Arial" w:cs="Arial" w:eastAsia="Arial" w:hAnsi="Arial"/>
          <w:sz w:val="16"/>
          <w:szCs w:val="16"/>
          <w:u w:val="single" w:color="auto"/>
          <w:color w:val="auto"/>
        </w:rPr>
        <w:t>Stock Purchase Agreement</w:t>
      </w:r>
      <w:r>
        <w:rPr>
          <w:rFonts w:ascii="Arial" w:cs="Arial" w:eastAsia="Arial" w:hAnsi="Arial"/>
          <w:sz w:val="16"/>
          <w:szCs w:val="16"/>
          <w:color w:val="auto"/>
        </w:rPr>
        <w:t>”), is materially inaccurate or breached in any material respect (without regard to any materiality qualifications or limitations on the survival of the representations and warranties contained in the Stock Purchase Agreement); (B) a material adverse change, after the date hereof, in the condition, financial or otherwise, business, properties, assets, results of operations or prospects of the Corporation or its subsidiaries; (C) during the period between April 1, 2003 and December 31, 2003, the aggregate consolidated revenue of the subsidiaries of the Corporation for any three consecutive calendar months shall be twenty five percent (25%) below the anticipated revenue for such period, as reflected in the operating plan provided to Oak Hill on October 15, 2002 (the “Plan”); or (D) during the period between April 1, 2003 and December 31, 2003, the aggregate consolidated net cash flow, as such term is used in the Plan, for any three consecutive calendar months, is twenty five percent (25%) below the anticipated net cash flow for such period, as reflected in the Plan. If the funds of the Corporation legally available for redemption of shares of Series A Preferred Stock on any Mandatory Redemption Date are insufficient to redeem the total number of shares of Series A Preferred Stock submitted for redemption on such Mandatory Redemption Date, those funds which are legally available will be used to first redeem as many shares of Series A Preferred Stock as may be lawfully redeemed and that were submitted for redemption by holders thereof. At any time thereafter when additional funds of the Corporation are legally available for the redemption of shares of Series A Preferred Stock, such funds will immediately be used to redeem the balance of the shares which the Corporation has become obliged to redeem on any Mandatory Redemption Date (or such lesser maximum amount that shall be lawful at such time), but which it has not redeemed.</w:t>
      </w:r>
    </w:p>
    <w:p>
      <w:pPr>
        <w:spacing w:after="0" w:line="204" w:lineRule="exact"/>
        <w:rPr>
          <w:rFonts w:ascii="Arial" w:cs="Arial" w:eastAsia="Arial" w:hAnsi="Arial"/>
          <w:sz w:val="16"/>
          <w:szCs w:val="16"/>
          <w:color w:val="auto"/>
        </w:rPr>
      </w:pPr>
    </w:p>
    <w:p>
      <w:pPr>
        <w:jc w:val="both"/>
        <w:ind w:firstLine="5"/>
        <w:spacing w:after="0" w:line="278" w:lineRule="auto"/>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Immediately upon receipt of a demand for redemption pursuant to Section 4 (b), the Corporation shall give written notice (the “</w:t>
      </w: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Redemption Notice</w:t>
      </w:r>
      <w:r>
        <w:rPr>
          <w:rFonts w:ascii="Arial" w:cs="Arial" w:eastAsia="Arial" w:hAnsi="Arial"/>
          <w:sz w:val="16"/>
          <w:szCs w:val="16"/>
          <w:color w:val="auto"/>
        </w:rPr>
        <w:t>”) to all of the Series A Preferred Holders of record, addressed to each Series A Preferred Holder at the address of such Series A Preferred Holder appearing on the books of the Corporation or given by such Series A Preferred Holder to the Corporation for the purpose of the notice; such Mandatory Redemption Notice shall include: (a) a date fixed for redemption which shall be within thirty (30) days after the Corporation receives a demand for redemption pursuant to Section 4(b) (the “</w:t>
      </w:r>
      <w:r>
        <w:rPr>
          <w:rFonts w:ascii="Arial" w:cs="Arial" w:eastAsia="Arial" w:hAnsi="Arial"/>
          <w:sz w:val="16"/>
          <w:szCs w:val="16"/>
          <w:u w:val="single" w:color="auto"/>
          <w:color w:val="auto"/>
        </w:rPr>
        <w:t>Mandatory Redemption Date</w:t>
      </w:r>
      <w:r>
        <w:rPr>
          <w:rFonts w:ascii="Arial" w:cs="Arial" w:eastAsia="Arial" w:hAnsi="Arial"/>
          <w:sz w:val="16"/>
          <w:szCs w:val="16"/>
          <w:color w:val="auto"/>
        </w:rPr>
        <w:t>”) and (b) the Redemption Price. Each share of Series A Preferred Stock submitted for redemption in accordance with this Section 4(b) shall be redeemed on the Mandatory Redemption Date at the applicable Redemption Price. On or prior to the Mandatory Redemption Date, each holder of shares of Series A Preferred Stock submitted for redemption shall surrender the certificate or certificates evidencing such shares to the Corporation, at the place designated in the Mandatory Redemption Notice and shall thereupon be entitled to receive payment of the appropriate Redemption Price. The Corporation shall be under no obligation to redeem, pursuant to this Section 4(b), shares of Series A Preferred Stock (A) for which no stock certificate or affidavit of lost stock certificate is surrendered on or prior to such Mandatory Redemption Date or (B) to the extent that any such redemption would be in violation of applicable law.</w:t>
      </w:r>
    </w:p>
    <w:p>
      <w:pPr>
        <w:spacing w:after="0" w:line="199" w:lineRule="exact"/>
        <w:rPr>
          <w:rFonts w:ascii="Arial" w:cs="Arial" w:eastAsia="Arial" w:hAnsi="Arial"/>
          <w:sz w:val="16"/>
          <w:szCs w:val="16"/>
          <w:color w:val="auto"/>
        </w:rPr>
      </w:pPr>
    </w:p>
    <w:p>
      <w:pPr>
        <w:jc w:val="both"/>
        <w:ind w:firstLine="5"/>
        <w:spacing w:after="0" w:line="265" w:lineRule="auto"/>
        <w:tabs>
          <w:tab w:leader="none" w:pos="30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Cessation of Rights</w:t>
      </w:r>
      <w:r>
        <w:rPr>
          <w:rFonts w:ascii="Arial" w:cs="Arial" w:eastAsia="Arial" w:hAnsi="Arial"/>
          <w:sz w:val="17"/>
          <w:szCs w:val="17"/>
          <w:color w:val="auto"/>
        </w:rPr>
        <w:t>. Subject to the last sentence of 4(b)(i) this Annex B, from and after the applicable Mandatory Redemption Date, unless there shall have been a default in payment of the appropriate Redemption Price, all rights of the holders of shares of the Series A Preferred Stock submitted for redemption in response to a Redemption Notice (except the right to receive the Redemption Price without interest upon surrender of their certificate or certificates) shall cease with respect to such shares of Series A Preferred Stock, and such shares of Series A Preferred Stock shall not thereafter be outstanding for any purpose whatsoever.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 [Intentionally omitted]</w:t>
      </w:r>
    </w:p>
    <w:p>
      <w:pPr>
        <w:sectPr>
          <w:pgSz w:w="11900" w:h="16838" w:orient="portrait"/>
          <w:cols w:equalWidth="0" w:num="1">
            <w:col w:w="11240"/>
          </w:cols>
          <w:pgMar w:left="320" w:top="875" w:right="339" w:bottom="1440" w:gutter="0" w:footer="0" w:header="0"/>
        </w:sectPr>
      </w:pPr>
    </w:p>
    <w:bookmarkStart w:id="67" w:name="page68"/>
    <w:bookmarkEnd w:id="67"/>
    <w:p>
      <w:pPr>
        <w:ind w:firstLine="5"/>
        <w:spacing w:after="0" w:line="289" w:lineRule="auto"/>
        <w:tabs>
          <w:tab w:leader="none" w:pos="24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Redemption Price</w:t>
      </w:r>
      <w:r>
        <w:rPr>
          <w:rFonts w:ascii="Arial" w:cs="Arial" w:eastAsia="Arial" w:hAnsi="Arial"/>
          <w:sz w:val="17"/>
          <w:szCs w:val="17"/>
          <w:color w:val="auto"/>
        </w:rPr>
        <w:t>. For the purposes of this Section 4 of this Annex B, as of any date, the applicable redemption price shall equal the applicable Liquidation Preference, including accrued but unpaid dividends, as of such date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w:t>
      </w:r>
    </w:p>
    <w:p>
      <w:pPr>
        <w:spacing w:after="0" w:line="185" w:lineRule="exact"/>
        <w:rPr>
          <w:sz w:val="20"/>
          <w:szCs w:val="20"/>
          <w:color w:val="auto"/>
        </w:rPr>
      </w:pPr>
    </w:p>
    <w:p>
      <w:pPr>
        <w:ind w:left="180" w:hanging="175"/>
        <w:spacing w:after="0"/>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Merger, Consolidation.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 At any time, in the event of:</w:t>
      </w:r>
    </w:p>
    <w:p>
      <w:pPr>
        <w:spacing w:after="0" w:line="14" w:lineRule="exact"/>
        <w:rPr>
          <w:sz w:val="20"/>
          <w:szCs w:val="20"/>
          <w:color w:val="auto"/>
        </w:rPr>
      </w:pPr>
    </w:p>
    <w:p>
      <w:pPr>
        <w:jc w:val="both"/>
        <w:ind w:firstLine="5"/>
        <w:spacing w:after="0" w:line="266" w:lineRule="auto"/>
        <w:tabs>
          <w:tab w:leader="none" w:pos="229"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consolidation or merger of the Corporation or any of its direct or indirect subsidiaries in one or a series of related transactions with or into any other corporation, or any other entity or person in which the stockholders of the Corporation immediately prior to such transaction hold in the aggregate less than one-half of the outstanding voting securities of the surviving entity after the merger,</w:t>
      </w:r>
    </w:p>
    <w:p>
      <w:pPr>
        <w:spacing w:after="0" w:line="203" w:lineRule="exact"/>
        <w:rPr>
          <w:rFonts w:ascii="Arial" w:cs="Arial" w:eastAsia="Arial" w:hAnsi="Arial"/>
          <w:sz w:val="17"/>
          <w:szCs w:val="17"/>
          <w:color w:val="auto"/>
        </w:rPr>
      </w:pPr>
    </w:p>
    <w:p>
      <w:pPr>
        <w:ind w:firstLine="5"/>
        <w:spacing w:after="0" w:line="289" w:lineRule="auto"/>
        <w:tabs>
          <w:tab w:leader="none" w:pos="2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corporate reorganization in which the stockholders of the Corporation immediately prior to such transaction control or hold in the aggregate less than one-half of the outstanding voting securities of the surviving entity after the merger,</w:t>
      </w:r>
    </w:p>
    <w:p>
      <w:pPr>
        <w:spacing w:after="0" w:line="184" w:lineRule="exact"/>
        <w:rPr>
          <w:rFonts w:ascii="Arial" w:cs="Arial" w:eastAsia="Arial" w:hAnsi="Arial"/>
          <w:sz w:val="17"/>
          <w:szCs w:val="17"/>
          <w:color w:val="auto"/>
        </w:rPr>
      </w:pPr>
    </w:p>
    <w:p>
      <w:pPr>
        <w:ind w:firstLine="5"/>
        <w:spacing w:after="0" w:line="289" w:lineRule="auto"/>
        <w:tabs>
          <w:tab w:leader="none" w:pos="3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sale, lease or conveyance of all or substantially all of the assets of the Corporation or any of its direct or indirect subsidiaries in one or a series of related transactions, or</w:t>
      </w:r>
    </w:p>
    <w:p>
      <w:pPr>
        <w:spacing w:after="0" w:line="184" w:lineRule="exact"/>
        <w:rPr>
          <w:rFonts w:ascii="Arial" w:cs="Arial" w:eastAsia="Arial" w:hAnsi="Arial"/>
          <w:sz w:val="17"/>
          <w:szCs w:val="17"/>
          <w:color w:val="auto"/>
        </w:rPr>
      </w:pPr>
    </w:p>
    <w:p>
      <w:pPr>
        <w:jc w:val="both"/>
        <w:ind w:firstLine="5"/>
        <w:spacing w:after="0" w:line="264" w:lineRule="auto"/>
        <w:tabs>
          <w:tab w:leader="none" w:pos="303"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reorganization of the Corporation as defined in Section 368(a)(1)(B) of the Internal Revenue Code of 1986 or in which more than fifty percent (50%) of the outstanding stock of the Corporation is exchanged (calculated on an as-converted to Common Stock basis), then, in any such case, the holders of the Series A Preferred Stock shall be paid an amount of cash or securities (or a combination thereof) received from the acquiring corporation, person or entity, as applicable, at the closing of any such transaction, that is equal to the amount per share that would be payable to the holders of the Series A Preferred Stock as if all such consideration received by the Corporation and its shareholders in connection with such event were being distributed in a liquidation of the Corporation pursuant to Section 3 hereof.</w:t>
      </w:r>
    </w:p>
    <w:p>
      <w:pPr>
        <w:spacing w:after="0" w:line="205" w:lineRule="exact"/>
        <w:rPr>
          <w:sz w:val="20"/>
          <w:szCs w:val="20"/>
          <w:color w:val="auto"/>
        </w:rPr>
      </w:pPr>
    </w:p>
    <w:p>
      <w:pPr>
        <w:ind w:left="260" w:hanging="255"/>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securities to be delivered to the holders of the Series A Preferred Stock pursuant to this Section 5 of this Annex B shall be valued as follows:</w:t>
      </w:r>
    </w:p>
    <w:p>
      <w:pPr>
        <w:spacing w:after="0" w:line="250" w:lineRule="exact"/>
        <w:rPr>
          <w:rFonts w:ascii="Arial" w:cs="Arial" w:eastAsia="Arial" w:hAnsi="Arial"/>
          <w:sz w:val="17"/>
          <w:szCs w:val="17"/>
          <w:color w:val="auto"/>
        </w:rPr>
      </w:pPr>
    </w:p>
    <w:p>
      <w:pPr>
        <w:ind w:left="220" w:hanging="215"/>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securities not subject to restrictions on free marketability covered by Section 5(b)(ii) below:</w:t>
      </w:r>
    </w:p>
    <w:p>
      <w:pPr>
        <w:spacing w:after="0" w:line="250" w:lineRule="exact"/>
        <w:rPr>
          <w:sz w:val="20"/>
          <w:szCs w:val="20"/>
          <w:color w:val="auto"/>
        </w:rPr>
      </w:pPr>
    </w:p>
    <w:p>
      <w:pPr>
        <w:ind w:firstLine="5"/>
        <w:spacing w:after="0" w:line="289" w:lineRule="auto"/>
        <w:tabs>
          <w:tab w:leader="none" w:pos="3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traded on a securities exchange, the value shall be deemed to be the average of the security’s closing prices on such exchange over the 30-day period ending three (3) days prior to the closing;</w:t>
      </w:r>
    </w:p>
    <w:p>
      <w:pPr>
        <w:spacing w:after="0" w:line="184" w:lineRule="exact"/>
        <w:rPr>
          <w:rFonts w:ascii="Arial" w:cs="Arial" w:eastAsia="Arial" w:hAnsi="Arial"/>
          <w:sz w:val="17"/>
          <w:szCs w:val="17"/>
          <w:color w:val="auto"/>
        </w:rPr>
      </w:pPr>
    </w:p>
    <w:p>
      <w:pPr>
        <w:ind w:firstLine="5"/>
        <w:spacing w:after="0" w:line="289" w:lineRule="auto"/>
        <w:tabs>
          <w:tab w:leader="none" w:pos="277"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actively traded over-the-counter, the value shall be deemed to be the average of the closing bid prices over the 30-day period ending three (3) days prior to the closing; and</w:t>
      </w:r>
    </w:p>
    <w:p>
      <w:pPr>
        <w:spacing w:after="0" w:line="184" w:lineRule="exact"/>
        <w:rPr>
          <w:rFonts w:ascii="Arial" w:cs="Arial" w:eastAsia="Arial" w:hAnsi="Arial"/>
          <w:sz w:val="17"/>
          <w:szCs w:val="17"/>
          <w:color w:val="auto"/>
        </w:rPr>
      </w:pPr>
    </w:p>
    <w:p>
      <w:pPr>
        <w:ind w:firstLine="5"/>
        <w:spacing w:after="0" w:line="289" w:lineRule="auto"/>
        <w:tabs>
          <w:tab w:leader="none" w:pos="287"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mutually determined by the Corporation and the holders of not less than a majority of the outstanding Series A Preferred Stock.</w:t>
      </w:r>
    </w:p>
    <w:p>
      <w:pPr>
        <w:spacing w:after="0" w:line="185" w:lineRule="exact"/>
        <w:rPr>
          <w:sz w:val="20"/>
          <w:szCs w:val="20"/>
          <w:color w:val="auto"/>
        </w:rPr>
      </w:pPr>
    </w:p>
    <w:p>
      <w:pPr>
        <w:jc w:val="both"/>
        <w:ind w:firstLine="5"/>
        <w:spacing w:after="0" w:line="273" w:lineRule="auto"/>
        <w:tabs>
          <w:tab w:leader="none" w:pos="25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method of valuation of securities subject to restrictions on free marketability shall be to make an appropriate discount from the market value determined as above in Section 5(b)(i)(A)(B) or (C) to reflect the approximate fair market value thereof, as mutually determined by the Corporation and the holders of not less than a majority of the outstanding Series A Preferred Stock.</w:t>
      </w:r>
    </w:p>
    <w:p>
      <w:pPr>
        <w:spacing w:after="0" w:line="198" w:lineRule="exact"/>
        <w:rPr>
          <w:rFonts w:ascii="Arial" w:cs="Arial" w:eastAsia="Arial" w:hAnsi="Arial"/>
          <w:sz w:val="17"/>
          <w:szCs w:val="17"/>
          <w:color w:val="auto"/>
        </w:rPr>
      </w:pPr>
    </w:p>
    <w:p>
      <w:pPr>
        <w:jc w:val="both"/>
        <w:ind w:firstLine="5"/>
        <w:spacing w:after="0" w:line="298" w:lineRule="auto"/>
        <w:tabs>
          <w:tab w:leader="none" w:pos="30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event of any dispute between the Corporation and the holders of Series A Preferred Stock regarding valuation issues as provided in this Section 5(b), such dispute shall be submitted to binding arbitration in accordance with the currently prevailing commercial arbitration rules of the American Arbitration Association. The decisions and awards rendered in such proceedings shall be final and conclusive and may be entered in any court having jurisdiction thereof.</w:t>
      </w:r>
    </w:p>
    <w:p>
      <w:pPr>
        <w:spacing w:after="0" w:line="180" w:lineRule="exact"/>
        <w:rPr>
          <w:sz w:val="20"/>
          <w:szCs w:val="20"/>
          <w:color w:val="auto"/>
        </w:rPr>
      </w:pPr>
    </w:p>
    <w:p>
      <w:pPr>
        <w:jc w:val="both"/>
        <w:ind w:firstLine="5"/>
        <w:spacing w:after="0" w:line="262" w:lineRule="auto"/>
        <w:tabs>
          <w:tab w:leader="none" w:pos="2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Corporation shall give each holder of record of Series A Preferred Stock written notice of such proposed transaction not later than twenty (20) days prior to the stockholders’ meeting called to approve any transaction described in Section 5(a) hereof, or twenty (20) days prior to the closing of such transaction, whichever is earlier, and shall also notify such holders in writing of the final approval of such transaction. The first of said notices shall describe the material terms and conditions of the contemplated transaction as well as the terms and conditions of this Section 5, and the Corporation shall thereafter give such holders prompt notice of any material changes in such proposed transaction. The transaction shall in no event take place sooner than (i) twenty (20) days after the mailing by the Corporation of the first notice provided for herein, or (ii) fifteen (15) days after the mailing by the Corporation of any additional notice of material changes provided for herein; provided, however, that such periods may be shortened upon the written consent of the holders of at least a majority of the then outstanding Series A</w:t>
      </w:r>
    </w:p>
    <w:p>
      <w:pPr>
        <w:sectPr>
          <w:pgSz w:w="11900" w:h="16838" w:orient="portrait"/>
          <w:cols w:equalWidth="0" w:num="1">
            <w:col w:w="11240"/>
          </w:cols>
          <w:pgMar w:left="320" w:top="1111" w:right="339" w:bottom="1440" w:gutter="0" w:footer="0" w:header="0"/>
        </w:sectPr>
      </w:pPr>
    </w:p>
    <w:bookmarkStart w:id="68" w:name="page69"/>
    <w:bookmarkEnd w:id="68"/>
    <w:p>
      <w:pPr>
        <w:spacing w:after="0"/>
        <w:rPr>
          <w:sz w:val="20"/>
          <w:szCs w:val="20"/>
          <w:color w:val="auto"/>
        </w:rPr>
      </w:pPr>
      <w:r>
        <w:rPr>
          <w:rFonts w:ascii="Arial" w:cs="Arial" w:eastAsia="Arial" w:hAnsi="Arial"/>
          <w:sz w:val="15"/>
          <w:szCs w:val="15"/>
          <w:color w:val="auto"/>
        </w:rPr>
        <w:t>Preferred Stock, but not to the extent of having the effect of depriving any holder of Series A Preferred Stock of actual notice of the impending transaction.</w:t>
      </w:r>
    </w:p>
    <w:p>
      <w:pPr>
        <w:sectPr>
          <w:pgSz w:w="11900" w:h="16838" w:orient="portrait"/>
          <w:cols w:equalWidth="0" w:num="1">
            <w:col w:w="10860"/>
          </w:cols>
          <w:pgMar w:left="320" w:top="875" w:right="71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Rohit Kapoor, certify that:</w:t>
      </w:r>
    </w:p>
    <w:p>
      <w:pPr>
        <w:spacing w:after="0" w:line="224" w:lineRule="exact"/>
        <w:rPr>
          <w:sz w:val="20"/>
          <w:szCs w:val="20"/>
          <w:color w:val="auto"/>
        </w:rPr>
      </w:pPr>
    </w:p>
    <w:p>
      <w:pPr>
        <w:ind w:left="400" w:hanging="395"/>
        <w:spacing w:after="0"/>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24" w:lineRule="exact"/>
        <w:rPr>
          <w:rFonts w:ascii="Arial" w:cs="Arial" w:eastAsia="Arial" w:hAnsi="Arial"/>
          <w:sz w:val="17"/>
          <w:szCs w:val="17"/>
          <w:color w:val="auto"/>
        </w:rPr>
      </w:pPr>
    </w:p>
    <w:p>
      <w:pPr>
        <w:ind w:left="400" w:hanging="395"/>
        <w:spacing w:after="0" w:line="322" w:lineRule="auto"/>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89" w:lineRule="auto"/>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400" w:hanging="395"/>
        <w:spacing w:after="0" w:line="273" w:lineRule="auto"/>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7"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00" w:hanging="395"/>
        <w:spacing w:after="0" w:line="289" w:lineRule="auto"/>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720" w:hanging="322"/>
        <w:spacing w:after="0" w:line="289" w:lineRule="auto"/>
        <w:tabs>
          <w:tab w:leader="none" w:pos="714"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100" w:type="dxa"/>
            <w:vAlign w:val="bottom"/>
          </w:tcPr>
          <w:p>
            <w:pPr>
              <w:spacing w:after="0"/>
              <w:rPr>
                <w:sz w:val="20"/>
                <w:szCs w:val="20"/>
                <w:color w:val="auto"/>
              </w:rPr>
            </w:pPr>
            <w:r>
              <w:rPr>
                <w:rFonts w:ascii="Arial" w:cs="Arial" w:eastAsia="Arial" w:hAnsi="Arial"/>
                <w:sz w:val="17"/>
                <w:szCs w:val="17"/>
                <w:color w:val="auto"/>
              </w:rPr>
              <w:t>Date: October 26,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Rohit Kapoor</w:t>
            </w:r>
          </w:p>
        </w:tc>
      </w:tr>
      <w:tr>
        <w:trPr>
          <w:trHeight w:val="216"/>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Rohit Kapoor</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Vice-Chairman and Chief Executive Officer</w:t>
            </w:r>
          </w:p>
        </w:tc>
      </w:tr>
    </w:tbl>
    <w:p>
      <w:pPr>
        <w:sectPr>
          <w:pgSz w:w="11900" w:h="16838" w:orient="portrait"/>
          <w:cols w:equalWidth="0" w:num="1">
            <w:col w:w="11240"/>
          </w:cols>
          <w:pgMar w:left="320" w:top="86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Maurizio Nicolelli, certify that:</w:t>
      </w:r>
    </w:p>
    <w:p>
      <w:pPr>
        <w:spacing w:after="0" w:line="355" w:lineRule="exact"/>
        <w:rPr>
          <w:sz w:val="20"/>
          <w:szCs w:val="20"/>
          <w:color w:val="auto"/>
        </w:rPr>
      </w:pPr>
    </w:p>
    <w:p>
      <w:pPr>
        <w:ind w:left="400" w:hanging="395"/>
        <w:spacing w:after="0"/>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24" w:lineRule="exact"/>
        <w:rPr>
          <w:rFonts w:ascii="Arial" w:cs="Arial" w:eastAsia="Arial" w:hAnsi="Arial"/>
          <w:sz w:val="17"/>
          <w:szCs w:val="17"/>
          <w:color w:val="auto"/>
        </w:rPr>
      </w:pPr>
    </w:p>
    <w:p>
      <w:pPr>
        <w:ind w:left="400" w:hanging="395"/>
        <w:spacing w:after="0" w:line="322" w:lineRule="auto"/>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89" w:lineRule="auto"/>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400" w:hanging="395"/>
        <w:spacing w:after="0" w:line="273" w:lineRule="auto"/>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720" w:hanging="322"/>
        <w:spacing w:after="0" w:line="273" w:lineRule="auto"/>
        <w:tabs>
          <w:tab w:leader="none" w:pos="71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00" w:hanging="395"/>
        <w:spacing w:after="0" w:line="289" w:lineRule="auto"/>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720" w:hanging="322"/>
        <w:spacing w:after="0" w:line="289" w:lineRule="auto"/>
        <w:tabs>
          <w:tab w:leader="none" w:pos="7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720" w:hanging="322"/>
        <w:spacing w:after="0" w:line="289" w:lineRule="auto"/>
        <w:tabs>
          <w:tab w:leader="none" w:pos="71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7"/>
                <w:szCs w:val="17"/>
                <w:color w:val="auto"/>
              </w:rPr>
              <w:t>Date: October 26,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Maurizio Nicolelli</w:t>
            </w:r>
          </w:p>
        </w:tc>
      </w:tr>
      <w:tr>
        <w:trPr>
          <w:trHeight w:val="216"/>
        </w:trPr>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7"/>
                <w:szCs w:val="17"/>
                <w:color w:val="auto"/>
              </w:rPr>
              <w:t>Maurizio Nicolelli</w:t>
            </w:r>
          </w:p>
        </w:tc>
      </w:tr>
      <w:tr>
        <w:trPr>
          <w:trHeight w:val="223"/>
        </w:trPr>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2023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2"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1" w:lineRule="exact"/>
        <w:rPr>
          <w:rFonts w:ascii="Arial" w:cs="Arial" w:eastAsia="Arial" w:hAnsi="Arial"/>
          <w:sz w:val="17"/>
          <w:szCs w:val="17"/>
          <w:color w:val="auto"/>
        </w:rPr>
      </w:pPr>
    </w:p>
    <w:p>
      <w:pPr>
        <w:ind w:left="320" w:hanging="315"/>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2788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Rohit Kapoor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Vice-Chairman and Chief Executive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October 26, 2023</w:t>
      </w:r>
    </w:p>
    <w:p>
      <w:pPr>
        <w:sectPr>
          <w:pgSz w:w="11900" w:h="16838" w:orient="portrait"/>
          <w:cols w:equalWidth="0" w:num="1">
            <w:col w:w="11240"/>
          </w:cols>
          <w:pgMar w:left="320" w:top="86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2023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2" w:lineRule="exact"/>
        <w:rPr>
          <w:sz w:val="20"/>
          <w:szCs w:val="20"/>
          <w:color w:val="auto"/>
        </w:rPr>
      </w:pPr>
    </w:p>
    <w:p>
      <w:pPr>
        <w:ind w:left="320" w:hanging="315"/>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left="320" w:hanging="315"/>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48882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88823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Maurizio Nicolelli</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October 26, 2023</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lowerLetter"/>
      <w:start w:val="5"/>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2"/>
    </w:lvl>
  </w:abstractNum>
  <w:abstractNum w:abstractNumId="24">
    <w:nsid w:val="5C482A97"/>
    <w:multiLevelType w:val="hybridMultilevel"/>
    <w:lvl w:ilvl="0">
      <w:lvlJc w:val="left"/>
      <w:lvlText w:val="%1."/>
      <w:numFmt w:val="decimal"/>
      <w:start w:val="6"/>
    </w:lvl>
  </w:abstractNum>
  <w:abstractNum w:abstractNumId="25">
    <w:nsid w:val="2463B9EA"/>
    <w:multiLevelType w:val="hybridMultilevel"/>
    <w:lvl w:ilvl="0">
      <w:lvlJc w:val="left"/>
      <w:lvlText w:val="%1."/>
      <w:numFmt w:val="decimal"/>
      <w:start w:val="7"/>
    </w:lvl>
  </w:abstractNum>
  <w:abstractNum w:abstractNumId="26">
    <w:nsid w:val="5E884ADC"/>
    <w:multiLevelType w:val="hybridMultilevel"/>
    <w:lvl w:ilvl="0">
      <w:lvlJc w:val="left"/>
      <w:lvlText w:val="%1."/>
      <w:numFmt w:val="decimal"/>
      <w:start w:val="9"/>
    </w:lvl>
  </w:abstractNum>
  <w:abstractNum w:abstractNumId="27">
    <w:nsid w:val="51EAD36B"/>
    <w:multiLevelType w:val="hybridMultilevel"/>
    <w:lvl w:ilvl="0">
      <w:lvlJc w:val="left"/>
      <w:lvlText w:val="%1."/>
      <w:numFmt w:val="decimal"/>
      <w:start w:val="12"/>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5"/>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decimal"/>
      <w:start w:val="4"/>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Roman"/>
      <w:start w:val="1"/>
    </w:lvl>
  </w:abstractNum>
  <w:abstractNum w:abstractNumId="36">
    <w:nsid w:val="725A06FB"/>
    <w:multiLevelType w:val="hybridMultilevel"/>
    <w:lvl w:ilvl="0">
      <w:lvlJc w:val="left"/>
      <w:lvlText w:val="(%1)"/>
      <w:numFmt w:val="lowerRoman"/>
      <w:start w:val="3"/>
    </w:lvl>
  </w:abstractNum>
  <w:abstractNum w:abstractNumId="37">
    <w:nsid w:val="2CD89A32"/>
    <w:multiLevelType w:val="hybridMultilevel"/>
    <w:lvl w:ilvl="0">
      <w:lvlJc w:val="left"/>
      <w:lvlText w:val="(%1)"/>
      <w:numFmt w:val="lowerLetter"/>
      <w:start w:val="2"/>
    </w:lvl>
  </w:abstractNum>
  <w:abstractNum w:abstractNumId="38">
    <w:nsid w:val="57E4CCAF"/>
    <w:multiLevelType w:val="hybridMultilevel"/>
    <w:lvl w:ilvl="0">
      <w:lvlJc w:val="left"/>
      <w:lvlText w:val="(%1)"/>
      <w:numFmt w:val="lowerRoman"/>
      <w:start w:val="1"/>
    </w:lvl>
  </w:abstractNum>
  <w:abstractNum w:abstractNumId="39">
    <w:nsid w:val="7A6D8D3C"/>
    <w:multiLevelType w:val="hybridMultilevel"/>
    <w:lvl w:ilvl="0">
      <w:lvlJc w:val="left"/>
      <w:lvlText w:val="(%1)"/>
      <w:numFmt w:val="lowerLetter"/>
      <w:start w:val="4"/>
    </w:lvl>
  </w:abstractNum>
  <w:abstractNum w:abstractNumId="40">
    <w:nsid w:val="4B588F54"/>
    <w:multiLevelType w:val="hybridMultilevel"/>
    <w:lvl w:ilvl="0">
      <w:lvlJc w:val="left"/>
      <w:lvlText w:val="%1."/>
      <w:numFmt w:val="decimal"/>
      <w:start w:val="5"/>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lowerLetter"/>
      <w:start w:val="9"/>
    </w:lvl>
  </w:abstractNum>
  <w:abstractNum w:abstractNumId="44">
    <w:nsid w:val="7644A45C"/>
    <w:multiLevelType w:val="hybridMultilevel"/>
    <w:lvl w:ilvl="0">
      <w:lvlJc w:val="left"/>
      <w:lvlText w:val="(%1)"/>
      <w:numFmt w:val="upperLetter"/>
      <w:start w:val="1"/>
    </w:lvl>
  </w:abstractNum>
  <w:abstractNum w:abstractNumId="45">
    <w:nsid w:val="32FFF902"/>
    <w:multiLevelType w:val="hybridMultilevel"/>
    <w:lvl w:ilvl="0">
      <w:lvlJc w:val="left"/>
      <w:lvlText w:val="(%1)"/>
      <w:numFmt w:val="lowerRoman"/>
      <w:start w:val="2"/>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5" Type="http://schemas.openxmlformats.org/officeDocument/2006/relationships/hyperlink" Target="https://www.sec.gov/Archives/edgar/data/1297989/000119312523171321/d5239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2023-10-26T16:05:03Z</dcterms:created>
  <dcterms:modified xsi:type="dcterms:W3CDTF">2023-10-26T16:05:03Z</dcterms:modified>
</cp:coreProperties>
</file>