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88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886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02/08/2013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8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12,984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2"/>
              <w:spacing w:after="0"/>
              <w:rPr>
                <w:sz w:val="20"/>
                <w:szCs w:val="20"/>
                <w:color w:val="auto"/>
              </w:rPr>
            </w:pPr>
            <w:r>
              <w:rPr>
                <w:rFonts w:ascii="Arial" w:cs="Arial" w:eastAsia="Arial" w:hAnsi="Arial"/>
                <w:sz w:val="18"/>
                <w:szCs w:val="18"/>
                <w:color w:val="0000FF"/>
              </w:rPr>
              <w:t>950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02/08/2013</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950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02/08/2023</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8"/>
              <w:spacing w:after="0" w:line="149" w:lineRule="exact"/>
              <w:rPr>
                <w:sz w:val="20"/>
                <w:szCs w:val="20"/>
                <w:color w:val="auto"/>
              </w:rPr>
            </w:pPr>
            <w:r>
              <w:rPr>
                <w:rFonts w:ascii="Arial" w:cs="Arial" w:eastAsia="Arial" w:hAnsi="Arial"/>
                <w:sz w:val="14"/>
                <w:szCs w:val="14"/>
                <w:color w:val="0000FF"/>
              </w:rPr>
              <w:t>950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52"/>
              <w:spacing w:after="0"/>
              <w:rPr>
                <w:sz w:val="20"/>
                <w:szCs w:val="20"/>
                <w:color w:val="auto"/>
              </w:rPr>
            </w:pPr>
            <w:r>
              <w:rPr>
                <w:rFonts w:ascii="Arial" w:cs="Arial" w:eastAsia="Arial" w:hAnsi="Arial"/>
                <w:sz w:val="18"/>
                <w:szCs w:val="18"/>
                <w:color w:val="0000FF"/>
                <w:w w:val="93"/>
              </w:rPr>
              <w:t>9,000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02/08/2013</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80" w:type="dxa"/>
            <w:vAlign w:val="bottom"/>
            <w:vMerge w:val="restart"/>
          </w:tcPr>
          <w:p>
            <w:pPr>
              <w:jc w:val="right"/>
              <w:ind w:right="38"/>
              <w:spacing w:after="0" w:line="149" w:lineRule="exact"/>
              <w:rPr>
                <w:sz w:val="20"/>
                <w:szCs w:val="20"/>
                <w:color w:val="auto"/>
              </w:rPr>
            </w:pPr>
            <w:r>
              <w:rPr>
                <w:rFonts w:ascii="Arial" w:cs="Arial" w:eastAsia="Arial" w:hAnsi="Arial"/>
                <w:sz w:val="14"/>
                <w:szCs w:val="14"/>
                <w:color w:val="0000FF"/>
              </w:rPr>
              <w:t>9,000</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9" w:lineRule="exact"/>
              <w:rPr>
                <w:sz w:val="20"/>
                <w:szCs w:val="20"/>
                <w:color w:val="auto"/>
              </w:rPr>
            </w:pPr>
            <w:r>
              <w:rPr>
                <w:rFonts w:ascii="Arial" w:cs="Arial" w:eastAsia="Arial" w:hAnsi="Arial"/>
                <w:sz w:val="14"/>
                <w:szCs w:val="14"/>
                <w:color w:val="0000FF"/>
                <w:w w:val="96"/>
              </w:rPr>
              <w:t>02/08/2023</w:t>
            </w:r>
          </w:p>
        </w:tc>
        <w:tc>
          <w:tcPr>
            <w:tcW w:w="68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9,000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will vest in three equal annual installments, beginning on February 8, 2014. Vesting of some or all of the restricted stock may be accelerated upon or in connection with the occurrence of a "Change in Control" as such term is defined in agreement governing the grant of the restricted stock.</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8, 2014; an additional 20 percent will vest on February 8, 2015; an additional 30 percent will vest on February 8, 2016; and the remaining 40 percent will vest on February 8, 2017.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02/12/2013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2019-12-16T15:21:45Z</dcterms:created>
  <dcterms:modified xsi:type="dcterms:W3CDTF">2019-12-16T15:21:45Z</dcterms:modified>
</cp:coreProperties>
</file>