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Pursuant to Sections 13 or 15(d) of the Securities Exchange Act of 1934</w:t>
      </w:r>
    </w:p>
    <w:p>
      <w:pPr>
        <w:spacing w:after="0" w:line="15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60"/>
          </w:cols>
          <w:pgMar w:left="240" w:top="308" w:right="599" w:bottom="1440" w:gutter="0" w:footer="0" w:header="0"/>
        </w:sectPr>
      </w:pPr>
    </w:p>
    <w:p>
      <w:pPr>
        <w:spacing w:after="0" w:line="28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7" w:lineRule="exact"/>
        <w:rPr>
          <w:sz w:val="24"/>
          <w:szCs w:val="24"/>
          <w:color w:val="auto"/>
        </w:rPr>
      </w:pPr>
    </w:p>
    <w:p>
      <w:pPr>
        <w:sectPr>
          <w:pgSz w:w="11900" w:h="16838" w:orient="portrait"/>
          <w:cols w:equalWidth="0" w:num="3">
            <w:col w:w="4740" w:space="720"/>
            <w:col w:w="3000" w:space="720"/>
            <w:col w:w="1880"/>
          </w:cols>
          <w:pgMar w:left="240" w:top="308" w:right="59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8" w:lineRule="exact"/>
        <w:rPr>
          <w:sz w:val="24"/>
          <w:szCs w:val="24"/>
          <w:color w:val="auto"/>
        </w:rPr>
      </w:pPr>
    </w:p>
    <w:p>
      <w:pPr>
        <w:sectPr>
          <w:pgSz w:w="11900" w:h="16838" w:orient="portrait"/>
          <w:cols w:equalWidth="0" w:num="3">
            <w:col w:w="4340" w:space="720"/>
            <w:col w:w="3280" w:space="720"/>
            <w:col w:w="2000"/>
          </w:cols>
          <w:pgMar w:left="240" w:top="308" w:right="59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280 Park Avenue</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277-7100</w:t>
      </w:r>
    </w:p>
    <w:p>
      <w:pPr>
        <w:spacing w:after="0" w:line="19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60"/>
          </w:cols>
          <w:pgMar w:left="240" w:top="308" w:right="599" w:bottom="1440" w:gutter="0" w:footer="0" w:header="0"/>
          <w:type w:val="continuous"/>
        </w:sectPr>
      </w:pPr>
    </w:p>
    <w:p>
      <w:pPr>
        <w:spacing w:after="0" w:line="232"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308" w:right="5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November 3, 2010, ExlService Holdings, Inc. (the “Company”) reported its results of operations for the three and nine months ended September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2010. A copy of the press release issued by the Company concerning the foregoing is furnished herewith as Exhibit 99.1 and is incorporated herein by reference.</w:t>
      </w:r>
    </w:p>
    <w:p>
      <w:pPr>
        <w:spacing w:after="0" w:line="30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dated November 3, 2010</w:t>
      </w:r>
    </w:p>
    <w:p>
      <w:pPr>
        <w:sectPr>
          <w:pgSz w:w="11900" w:h="16838" w:orient="portrait"/>
          <w:cols w:equalWidth="0" w:num="1">
            <w:col w:w="11300"/>
          </w:cols>
          <w:pgMar w:left="240" w:top="28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20" w:type="dxa"/>
            <w:vAlign w:val="bottom"/>
            <w:gridSpan w:val="3"/>
          </w:tcPr>
          <w:p>
            <w:pPr>
              <w:ind w:left="55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2010</w:t>
            </w:r>
          </w:p>
        </w:tc>
        <w:tc>
          <w:tcPr>
            <w:tcW w:w="140" w:type="dxa"/>
            <w:vAlign w:val="bottom"/>
          </w:tcPr>
          <w:p>
            <w:pPr>
              <w:spacing w:after="0"/>
              <w:rPr>
                <w:sz w:val="19"/>
                <w:szCs w:val="19"/>
                <w:color w:val="auto"/>
              </w:rPr>
            </w:pPr>
          </w:p>
        </w:tc>
        <w:tc>
          <w:tcPr>
            <w:tcW w:w="536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c>
          <w:tcPr>
            <w:tcW w:w="0" w:type="dxa"/>
            <w:vAlign w:val="bottom"/>
          </w:tcPr>
          <w:p>
            <w:pPr>
              <w:spacing w:after="0"/>
              <w:rPr>
                <w:sz w:val="1"/>
                <w:szCs w:val="1"/>
                <w:color w:val="auto"/>
              </w:rPr>
            </w:pPr>
          </w:p>
        </w:tc>
      </w:tr>
      <w:tr>
        <w:trPr>
          <w:trHeight w:val="223"/>
        </w:trPr>
        <w:tc>
          <w:tcPr>
            <w:tcW w:w="59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18"/>
                <w:szCs w:val="18"/>
                <w:color w:val="auto"/>
              </w:rPr>
            </w:pPr>
          </w:p>
        </w:tc>
        <w:tc>
          <w:tcPr>
            <w:tcW w:w="5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920" w:type="dxa"/>
            <w:vAlign w:val="bottom"/>
          </w:tcPr>
          <w:p>
            <w:pPr>
              <w:ind w:left="5500"/>
              <w:spacing w:after="0" w:line="139" w:lineRule="exact"/>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53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Vishal Chhibbar</w:t>
            </w:r>
          </w:p>
        </w:tc>
        <w:tc>
          <w:tcPr>
            <w:tcW w:w="0" w:type="dxa"/>
            <w:vAlign w:val="bottom"/>
          </w:tcPr>
          <w:p>
            <w:pPr>
              <w:spacing w:after="0"/>
              <w:rPr>
                <w:sz w:val="1"/>
                <w:szCs w:val="1"/>
                <w:color w:val="auto"/>
              </w:rPr>
            </w:pPr>
          </w:p>
        </w:tc>
      </w:tr>
      <w:tr>
        <w:trPr>
          <w:trHeight w:val="178"/>
        </w:trPr>
        <w:tc>
          <w:tcPr>
            <w:tcW w:w="5920" w:type="dxa"/>
            <w:vAlign w:val="bottom"/>
          </w:tcPr>
          <w:p>
            <w:pPr>
              <w:ind w:left="5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01" w:right="23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dated November 3, 2010</w:t>
      </w:r>
    </w:p>
    <w:p>
      <w:pPr>
        <w:sectPr>
          <w:pgSz w:w="11900" w:h="16838" w:orient="portrait"/>
          <w:cols w:equalWidth="0" w:num="1">
            <w:col w:w="10219"/>
          </w:cols>
          <w:pgMar w:left="240" w:top="50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Jarrod Yahes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277-7109 </w:t>
      </w:r>
      <w:r>
        <w:rPr>
          <w:rFonts w:ascii="Times New Roman" w:cs="Times New Roman" w:eastAsia="Times New Roman" w:hAnsi="Times New Roman"/>
          <w:sz w:val="16"/>
          <w:szCs w:val="16"/>
          <w:u w:val="single" w:color="auto"/>
          <w:color w:val="auto"/>
        </w:rPr>
        <w:t>ir@exlservice.com</w:t>
      </w:r>
    </w:p>
    <w:p>
      <w:pPr>
        <w:spacing w:after="0" w:line="24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EXL REPORTS 2010 THIRD QUARTER RESULTS</w:t>
      </w:r>
    </w:p>
    <w:p>
      <w:pPr>
        <w:spacing w:after="0" w:line="16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Revenues of $67.6 million and Adjusted Operating Margin of 14.5%</w:t>
      </w:r>
    </w:p>
    <w:p>
      <w:pPr>
        <w:spacing w:after="0" w:line="17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i w:val="1"/>
          <w:iCs w:val="1"/>
          <w:color w:val="auto"/>
        </w:rPr>
        <w:t>Increasing Calendar Year 2010 Revenues Guidance to Approximately $247.0 Million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Adjusted Operating Margin Guidance to Between 14.0% and 14.5%</w:t>
      </w:r>
    </w:p>
    <w:p>
      <w:pPr>
        <w:spacing w:after="0" w:line="159"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New York, NY – November 3, 2010 – ExlService Holdings, Inc. (NASDAQ: EXLS), a leading provider of outsourcing and transformation services, today announced its financial results for the quarter ended September 30, 2010.</w:t>
      </w:r>
    </w:p>
    <w:p>
      <w:pPr>
        <w:spacing w:after="0" w:line="1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Rohit Kapoor, President and CEO, commented: “EXL experienced a record quarter of growth driven by a significant number of new process migrations in outsourcing services and exceptionally strong demand for transformation services. Our focus remains on acquiring new clients, growing existing client relationships, and making the right investments to sustain our growth. We are making significant investments in sales and marketing and developing proprietary solutions that leverage our domain expertise. Our focused strategy is proving successful in the marketplace and we are extremely well positioned to benefit from the continued growth in the offshore BPO market.”</w:t>
      </w:r>
    </w:p>
    <w:p>
      <w:pPr>
        <w:spacing w:after="0" w:line="1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Vishal Chhibbar, CFO, commented: “EXL’s revenues this quarter grew 40.3% year-over-year and 11.5% sequentially. Our third quarter results exceeded our expectations driven by organic revenue growth across service lines. Our enhanced gross and operating margins put us squarely on track to deliver our targets for annual margin expansion. We generated strong cash flow from operations for the quarter of $16.7 million, while still making the required growth investments in sales and marketing and capacity expansion. We are pleased to increase our calendar year 2010 revenue guidance to approximately $247.0 million, based upon a seasonal decline in transformation services revenues that is expected in the fourth quarter. We are also increasing our adjusted operating margin guidance to between 14.0% and 14.5%, despite the recent appreciation in our cost currencies.”</w:t>
      </w:r>
    </w:p>
    <w:p>
      <w:pPr>
        <w:sectPr>
          <w:pgSz w:w="11900" w:h="16838" w:orient="portrait"/>
          <w:cols w:equalWidth="0" w:num="1">
            <w:col w:w="11420"/>
          </w:cols>
          <w:pgMar w:left="240" w:top="13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Reconciliations of adjusted financial measures to GAAP are included at the end of this release.</w:t>
      </w:r>
    </w:p>
    <w:p>
      <w:pPr>
        <w:spacing w:after="0" w:line="92" w:lineRule="exact"/>
        <w:rPr>
          <w:sz w:val="20"/>
          <w:szCs w:val="20"/>
          <w:color w:val="auto"/>
        </w:rPr>
      </w:pPr>
    </w:p>
    <w:p>
      <w:pPr>
        <w:ind w:left="900" w:right="20" w:hanging="446"/>
        <w:spacing w:after="0" w:line="25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quarter ended September 30, 2010 were $67.6 million compared to $48.2 million for the quarter ended September 30, 2009 and $60.6 million for the quarter ended June 30, 2010. Outsourcing services revenues for the quarter ended September 30, 2010 were $50.5 million compared to $37.7 million in the quarter ended September 30, 2009 and $46.6 million in the quarter ended June 30, 2010. Transformation services revenues for the quarter ended September 30, 2010 were $17.1 million compared to $10.5 million in the quarter ended September 30, 2009 and $14.1 million in the quarter ended June 30, 2010.</w:t>
      </w:r>
    </w:p>
    <w:p>
      <w:pPr>
        <w:spacing w:after="0" w:line="57" w:lineRule="exact"/>
        <w:rPr>
          <w:rFonts w:ascii="Times New Roman" w:cs="Times New Roman" w:eastAsia="Times New Roman" w:hAnsi="Times New Roman"/>
          <w:sz w:val="18"/>
          <w:szCs w:val="18"/>
          <w:color w:val="auto"/>
        </w:rPr>
      </w:pPr>
    </w:p>
    <w:p>
      <w:pPr>
        <w:ind w:left="900" w:right="120" w:hanging="446"/>
        <w:spacing w:after="0" w:line="301"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for the quarter ended September 30, 2010 was 40.0% compared to 40.2% for the quarter ended September 30, 2009 and 38.2% for the quarter ended June 30, 2010. Outsourcing services gross margin for the quarter ended September 30, 2010 was 41.3% compared to 41.0% for the quarter ended September 30, 2009 and 38.6% for the quarter ended June 30, 2010. Transformation services gross margin for the quarter ended September 30, 2010 was 35.9% compared to 37.5% for the quarter ended September 30, 2009 and 37.2% for the quarter ended June 30, 2010.</w:t>
      </w:r>
    </w:p>
    <w:p>
      <w:pPr>
        <w:spacing w:after="0" w:line="22" w:lineRule="exact"/>
        <w:rPr>
          <w:rFonts w:ascii="Times New Roman" w:cs="Times New Roman" w:eastAsia="Times New Roman" w:hAnsi="Times New Roman"/>
          <w:sz w:val="16"/>
          <w:szCs w:val="16"/>
          <w:color w:val="auto"/>
        </w:rPr>
      </w:pPr>
    </w:p>
    <w:p>
      <w:pPr>
        <w:ind w:left="900" w:right="160" w:hanging="446"/>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for the quarter ended September 30, 2010 was 10.3% compared to 10.7% for the quarter ended September 30, 2009 and 8.7% for the quarter ended June 30, 2010. Adjusted operating margin, excluding the impact of stock-based compensation expense and amortization of intangibles, for the quarter ended September 30, 2010 was 14.5% compared to 14.8% for the quarter ended September 30, 2009 and 13.5% for the quarter ended June 30, 2010.</w:t>
      </w:r>
    </w:p>
    <w:p>
      <w:pPr>
        <w:spacing w:after="0" w:line="55"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quarter ended September 30, 2010 was $7.8 million compared to $4.0 million for the quarter ended September 30, 2009 and $4.9 million for the quarter ended June 30, 2010. Adjusted EBITDA for the quarter ended September 30, 2010 was $13.3 million compared to $10.0 million for the quarter ended September 30, 2009 and $11.5 million for the quarter ended June 30, 2010.</w:t>
      </w:r>
    </w:p>
    <w:p>
      <w:pPr>
        <w:spacing w:after="0" w:line="51"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to common stockholders for the quarter ended September 30, 2010 were $0.26 compared to $0.14 for the quarter ended September 30, 2009 and $0.16 for the quarter ended June 30, 2010. Adjusted diluted earnings per share, excluding the impact of stock-based compensation expense and amortization of intangibles, for the quarter ended September 30, 2010 were $0.32 compared to $0.19 for the quarter ended September 30, 2009 and $0.23 for the quarter ended June 30, 2010.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Announcements</w:t>
      </w:r>
    </w:p>
    <w:p>
      <w:pPr>
        <w:spacing w:after="0" w:line="92" w:lineRule="exact"/>
        <w:rPr>
          <w:sz w:val="20"/>
          <w:szCs w:val="20"/>
          <w:color w:val="auto"/>
        </w:rPr>
      </w:pPr>
    </w:p>
    <w:p>
      <w:pPr>
        <w:ind w:left="900" w:right="26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in Forbes’ list of “America’s 100 Best Small Companies” based on earnings growth, sales growth, return on equity in the past 12 months and 5 years as well as comparative stock performance against peers.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multiple outsourcing services relationships with the migration of 28 new processes during the quarter.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2 new transformation services clients.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Invested in our business development capability by hiring an experienced Client Executive to expand our presence in the financial services vertical.</w:t>
      </w:r>
    </w:p>
    <w:p>
      <w:pPr>
        <w:spacing w:after="0" w:line="113" w:lineRule="exact"/>
        <w:rPr>
          <w:rFonts w:ascii="Times New Roman" w:cs="Times New Roman" w:eastAsia="Times New Roman" w:hAnsi="Times New Roman"/>
          <w:sz w:val="16"/>
          <w:szCs w:val="16"/>
          <w:color w:val="auto"/>
        </w:rPr>
      </w:pPr>
    </w:p>
    <w:p>
      <w:pPr>
        <w:ind w:left="900" w:right="22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travel vertical by hiring a senior corporate advisor to expand our service offerings in the travel vertical and to participate in client pursuits.</w:t>
      </w:r>
    </w:p>
    <w:p>
      <w:pPr>
        <w:spacing w:after="0" w:line="38" w:lineRule="exact"/>
        <w:rPr>
          <w:rFonts w:ascii="Times New Roman" w:cs="Times New Roman" w:eastAsia="Times New Roman" w:hAnsi="Times New Roman"/>
          <w:sz w:val="18"/>
          <w:szCs w:val="18"/>
          <w:color w:val="auto"/>
        </w:rPr>
      </w:pPr>
    </w:p>
    <w:p>
      <w:pPr>
        <w:ind w:left="900" w:right="76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collaboration with Microsoft as part of its Insurance Value Chain partnership ecosystem, to provide solution development and application enhancement for current EXL LifePRO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clients and prospects.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Partnered with Datanomic, a compliance and data management solutions specialist, to provide joint, end-to-end compliance solutions and services.</w:t>
      </w:r>
    </w:p>
    <w:p>
      <w:pPr>
        <w:spacing w:after="0" w:line="113" w:lineRule="exact"/>
        <w:rPr>
          <w:rFonts w:ascii="Times New Roman" w:cs="Times New Roman" w:eastAsia="Times New Roman" w:hAnsi="Times New Roman"/>
          <w:sz w:val="16"/>
          <w:szCs w:val="16"/>
          <w:color w:val="auto"/>
        </w:rPr>
      </w:pPr>
    </w:p>
    <w:p>
      <w:pPr>
        <w:ind w:left="900" w:right="92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four new transformation services solutions designed to help clients address process management issues to enhance operational effectiveness and efficiency and to reduce costs.</w:t>
      </w:r>
    </w:p>
    <w:p>
      <w:pPr>
        <w:spacing w:after="0" w:line="38"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Headcount for the quarter ended September 30, 2010 was approximately 12,200. Experienced attrition in the third quarter of 32.8% for billable employees compared to 22.0% in the quarter ended September 30, 2009 and 34.6% in the quarter ended June 30, 2010.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2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Outlook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increasing its guidance for calendar year 2010:</w:t>
      </w:r>
    </w:p>
    <w:p>
      <w:pPr>
        <w:spacing w:after="0" w:line="90"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approximately $247.0 million.</w:t>
      </w:r>
    </w:p>
    <w:p>
      <w:pPr>
        <w:spacing w:after="0" w:line="90"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excluding the impact of stock-based compensation expense and amortization of intangibles, of between 14.0% and 14.5%, at prevailing exchange rates.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94"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6"/>
          <w:szCs w:val="16"/>
          <w:color w:val="auto"/>
        </w:rPr>
        <w:t>EXL will host a conference call on Thursday, November 4, 2010 at 8:00 a.m. (ET) to discuss the Company’s quarterly results and operating performance. The conference call will be available live via the internet by accessing the investor relations section of EXL’s website at www.exlservice.com, where the investor factsheet can also be accessed. Please go to the website at least fifteen minutes prior to the call to register, download and install any necessary audio software.</w:t>
      </w:r>
    </w:p>
    <w:p>
      <w:pPr>
        <w:spacing w:after="0" w:line="9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To listen to the earnings conference call via phone, please dial 1-877-303-6384 or 1-224-357-2191. For those who cannot access the live broadcast, a replay will be available by dialing 1-800-642-1687 or 1-706-645-9291 and entering the conference identification number “10769069” from two hours after the end of the call until 11:59 p.m. (ET) on November 18, 2010. The replay will also be available on the EXL website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right="120"/>
        <w:spacing w:after="0" w:line="310" w:lineRule="auto"/>
        <w:rPr>
          <w:sz w:val="20"/>
          <w:szCs w:val="20"/>
          <w:color w:val="auto"/>
        </w:rPr>
      </w:pPr>
      <w:r>
        <w:rPr>
          <w:rFonts w:ascii="Times New Roman" w:cs="Times New Roman" w:eastAsia="Times New Roman" w:hAnsi="Times New Roman"/>
          <w:sz w:val="16"/>
          <w:szCs w:val="16"/>
          <w:color w:val="auto"/>
        </w:rPr>
        <w:t>EXL will host its Annual Investor Day on Thursday, November 4, 2010 at 10.00 a.m. (ET) in New York City at the NASDAQ MarketSite at 4 Times Square. To listen to the investor day events via phone, please dial 1-877-303-6384 or 1-224-357-2191. For those who cannot access the live broadcast, an archived webcast of the presentation and the accompanying slides will be available on the EXL website www.exlservice.com after the end of the event until November 30, 2010.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www.exlservice.com.</w:t>
      </w:r>
    </w:p>
    <w:p>
      <w:pPr>
        <w:spacing w:after="0" w:line="1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2009.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20" w:right="259" w:bottom="1440" w:gutter="0" w:footer="0" w:header="0"/>
        </w:sectPr>
      </w:pPr>
    </w:p>
    <w:bookmarkStart w:id="7" w:name="page8"/>
    <w:bookmarkEnd w:id="7"/>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182,713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109,516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52,571</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29,238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14,080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18,731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22,177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29,302,862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28,930,344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29,221,668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28,893,515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30,385,308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29,368,390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30,248,648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29,202,856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1" w:right="239" w:bottom="1440" w:gutter="0" w:footer="0" w:header="0"/>
        </w:sectPr>
      </w:pPr>
    </w:p>
    <w:bookmarkStart w:id="8" w:name="page9"/>
    <w:bookmarkEnd w:id="8"/>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102,608</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$422 at September 30, 2010 and $262 at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31, 2009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Advance income-tax,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181,546</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 net of accumulated depreciation of $45,403 at September 30, 2010 and $35,812 at December 31, 2009</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31,470</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11,487</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285,531</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employee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11,674</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43,299</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49,207</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none issued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$0.001 par value; 100,000,000 shares authorized, 29,532,439 shares issued and 29,279,937 shares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outstanding as of September 30, 2010 and 29,278,103 shares issued and 29,031,073 shares outstanding as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December 31, 2009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237,373</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252,502 shares as of September 30, 2010 and 247,030 shares as of December 31, 2009, held in treasury, at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Holdings, Inc. stockholders’ equity</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236,304</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236,324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285,531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249,620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56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17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stock-based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335"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following table shows the reconciliation of these adjusted financial measures from GAAP measures for the three month periods ended September 30, 2010, September 30, 2009 and June 30, 2010:</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1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9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5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7,804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3,994</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 Income tax provision, Other income/(expense)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1,185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(GAAP)</w:t>
            </w:r>
          </w:p>
        </w:tc>
        <w:tc>
          <w:tcPr>
            <w:tcW w:w="15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6,983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5,179</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 Stock-based compensation expense (a)</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2,121</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1,876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 Amortization of acquisition-related intangibles (b)</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(Non-GAAP)</w:t>
            </w:r>
          </w:p>
        </w:tc>
        <w:tc>
          <w:tcPr>
            <w:tcW w:w="1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9,792</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7,139</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operating income margin %</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i w:val="1"/>
                <w:iCs w:val="1"/>
                <w:color w:val="auto"/>
              </w:rPr>
              <w:t>14.5%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14.8%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 Depreciation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3,530</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2,834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13,322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9,973</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11,533</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Adjusted EBITDA margin %</w:t>
            </w: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i w:val="1"/>
                <w:iCs w:val="1"/>
                <w:color w:val="auto"/>
              </w:rPr>
              <w:t>19.7%</w:t>
            </w: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20.7%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19.0%</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80" w:type="dxa"/>
            <w:vAlign w:val="bottom"/>
          </w:tcPr>
          <w:p>
            <w:pPr>
              <w:spacing w:after="0"/>
              <w:rPr>
                <w:sz w:val="13"/>
                <w:szCs w:val="1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right"/>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5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7,804</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3,994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4,869</w:t>
            </w:r>
          </w:p>
        </w:tc>
      </w:tr>
      <w:tr>
        <w:trPr>
          <w:trHeight w:val="216"/>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 Stock-based compensation expense (a)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2,404</w:t>
            </w:r>
          </w:p>
        </w:tc>
      </w:tr>
      <w:tr>
        <w:trPr>
          <w:trHeight w:val="216"/>
        </w:trPr>
        <w:tc>
          <w:tcPr>
            <w:tcW w:w="5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 Amortization of acquisition-related intangibles (b)</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subtract: Tax impact on stock-based compensation expense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5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subtract: Tax impact on amortization of acquisition-related intangibles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9,610</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5,446</w:t>
            </w:r>
          </w:p>
        </w:tc>
        <w:tc>
          <w:tcPr>
            <w:tcW w:w="1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7,076</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0.19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To exclude stock-based compensation expense under ASC Topic 718.</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w:t>
        <w:tab/>
        <w:t>To exclude amortization of acquisition-related intangibles.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2019-12-15T11:10:22Z</dcterms:created>
  <dcterms:modified xsi:type="dcterms:W3CDTF">2019-12-15T11:10:22Z</dcterms:modified>
</cp:coreProperties>
</file>