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752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29195"/>
                    </a:xfrm>
                    <a:prstGeom prst="rect">
                      <a:avLst/>
                    </a:prstGeom>
                    <a:noFill/>
                  </pic:spPr>
                </pic:pic>
              </a:graphicData>
            </a:graphic>
          </wp:anchor>
        </w:drawing>
      </w:r>
    </w:p>
    <w:p>
      <w:pPr>
        <w:spacing w:after="0" w:line="109" w:lineRule="exact"/>
        <w:rPr>
          <w:sz w:val="24"/>
          <w:szCs w:val="24"/>
          <w:color w:val="auto"/>
        </w:rPr>
      </w:pPr>
    </w:p>
    <w:p>
      <w:pPr>
        <w:sectPr>
          <w:pgSz w:w="11900" w:h="16957" w:orient="portrait"/>
          <w:cols w:equalWidth="0" w:num="2">
            <w:col w:w="2380" w:space="240"/>
            <w:col w:w="8900"/>
          </w:cols>
          <w:pgMar w:left="240" w:top="220"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Kapoor Rohit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12/20/2019</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CEO &amp; Vice Chairman</w:t>
      </w:r>
    </w:p>
    <w:p>
      <w:pPr>
        <w:spacing w:after="0" w:line="267" w:lineRule="exact"/>
        <w:rPr>
          <w:sz w:val="24"/>
          <w:szCs w:val="24"/>
          <w:color w:val="auto"/>
        </w:rPr>
      </w:pPr>
    </w:p>
    <w:p>
      <w:pPr>
        <w:sectPr>
          <w:pgSz w:w="11900" w:h="16957" w:orient="portrait"/>
          <w:cols w:equalWidth="0" w:num="3">
            <w:col w:w="3360" w:space="720"/>
            <w:col w:w="3257" w:space="720"/>
            <w:col w:w="3463"/>
          </w:cols>
          <w:pgMar w:left="240" w:top="220" w:right="13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38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gridSpan w:val="3"/>
          </w:tcPr>
          <w:p>
            <w:pPr>
              <w:ind w:left="500"/>
              <w:spacing w:after="0"/>
              <w:rPr>
                <w:sz w:val="20"/>
                <w:szCs w:val="20"/>
                <w:color w:val="auto"/>
              </w:rPr>
            </w:pPr>
            <w:r>
              <w:rPr>
                <w:rFonts w:ascii="Arial" w:cs="Arial" w:eastAsia="Arial" w:hAnsi="Arial"/>
                <w:sz w:val="14"/>
                <w:szCs w:val="14"/>
                <w:color w:val="auto"/>
              </w:rPr>
              <w:t>Line)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10022</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31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73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9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12/20/2019</w:t>
            </w:r>
          </w:p>
        </w:tc>
        <w:tc>
          <w:tcPr>
            <w:tcW w:w="11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66"/>
              <w:spacing w:after="0"/>
              <w:rPr>
                <w:sz w:val="20"/>
                <w:szCs w:val="20"/>
                <w:color w:val="auto"/>
              </w:rPr>
            </w:pPr>
            <w:r>
              <w:rPr>
                <w:rFonts w:ascii="Times New Roman" w:cs="Times New Roman" w:eastAsia="Times New Roman" w:hAnsi="Times New Roman"/>
                <w:sz w:val="18"/>
                <w:szCs w:val="18"/>
                <w:color w:val="0000FF"/>
              </w:rPr>
              <w:t>9,508</w:t>
            </w:r>
          </w:p>
        </w:tc>
        <w:tc>
          <w:tcPr>
            <w:tcW w:w="580" w:type="dxa"/>
            <w:vAlign w:val="bottom"/>
            <w:vMerge w:val="restart"/>
          </w:tcPr>
          <w:p>
            <w:pPr>
              <w:jc w:val="center"/>
              <w:ind w:left="3"/>
              <w:spacing w:after="0"/>
              <w:rPr>
                <w:sz w:val="20"/>
                <w:szCs w:val="20"/>
                <w:color w:val="auto"/>
              </w:rPr>
            </w:pPr>
            <w:r>
              <w:rPr>
                <w:rFonts w:ascii="Times New Roman" w:cs="Times New Roman" w:eastAsia="Times New Roman" w:hAnsi="Times New Roman"/>
                <w:sz w:val="18"/>
                <w:szCs w:val="18"/>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24.77</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0000FF"/>
              </w:rPr>
              <w:t>220,860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12/20/2019</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right"/>
              <w:ind w:right="66"/>
              <w:spacing w:after="0"/>
              <w:rPr>
                <w:sz w:val="20"/>
                <w:szCs w:val="20"/>
                <w:color w:val="auto"/>
              </w:rPr>
            </w:pPr>
            <w:r>
              <w:rPr>
                <w:rFonts w:ascii="Times New Roman" w:cs="Times New Roman" w:eastAsia="Times New Roman" w:hAnsi="Times New Roman"/>
                <w:sz w:val="18"/>
                <w:szCs w:val="18"/>
                <w:color w:val="0000FF"/>
              </w:rPr>
              <w:t>9,508</w:t>
            </w:r>
          </w:p>
        </w:tc>
        <w:tc>
          <w:tcPr>
            <w:tcW w:w="580" w:type="dxa"/>
            <w:vAlign w:val="bottom"/>
            <w:vMerge w:val="restart"/>
          </w:tcPr>
          <w:p>
            <w:pPr>
              <w:jc w:val="center"/>
              <w:ind w:left="3"/>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92"/>
              </w:rPr>
              <w:t>$</w:t>
            </w:r>
            <w:r>
              <w:rPr>
                <w:rFonts w:ascii="Times New Roman" w:cs="Times New Roman" w:eastAsia="Times New Roman" w:hAnsi="Times New Roman"/>
                <w:sz w:val="18"/>
                <w:szCs w:val="18"/>
                <w:color w:val="0000FF"/>
                <w:w w:val="92"/>
              </w:rPr>
              <w:t>70.9</w:t>
            </w:r>
            <w:r>
              <w:rPr>
                <w:rFonts w:ascii="Times New Roman" w:cs="Times New Roman" w:eastAsia="Times New Roman" w:hAnsi="Times New Roman"/>
                <w:sz w:val="22"/>
                <w:szCs w:val="22"/>
                <w:color w:val="008000"/>
                <w:w w:val="92"/>
                <w:vertAlign w:val="superscript"/>
              </w:rPr>
              <w:t>(3)</w:t>
            </w:r>
          </w:p>
        </w:tc>
        <w:tc>
          <w:tcPr>
            <w:tcW w:w="1220" w:type="dxa"/>
            <w:vAlign w:val="bottom"/>
            <w:gridSpan w:val="2"/>
            <w:vMerge w:val="restart"/>
          </w:tcPr>
          <w:p>
            <w:pPr>
              <w:jc w:val="right"/>
              <w:ind w:right="218"/>
              <w:spacing w:after="0"/>
              <w:rPr>
                <w:sz w:val="20"/>
                <w:szCs w:val="20"/>
                <w:color w:val="auto"/>
              </w:rPr>
            </w:pPr>
            <w:r>
              <w:rPr>
                <w:rFonts w:ascii="Times New Roman" w:cs="Times New Roman" w:eastAsia="Times New Roman" w:hAnsi="Times New Roman"/>
                <w:sz w:val="18"/>
                <w:szCs w:val="18"/>
                <w:color w:val="0000FF"/>
              </w:rPr>
              <w:t>211,352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12/20/2019</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(4)</w:t>
            </w:r>
          </w:p>
        </w:tc>
        <w:tc>
          <w:tcPr>
            <w:tcW w:w="740" w:type="dxa"/>
            <w:vAlign w:val="bottom"/>
            <w:vMerge w:val="restart"/>
          </w:tcPr>
          <w:p>
            <w:pPr>
              <w:jc w:val="right"/>
              <w:ind w:right="66"/>
              <w:spacing w:after="0"/>
              <w:rPr>
                <w:sz w:val="20"/>
                <w:szCs w:val="20"/>
                <w:color w:val="auto"/>
              </w:rPr>
            </w:pPr>
            <w:r>
              <w:rPr>
                <w:rFonts w:ascii="Times New Roman" w:cs="Times New Roman" w:eastAsia="Times New Roman" w:hAnsi="Times New Roman"/>
                <w:sz w:val="18"/>
                <w:szCs w:val="18"/>
                <w:color w:val="0000FF"/>
              </w:rPr>
              <w:t>5,799</w:t>
            </w:r>
          </w:p>
        </w:tc>
        <w:tc>
          <w:tcPr>
            <w:tcW w:w="580" w:type="dxa"/>
            <w:vAlign w:val="bottom"/>
            <w:vMerge w:val="restart"/>
          </w:tcPr>
          <w:p>
            <w:pPr>
              <w:jc w:val="center"/>
              <w:ind w:left="3"/>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70.91</w:t>
            </w:r>
            <w:r>
              <w:rPr>
                <w:rFonts w:ascii="Times New Roman" w:cs="Times New Roman" w:eastAsia="Times New Roman" w:hAnsi="Times New Roman"/>
                <w:sz w:val="22"/>
                <w:szCs w:val="22"/>
                <w:color w:val="008000"/>
                <w:w w:val="91"/>
                <w:vertAlign w:val="superscript"/>
              </w:rPr>
              <w:t>(5)</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0000FF"/>
              </w:rPr>
              <w:t>269,170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sectPr>
          <w:pgSz w:w="11900" w:h="16957" w:orient="portrait"/>
          <w:cols w:equalWidth="0" w:num="1">
            <w:col w:w="11520"/>
          </w:cols>
          <w:pgMar w:left="240" w:top="220" w:right="1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72"/>
              <w:spacing w:after="0"/>
              <w:rPr>
                <w:sz w:val="20"/>
                <w:szCs w:val="20"/>
                <w:color w:val="auto"/>
              </w:rPr>
            </w:pPr>
            <w:r>
              <w:rPr>
                <w:rFonts w:ascii="Times New Roman" w:cs="Times New Roman" w:eastAsia="Times New Roman" w:hAnsi="Times New Roman"/>
                <w:sz w:val="18"/>
                <w:szCs w:val="18"/>
                <w:color w:val="0000FF"/>
                <w:w w:val="96"/>
              </w:rPr>
              <w:t>40,219</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6"/>
              </w:rPr>
              <w:t>Footnote</w:t>
            </w:r>
            <w:r>
              <w:rPr>
                <w:rFonts w:ascii="Times New Roman" w:cs="Times New Roman" w:eastAsia="Times New Roman" w:hAnsi="Times New Roman"/>
                <w:sz w:val="22"/>
                <w:szCs w:val="22"/>
                <w:color w:val="008000"/>
                <w:w w:val="96"/>
                <w:vertAlign w:val="superscript"/>
              </w:rPr>
              <w:t>(7)</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0000FF"/>
                <w:w w:val="99"/>
              </w:rPr>
              <w:t>177,134</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6"/>
              </w:rPr>
              <w:t>Footnote</w:t>
            </w:r>
            <w:r>
              <w:rPr>
                <w:rFonts w:ascii="Times New Roman" w:cs="Times New Roman" w:eastAsia="Times New Roman" w:hAnsi="Times New Roman"/>
                <w:sz w:val="22"/>
                <w:szCs w:val="22"/>
                <w:color w:val="008000"/>
                <w:w w:val="96"/>
                <w:vertAlign w:val="superscript"/>
              </w:rPr>
              <w:t>(8)</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72"/>
              <w:spacing w:after="0"/>
              <w:rPr>
                <w:sz w:val="20"/>
                <w:szCs w:val="20"/>
                <w:color w:val="auto"/>
              </w:rPr>
            </w:pPr>
            <w:r>
              <w:rPr>
                <w:rFonts w:ascii="Times New Roman" w:cs="Times New Roman" w:eastAsia="Times New Roman" w:hAnsi="Times New Roman"/>
                <w:sz w:val="18"/>
                <w:szCs w:val="18"/>
                <w:color w:val="0000FF"/>
                <w:w w:val="96"/>
              </w:rPr>
              <w:t>84,000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6"/>
              </w:rPr>
              <w:t>Footnote</w:t>
            </w:r>
            <w:r>
              <w:rPr>
                <w:rFonts w:ascii="Times New Roman" w:cs="Times New Roman" w:eastAsia="Times New Roman" w:hAnsi="Times New Roman"/>
                <w:sz w:val="22"/>
                <w:szCs w:val="22"/>
                <w:color w:val="008000"/>
                <w:w w:val="96"/>
                <w:vertAlign w:val="superscript"/>
              </w:rPr>
              <w:t>(9)</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72"/>
              <w:spacing w:after="0"/>
              <w:rPr>
                <w:sz w:val="20"/>
                <w:szCs w:val="20"/>
                <w:color w:val="auto"/>
              </w:rPr>
            </w:pPr>
            <w:r>
              <w:rPr>
                <w:rFonts w:ascii="Times New Roman" w:cs="Times New Roman" w:eastAsia="Times New Roman" w:hAnsi="Times New Roman"/>
                <w:sz w:val="18"/>
                <w:szCs w:val="18"/>
                <w:color w:val="0000FF"/>
                <w:w w:val="96"/>
              </w:rPr>
              <w:t>84,000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88"/>
              </w:rPr>
              <w:t>Footnote</w:t>
            </w:r>
            <w:r>
              <w:rPr>
                <w:rFonts w:ascii="Times New Roman" w:cs="Times New Roman" w:eastAsia="Times New Roman" w:hAnsi="Times New Roman"/>
                <w:sz w:val="22"/>
                <w:szCs w:val="22"/>
                <w:color w:val="008000"/>
                <w:w w:val="88"/>
                <w:vertAlign w:val="superscript"/>
              </w:rPr>
              <w:t>(10)</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957" w:orient="portrait"/>
          <w:cols w:equalWidth="0" w:num="2">
            <w:col w:w="7900" w:space="720"/>
            <w:col w:w="2900"/>
          </w:cols>
          <w:pgMar w:left="240" w:top="220" w:right="1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9,508</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24.77</w:t>
            </w:r>
          </w:p>
        </w:tc>
        <w:tc>
          <w:tcPr>
            <w:tcW w:w="1140" w:type="dxa"/>
            <w:vAlign w:val="bottom"/>
          </w:tcPr>
          <w:p>
            <w:pPr>
              <w:jc w:val="right"/>
              <w:ind w:right="198"/>
              <w:spacing w:after="0" w:line="149" w:lineRule="exact"/>
              <w:rPr>
                <w:sz w:val="20"/>
                <w:szCs w:val="20"/>
                <w:color w:val="auto"/>
              </w:rPr>
            </w:pPr>
            <w:r>
              <w:rPr>
                <w:rFonts w:ascii="Times New Roman" w:cs="Times New Roman" w:eastAsia="Times New Roman" w:hAnsi="Times New Roman"/>
                <w:sz w:val="14"/>
                <w:szCs w:val="14"/>
                <w:color w:val="0000FF"/>
              </w:rPr>
              <w:t>12/20/2019</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9,508</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02/07/2022</w:t>
            </w:r>
          </w:p>
        </w:tc>
        <w:tc>
          <w:tcPr>
            <w:tcW w:w="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0000FF"/>
              </w:rPr>
              <w:t>30,010</w:t>
            </w:r>
          </w:p>
        </w:tc>
        <w:tc>
          <w:tcPr>
            <w:tcW w:w="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December 20, 2019, the reporting person exercised previously issued options to purchase an aggregate of 9,508 shares of common stock of ExlService Holdings, Inc.</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reporting person.</w:t>
      </w:r>
    </w:p>
    <w:p>
      <w:pPr>
        <w:spacing w:after="0" w:line="41"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was executed in multiple trades at prices ranging from $70.90 to $71.02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Rohit Kapoor 2016 Family Trust.</w:t>
      </w:r>
    </w:p>
    <w:p>
      <w:pPr>
        <w:spacing w:after="0" w:line="41"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was executed in multiple trades at prices ranging from $70.90 to $70.99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2016 Family Trust.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2016 Kapoor Family Trust Created Under the Rohit Kapoor 2013 GRAT.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2016 Kapoor Family Trust Created Under the Rohit Kapoor 2005 GRAT.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Spousal Lifetime Access Trust.</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Shikha Kapoor 2005 Family Trust.</w:t>
      </w:r>
    </w:p>
    <w:p>
      <w:pPr>
        <w:spacing w:after="0" w:line="41" w:lineRule="exact"/>
        <w:rPr>
          <w:rFonts w:ascii="Times New Roman" w:cs="Times New Roman" w:eastAsia="Times New Roman" w:hAnsi="Times New Roman"/>
          <w:sz w:val="14"/>
          <w:szCs w:val="14"/>
          <w:color w:val="008000"/>
        </w:rPr>
      </w:pPr>
    </w:p>
    <w:p>
      <w:pPr>
        <w:ind w:left="40" w:right="380" w:firstLine="9"/>
        <w:spacing w:after="0" w:line="321" w:lineRule="auto"/>
        <w:tabs>
          <w:tab w:leader="none" w:pos="23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957" w:orient="portrait"/>
          <w:cols w:equalWidth="0" w:num="1">
            <w:col w:w="11520"/>
          </w:cols>
          <w:pgMar w:left="240" w:top="220"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2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12/26/2019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2019-12-26T16:13:31Z</dcterms:created>
  <dcterms:modified xsi:type="dcterms:W3CDTF">2019-12-26T16:13:31Z</dcterms:modified>
</cp:coreProperties>
</file>